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2940" w:hanging="638"/>
        <w:spacing w:after="0"/>
        <w:tabs>
          <w:tab w:leader="none" w:pos="2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19" w:lineRule="exact"/>
        <w:rPr>
          <w:rFonts w:ascii="Wingdings" w:cs="Wingdings" w:eastAsia="Wingdings" w:hAnsi="Wingdings"/>
          <w:sz w:val="18"/>
          <w:szCs w:val="18"/>
          <w:b w:val="1"/>
          <w:bCs w:val="1"/>
          <w:color w:val="auto"/>
        </w:rPr>
      </w:pPr>
    </w:p>
    <w:p>
      <w:pPr>
        <w:ind w:left="420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SECURITIES EXCHANGE ACT OF 1934</w:t>
      </w:r>
    </w:p>
    <w:p>
      <w:pPr>
        <w:spacing w:after="0" w:line="10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88265</wp:posOffset>
            </wp:positionV>
            <wp:extent cx="14401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330" w:right="339" w:bottom="1440" w:gutter="0" w:footer="0" w:header="0"/>
        </w:sectPr>
      </w:pPr>
    </w:p>
    <w:p>
      <w:pPr>
        <w:spacing w:after="0" w:line="27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85-1966622</w:t>
      </w:r>
    </w:p>
    <w:p>
      <w:pPr>
        <w:spacing w:after="0" w:line="65" w:lineRule="exact"/>
        <w:rPr>
          <w:sz w:val="24"/>
          <w:szCs w:val="24"/>
          <w:color w:val="auto"/>
        </w:rPr>
      </w:pPr>
    </w:p>
    <w:p>
      <w:pPr>
        <w:sectPr>
          <w:pgSz w:w="11900" w:h="16838" w:orient="portrait"/>
          <w:cols w:equalWidth="0" w:num="2">
            <w:col w:w="7280" w:space="720"/>
            <w:col w:w="3240"/>
          </w:cols>
          <w:pgMar w:left="320" w:top="1330"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40" w:space="720"/>
            <w:col w:w="4080"/>
          </w:cols>
          <w:pgMar w:left="320" w:top="1330"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11"/>
        </w:trPr>
        <w:tc>
          <w:tcPr>
            <w:tcW w:w="52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WGSWW</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0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2800"/>
        <w:spacing w:after="0" w:line="47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28,726,248 shares of Class A common stock, par value $0.0001, outstanding at July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 Looking Statements</w:t>
            </w:r>
          </w:p>
        </w:tc>
        <w:tc>
          <w:tcPr>
            <w:tcW w:w="5280" w:type="dxa"/>
            <w:vAlign w:val="bottom"/>
            <w:gridSpan w:val="5"/>
          </w:tcPr>
          <w:p>
            <w:pPr>
              <w:spacing w:after="0"/>
              <w:rPr>
                <w:sz w:val="18"/>
                <w:szCs w:val="18"/>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w:t>
            </w:r>
          </w:p>
        </w:tc>
      </w:tr>
      <w:tr>
        <w:trPr>
          <w:trHeight w:val="507"/>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5"/>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39</w:t>
            </w:r>
          </w:p>
        </w:tc>
      </w:tr>
      <w:tr>
        <w:trPr>
          <w:trHeight w:val="1054"/>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sz w:val="20"/>
          <w:szCs w:val="20"/>
          <w:color w:val="auto"/>
        </w:rPr>
      </w:pPr>
    </w:p>
    <w:p>
      <w:pPr>
        <w:ind w:left="660" w:right="2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remaining profitable on a sustained basis;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fluctuating inflation, interest rates and tariff rates, supply chain interruptions, manufacturing constraints, public health emergencies,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of our acquisition of Fabric Genomics, Inc. (“Fabric Genomics”);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(“FDA”),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 and the fair value of the contingent consideration liability and our conclusions regarding the appropriateness of the carrying value of intangible assets and goodwill for the Fabric Genomics acquisition;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17"/>
                <w:szCs w:val="17"/>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41"/>
        </w:trPr>
        <w:tc>
          <w:tcPr>
            <w:tcW w:w="7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w:t>
            </w: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32,893</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158,600</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419,380</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7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w:t>
            </w: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54,817</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60,919</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174,133</w:t>
            </w:r>
          </w:p>
        </w:tc>
      </w:tr>
      <w:tr>
        <w:trPr>
          <w:trHeight w:val="21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commitments and contingencies (Note 10)</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75"/>
        </w:trPr>
        <w:tc>
          <w:tcPr>
            <w:tcW w:w="7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0 shares issued and outstanding</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3"/>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June 30, 2025 and December 31, 2024, respectively</w:t>
            </w:r>
          </w:p>
        </w:tc>
        <w:tc>
          <w:tcPr>
            <w:tcW w:w="28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28,708,058 and</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28,016,545 shares issued and outstanding at June 30, 2025 and December 31, 2024, respectively</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1,596,889</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(1,352,474)</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245,247</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419,380</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95"/>
        </w:trPr>
        <w:tc>
          <w:tcPr>
            <w:tcW w:w="1280" w:type="dxa"/>
            <w:vAlign w:val="bottom"/>
            <w:tcBorders>
              <w:top w:val="single" w:sz="8" w:color="0000FF"/>
            </w:tcBorders>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40" w:type="dxa"/>
            <w:vAlign w:val="bottom"/>
            <w:gridSpan w:val="10"/>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(Loss) (Unaudited)</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640" w:type="dxa"/>
            <w:vAlign w:val="bottom"/>
            <w:gridSpan w:val="7"/>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4"/>
                <w:szCs w:val="24"/>
                <w:color w:val="auto"/>
              </w:rPr>
            </w:pPr>
          </w:p>
        </w:tc>
        <w:tc>
          <w:tcPr>
            <w:tcW w:w="29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130,543</w:t>
            </w:r>
          </w:p>
        </w:tc>
      </w:tr>
      <w:tr>
        <w:trPr>
          <w:trHeight w:val="230"/>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23"/>
        </w:trPr>
        <w:tc>
          <w:tcPr>
            <w:tcW w:w="4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132,936</w:t>
            </w:r>
          </w:p>
        </w:tc>
      </w:tr>
      <w:tr>
        <w:trPr>
          <w:trHeight w:val="22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w:t>
            </w:r>
          </w:p>
        </w:tc>
      </w:tr>
      <w:tr>
        <w:trPr>
          <w:trHeight w:val="223"/>
        </w:trPr>
        <w:tc>
          <w:tcPr>
            <w:tcW w:w="4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80,363</w:t>
            </w:r>
          </w:p>
        </w:tc>
      </w:tr>
      <w:tr>
        <w:trPr>
          <w:trHeight w:val="22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w:t>
            </w: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32,670</w:t>
            </w:r>
          </w:p>
        </w:tc>
      </w:tr>
      <w:tr>
        <w:trPr>
          <w:trHeight w:val="23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49,463</w:t>
            </w:r>
          </w:p>
        </w:tc>
      </w:tr>
      <w:tr>
        <w:trPr>
          <w:trHeight w:val="223"/>
        </w:trPr>
        <w:tc>
          <w:tcPr>
            <w:tcW w:w="4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(24,239)</w:t>
            </w:r>
          </w:p>
        </w:tc>
      </w:tr>
      <w:tr>
        <w:trPr>
          <w:trHeight w:val="250"/>
        </w:trPr>
        <w:tc>
          <w:tcPr>
            <w:tcW w:w="12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30"/>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r>
      <w:tr>
        <w:trPr>
          <w:trHeight w:val="223"/>
        </w:trPr>
        <w:tc>
          <w:tcPr>
            <w:tcW w:w="4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w:t>
            </w:r>
          </w:p>
        </w:tc>
      </w:tr>
      <w:tr>
        <w:trPr>
          <w:trHeight w:val="22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(49,684)</w:t>
            </w:r>
          </w:p>
        </w:tc>
      </w:tr>
      <w:tr>
        <w:trPr>
          <w:trHeight w:val="229"/>
        </w:trPr>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(49,412)</w:t>
            </w:r>
          </w:p>
        </w:tc>
      </w:tr>
      <w:tr>
        <w:trPr>
          <w:trHeight w:val="20"/>
        </w:trPr>
        <w:tc>
          <w:tcPr>
            <w:tcW w:w="4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75"/>
        </w:trPr>
        <w:tc>
          <w:tcPr>
            <w:tcW w:w="45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(loss) gain related to available for sale</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securities, net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(49,378)</w:t>
            </w:r>
          </w:p>
        </w:tc>
      </w:tr>
      <w:tr>
        <w:trPr>
          <w:trHeight w:val="20"/>
        </w:trPr>
        <w:tc>
          <w:tcPr>
            <w:tcW w:w="4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6"/>
        </w:trPr>
        <w:tc>
          <w:tcPr>
            <w:tcW w:w="4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 common</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 Basic</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28,579,704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26,617,955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28,365,018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26,340,063</w:t>
            </w: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per share, Class A common stock-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176"/>
        </w:trPr>
        <w:tc>
          <w:tcPr>
            <w:tcW w:w="4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 common</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 Diluted</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29,753,933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26,617,955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29,642,555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26,340,063</w:t>
            </w:r>
          </w:p>
        </w:tc>
      </w:tr>
      <w:tr>
        <w:trPr>
          <w:trHeight w:val="23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per share, Class A common stock-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10"/>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28,530,337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1,615,501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(1,359,003)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employee stock purchase plan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28,708,058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1,624,513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(1,348,194)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80" w:type="dxa"/>
            <w:vAlign w:val="bottom"/>
            <w:gridSpan w:val="10"/>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28,016,545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1,596,889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(1,352,474)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245,247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pursuant to employee stock purchase plan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28,708,058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1,624,513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(1,348,194)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277,133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80" w:type="dxa"/>
            <w:vAlign w:val="bottom"/>
            <w:gridSpan w:val="10"/>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26,122,348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1,527,351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(1,320,427)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207,217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pursuant to Perceptive warrant exercise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645,414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131,552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26,926,383</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1,543,182</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(1,349,600)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194,043</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10"/>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25,978,863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1,527,778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(1,300,188)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228,017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pursuant to Perceptive warrant exercise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645,414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270,160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26,926,383</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1,543,182</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(1,349,600)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194,043</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(49,412)</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Legal reserves</w:t>
            </w: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3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2B2A29"/>
              </w:rPr>
              <w:t>Change in third party payor reserves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47"/>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Other</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w:t>
            </w: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offerings, net of issuance costs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pursuant to employee stock purchase plan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consideration paid pursuant to exercise of Perceptive warrant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 lease obligations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bl>
    <w:p>
      <w:pPr>
        <w:spacing w:after="0" w:line="2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“GeneDx Holdings” refer to GeneDx Holdings Corp., a Delaware corporation;</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“Legacy GeneDx” refer to GeneDx, LLC, a Delaware limited liability company, which we acquired on April 29, 2022 (the “Acquisition”);</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Sema4 OpCo Inc., a Delaware corporation, which consummated the business combination with CM Life Sciences, Inc. (“CMLS”) on July 22, 2021 (the “Business Combination”);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to GeneDx Holdings and its consolidated subsidiaries.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5, 2025 (the “Merger Date”), the Company consummated the transactions contemplated by the Agreement and Plan of Merger, which was entered into on April 15, 2025 (the “Merger Agreement”) by and among the Company, Project Flare Merger Sub, Inc., a Delaware corporation (“Merger Sub”) and a wholly-owned subsidiary of the Company, Fabric Genomics, Inc., a Delaware corporation (“Fabric Genomics”), and Martin Reese, as the Agent, pursuant to which, and on the terms and subject to the conditions thereof, the Company acquired Fabric Genomics through the merger of Merger Sub with and into Fabric Genomics, with Fabric Genomics surviving as a wholly-owned subsidiary of the Company (the “Merger”).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within this Quarterly Report for further information regarding the Merger.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2024 (the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As such, the Company is eligible for exemptions from various reporting requirements applicable to other public companies that are not emerging growth companies, including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and income taxes. Changes in estimates are recorded in the period in which they become known. Actual results could differ materially from those estimates, judgments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2024 Form 10-K. Except as set forth below, there have been no material changes to the Company’s critical accounting policies and estimates in the current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granted by the Company include time-based restricted stock units (“RSUs”) and performance-based restricted stock units (“PRSUs”). PRSUs represent a right to receive a certain number of shares of the Company’s Class A common stock based on the achievement of specified performance conditions and continued employment during the vesting period. At each reporting period, the Company assesses the probability of the achievement of such performance conditions and records expense for the awards if it is probable that such performance conditions will be achieved.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included within this Quarterly Report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royalty rate,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within this Quarterly Report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the Company’s goodwill is not amortized but is tested for impairment on an annual basis, or whenever events or changes in circumstances indicate that the carrying amount of these assets may not be recoverable. The Company performs an annual impairment review of goodwill during the fourth fiscal quarter, or more frequently if business factors indicate.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included within this Quarterly Report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both the self-pay patient and, if applicable, the third-party payor groups that reimburses the Company on the patient’s behalf when evaluating concentration of credit risk. Significant patients and payor groups are those that represent more than 10% of the Company’s total revenues for the period or accounts receivable balance at each respective balance sheet date. The significant concentrations of accounts receivable as of June 30, 2025 and December 31, 2024 were primarily from large managed care insurance companies, institutional billed accounts, and data arrangements. The Company does not require collateral as a means to mitigate customer credit risk.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each significant payor group, revenue as a percentage of total revenues and accounts receivable as a percentage of total accounts receivable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Accounts Receivable</w:t>
            </w:r>
          </w:p>
        </w:tc>
      </w:tr>
      <w:tr>
        <w:trPr>
          <w:trHeight w:val="466"/>
        </w:trPr>
        <w:tc>
          <w:tcPr>
            <w:tcW w:w="1840" w:type="dxa"/>
            <w:vAlign w:val="bottom"/>
          </w:tcPr>
          <w:p>
            <w:pPr>
              <w:spacing w:after="0"/>
              <w:rPr>
                <w:sz w:val="24"/>
                <w:szCs w:val="24"/>
                <w:color w:val="auto"/>
              </w:rPr>
            </w:pPr>
          </w:p>
        </w:tc>
        <w:tc>
          <w:tcPr>
            <w:tcW w:w="27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84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1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Payor group A</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30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group B</w:t>
            </w:r>
            <w:r>
              <w:rPr>
                <w:rFonts w:ascii="Times New Roman" w:cs="Times New Roman" w:eastAsia="Times New Roman" w:hAnsi="Times New Roman"/>
                <w:sz w:val="23"/>
                <w:szCs w:val="23"/>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80" w:type="dxa"/>
            <w:vAlign w:val="bottom"/>
          </w:tcPr>
          <w:p>
            <w:pPr>
              <w:spacing w:after="0"/>
              <w:rPr>
                <w:sz w:val="24"/>
                <w:szCs w:val="24"/>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6"/>
              </w:rPr>
              <w:t>36%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157" w:lineRule="exact"/>
        <w:rPr>
          <w:sz w:val="20"/>
          <w:szCs w:val="20"/>
          <w:color w:val="auto"/>
        </w:rPr>
      </w:pPr>
    </w:p>
    <w:p>
      <w:pPr>
        <w:ind w:left="34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payor groups identified in the table above represent multiple payors aggregated based on similar contract terms and reimbursement patterns. No single payor or individual client accounted for more than 10% of revenue or receivables for the current period.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laboratory equipment and laboratory supplies. One supplier accounted for approximately 20% and 16% of spend for the three months ended June 30, 2025 and 2024, respectively, and 22% and 12% for the six months ended June 30, 2025 and 2024, respectively. A second supplier accounted for approximately 13% and 10% of purchases for the three and six months ended June 30, 2024, respectively. This risk is managed by maintaining a target quantity of surplus stock. Alternative suppliers are available for the majority of these reagents and supplies.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2023-09, Income Taxes – Improvements to Income Tax Disclosures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Company plans to adopt this pronouncement on a prospective basis, and will include the additional disclosures as required in the Company's Annual Report on Form 10-K for the year ended December 31, 2025. The Company does not expect the amended guidance to have a material impact on its consolidated financial statements.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Disaggregation of Income Statement Expenses (“ASU 2024-03”). The standard requires public business entities to disclose additional information about specific expense categories in the notes to financial statements at interim and annual reporting periods. As revised by the issuance of ASU 2025-01, Income Statement – Reporting Comprehensive Income – Disaggregation of Income Statement Expenses: Clarifying the Effective Date (“ASU 2025-01”) in January 2025, the provisions of ASU 2024-03 will be effective for annual periods beginning after December 15, 2026, and interim periods beginning after December 15, 2027,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discussed in Note 1, on May 5, 2025, the Company completed the previously announced acquisition to acquire all of the issued and outstanding capital stock of Fabric Genomics for cash consideration of approximately $33.5 million. Fabric Genomics offers its artificial intelligence (“AI”) based platform for Next Generation Sequencing analysis, interpretation, and clinical reporting for rare disease, hereditary risk, and cancer testing with accuracy and scalability.</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evaluated the Merger and concluded that it represented a business combination under ASC 805, Business Combinations. Therefore, the Merger has been accounted for under the acquisition method of accounting. Under the acquisition method, the total purchase price of the Merger is allocated to the net tangible and identifiable intangible assets acquired, contingent consideration and liabilities assumed based on the fair value as of the Merger Date. The fair value of consideration totaled $36.9 million, which includes $3.4 million in contingent consideration. See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included within this Quarterly Report for further information on the contingent consideration liability .</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the assets acquired, contingent consideration and liabilities assumed as of the Merger Date based on the information available as of that date. As the Company finalizes the fair values of the assets acquired, contingent consideration and liabilities assumed, purchase price adjustments may be recorded during the measurement period and such adjustments could be material. The Company will reflect measurement period adjustments, if any, in the period in which the adjustments are recognized. The amounts recognized will be finalized as the information necessary to complete the analysis is obtained, but no later than one year after the Merger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purchase price to the estimated fair value of the assets acquired and liabilities assumed as of the Merger 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w:t>
            </w:r>
          </w:p>
        </w:tc>
      </w:tr>
      <w:tr>
        <w:trPr>
          <w:trHeight w:val="229"/>
        </w:trPr>
        <w:tc>
          <w:tcPr>
            <w:tcW w:w="93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340" w:hanging="332"/>
        <w:spacing w:after="0" w:line="27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goodwill recorded relating to the Merger is the excess of the fair value of the consideration transferred by the acquirer over the fair value of the net identifiable assets acquired and liabilities assumed at the Merger Date, and represents future economic benefits arising from other assets acquired that could not be individually identified and separately recognized. The goodwill recorded is not deductible for tax purposes.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acquired intangible assets was based on the present value of expected future cash flows attributable to the respective intangible assets using the net present value approach.</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$0.5 million and $1.7 million in transaction costs associated with the acquisition, respectively. These expenses included third-party professional firms’ services related to due diligence, advisory and legal services and were included in general and administrative expenses in the condensed consolidated statements of operations and comprehensive income (loss). The Company’s results for the three and six months ended June 30, 2025 include $0.9 million of revenue from Fabric Genomics.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fair values and useful lives of the acquired intangible assets identified based on the Company’s preliminary purchase accounting assessments: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5, 2025</w:t>
            </w:r>
          </w:p>
        </w:tc>
        <w:tc>
          <w:tcPr>
            <w:tcW w:w="20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Life (in Years)</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23"/>
        </w:trPr>
        <w:tc>
          <w:tcPr>
            <w:tcW w:w="6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trade names and trademarks and developed technology of $0.3 million was recorded in general and administrative for the three months ended June 30, 2025 within the condensed consolidated statements of operations and comprehensive income (loss). Amortization expense for customer relationships of $0.1 million was recorded in selling and marketing for the three months ended June 30, 2025 within the condensed consolidated statements of operations and comprehensive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estimated future amortization expense of intangible assets with finite lives as of 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56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349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36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unaudited pro forma financial information for the three and six months ended June 30, 2025 and 2024 as if the Merger had occurred as of January 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135,849</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(53,972)</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results include the following adjustments based on the Company’s preliminary analysis and are subject to change as additional analysis is performed:</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amortization expense resulting from the acquired intangible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fair value of contingent consideration liability.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anticipated cost savings or other effects of the plan integration of Fabric Genomics. Accordingly, the pro forma results above are not necessarily indicative of the results that would have been if the Merger had occurred on the dates indicated, nor are the pro forma results indicative of results which may occur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920" w:type="dxa"/>
            <w:vAlign w:val="bottom"/>
          </w:tcPr>
          <w:p>
            <w:pPr>
              <w:jc w:val="center"/>
              <w:ind w:left="270"/>
              <w:spacing w:after="0" w:line="223" w:lineRule="exact"/>
              <w:rPr>
                <w:sz w:val="20"/>
                <w:szCs w:val="20"/>
                <w:color w:val="auto"/>
              </w:rPr>
            </w:pPr>
            <w:r>
              <w:rPr>
                <w:rFonts w:ascii="Times New Roman" w:cs="Times New Roman" w:eastAsia="Times New Roman" w:hAnsi="Times New Roman"/>
                <w:sz w:val="18"/>
                <w:szCs w:val="18"/>
                <w:b w:val="1"/>
                <w:bCs w:val="1"/>
                <w:color w:val="auto"/>
                <w:w w:val="96"/>
              </w:rPr>
              <w:t>Other</w:t>
            </w:r>
            <w:r>
              <w:rPr>
                <w:rFonts w:ascii="Times New Roman" w:cs="Times New Roman" w:eastAsia="Times New Roman" w:hAnsi="Times New Roman"/>
                <w:sz w:val="23"/>
                <w:szCs w:val="23"/>
                <w:b w:val="1"/>
                <w:bCs w:val="1"/>
                <w:color w:val="auto"/>
                <w:w w:val="96"/>
                <w:vertAlign w:val="superscript"/>
              </w:rPr>
              <w:t>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81,104</w:t>
            </w:r>
          </w:p>
        </w:tc>
        <w:tc>
          <w:tcPr>
            <w:tcW w:w="1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w:t>
            </w:r>
          </w:p>
        </w:tc>
      </w:tr>
      <w:tr>
        <w:trPr>
          <w:trHeight w:val="23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69,439</w:t>
            </w:r>
          </w:p>
        </w:tc>
      </w:tr>
      <w:tr>
        <w:trPr>
          <w:trHeight w:val="27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3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3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920" w:type="dxa"/>
            <w:vAlign w:val="bottom"/>
          </w:tcPr>
          <w:p>
            <w:pPr>
              <w:jc w:val="center"/>
              <w:ind w:left="270"/>
              <w:spacing w:after="0" w:line="223" w:lineRule="exact"/>
              <w:rPr>
                <w:sz w:val="20"/>
                <w:szCs w:val="20"/>
                <w:color w:val="auto"/>
              </w:rPr>
            </w:pPr>
            <w:r>
              <w:rPr>
                <w:rFonts w:ascii="Times New Roman" w:cs="Times New Roman" w:eastAsia="Times New Roman" w:hAnsi="Times New Roman"/>
                <w:sz w:val="18"/>
                <w:szCs w:val="18"/>
                <w:b w:val="1"/>
                <w:bCs w:val="1"/>
                <w:color w:val="auto"/>
                <w:w w:val="96"/>
              </w:rPr>
              <w:t>Other</w:t>
            </w:r>
            <w:r>
              <w:rPr>
                <w:rFonts w:ascii="Times New Roman" w:cs="Times New Roman" w:eastAsia="Times New Roman" w:hAnsi="Times New Roman"/>
                <w:sz w:val="23"/>
                <w:szCs w:val="23"/>
                <w:b w:val="1"/>
                <w:bCs w:val="1"/>
                <w:color w:val="auto"/>
                <w:w w:val="96"/>
                <w:vertAlign w:val="superscript"/>
              </w:rPr>
              <w:t>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149,163</w:t>
            </w:r>
          </w:p>
        </w:tc>
        <w:tc>
          <w:tcPr>
            <w:tcW w:w="1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95,891</w:t>
            </w:r>
          </w:p>
        </w:tc>
      </w:tr>
      <w:tr>
        <w:trPr>
          <w:trHeight w:val="23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130,543</w:t>
            </w:r>
          </w:p>
        </w:tc>
      </w:tr>
      <w:tr>
        <w:trPr>
          <w:trHeight w:val="27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34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2024, Other represents revenues associated with the Legacy Sema4 operating segment. For the three and six months ended June 30, 2025, revenues of the Fabric Genomics and Legacy Sema4 operating segments. See Note 15,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more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and 2024, the total change in estimate recognized, which pertains to performance obligations fulfilled in the previous year, resulted in a net increase to revenue of $5.6 million and $7.2 million, respectively. This change is due to adjustments in the estimated transaction price stemming from contractual modifications, updated information obtained from payors and patients that was previously unknown at the time those performance obligations were met, as well as potential and actual settlements with third party payors. The change in estimate also included an increase in revenue related to a partial release of a previously established payor reserve, as further disclosed in the “Certain Payor Matters” section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Company’s third-party payor reserves were $17.6 million and $12.6 million, respectively, and were recorded in accounts payable and accrued expenses and other liabilities, respectively. Included in these reserve balances are $12.0 million in scheduled payments to settle the claims related to coverage and billing matters allegedly resulting in the overpayments by a third-party payor to Legacy Sema4 (the “Disputed Claims”), with $10.0 million due in December 2025 and $2.0 million due in June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0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4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three and six months ended June 30, 2025 and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the fair value hierarchy as they are based on quoted bid prices for comparable securities in the marketplace and broker/dealer quotes in active markets.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presented in the condensed consolidated balance sheet as of June 30, 2025 have maturity dates ranging from 2025 through 2028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June 30, 2025, the amortized cost for maturities less than one year and greater than one year were $37.5 million and $21.8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merger in July 2021 in connection with the Business Combination, there were 666,516 warrants to purchase shares of Class A common stock outstanding, including 447,223 public warrants and 219,293 private placement warrants. As of June 30, 2025,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$594.00 as described below:</w:t>
      </w:r>
    </w:p>
    <w:p>
      <w:pPr>
        <w:spacing w:after="0" w:line="10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$330.00 as described below:</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the Company sends notice of redemption to the warrant holders is less than $594.00 per share (as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adjusted), the private placement warrants must also be concurrently called for redemption on the same terms as the outstanding public warrants, as described above.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Emily Leproust, PhD, and Mr. Nat Turner, and are identical to the public warrants underlying the units sold in the initial public offering, except that (1) the private placement warrants and the Class A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warrants are classified within Level 1 of the fair value hierarchy as they are traded in active markets and the fair value is determined on the basis of quoted market prices. The private placement warrants are classified within Level 2 of the fair value hierarchy as management determined the fair value of each private placement warrant is the same as that of a public warrant because the terms are substantially the same.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a gain of $3.1 million and $2.0 million, respectively, was recorded within the change in fair value of warrants and contingent liabilities in the condensed consolidated statements of operations and comprehensive income (loss). The change in fair value of the warrants for the three and six months ended June 30, 2024 was a gain of $0.7 million and loss of $0.4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(Fabric Genomics)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(i) $10.5 million in cash, shares of Class A common stock or a combination thereof, as determined by the Company in its sole discretion, on or prior to April 30, 2026 subject to Fabric Genomics achieving gross revenue equal to or above $6.0 million and a gross margin equal to or above 69% for the fiscal year ending December 31, 2025 (the “First Milestone Payment”), with the amount of the First Milestone Payment determined by multiplying $7.0 million by the quotient obtained by dividing Fabric Genomics’ gross revenue for the fiscal year ending December 31, 2025 by $8.0 million, and (ii) $7.5 million in cash, shares of Class A common stock or a combination thereof, as determined by the Company in its sole discretion, on or prior to April 30, 2027 subject to Fabric Genomics achieving gross revenue equal to or above $9.0 million and a gross margin equal to or above 69% for the fiscal year ending December 31, 2026 (the “Second Milestone Payment” and, together with the First Milestone Payment, the “Milestone Payments”), with the amount of the Second Milestone Payment determined by multiplying $5.0 million by the quotient obtained by dividing Fabric Genomics’ gross revenue for the fiscal year ending December 31, 2026 by $12.0 million. The shares of Class A common stock issued, if any, pursuant to the Milestone Payments are referred to as the “Milestone Shares.” Any Milestone Shares that are issued will be valued at $93.0318 per share based on the average of the daily volume average weighted price of the Class A common stock over the period of 30 trading days ended April 11, 2025.</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Milestone Payments was determined based on a Monte Carlo simulation valuation model, and is categorized as Level 3 of the fair value hierarchy as the Company utilizes unobservable inputs in estimating the fair value. Estimates and assumptions utilized in the Monte Carlo simulation model include risk-adjusted forecasted revenue and gross margin, revenue and gross profit volatility rates, expected stock price volatility, and discount rates which are based on the cost of debt and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Level 3 inputs used in the valuation of the contingent consideration: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880" w:type="dxa"/>
            <w:vAlign w:val="bottom"/>
          </w:tcPr>
          <w:p>
            <w:pPr>
              <w:spacing w:after="0"/>
              <w:rPr>
                <w:sz w:val="20"/>
                <w:szCs w:val="20"/>
                <w:color w:val="auto"/>
              </w:rPr>
            </w:pPr>
          </w:p>
        </w:tc>
        <w:tc>
          <w:tcPr>
            <w:tcW w:w="30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At May 5, 2025</w:t>
            </w:r>
          </w:p>
        </w:tc>
      </w:tr>
      <w:tr>
        <w:trPr>
          <w:trHeight w:val="223"/>
        </w:trPr>
        <w:tc>
          <w:tcPr>
            <w:tcW w:w="338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0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0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21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w:t>
            </w:r>
          </w:p>
        </w:tc>
        <w:tc>
          <w:tcPr>
            <w:tcW w:w="2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2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1.4</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volatility</w:t>
            </w:r>
          </w:p>
        </w:tc>
        <w:tc>
          <w:tcPr>
            <w:tcW w:w="17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98.0%</w:t>
            </w:r>
          </w:p>
        </w:tc>
        <w:tc>
          <w:tcPr>
            <w:tcW w:w="21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98.0%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107.0%</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2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tcPr>
          <w:p>
            <w:pPr>
              <w:spacing w:after="0"/>
              <w:rPr>
                <w:sz w:val="19"/>
                <w:szCs w:val="19"/>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volatility</w:t>
            </w:r>
          </w:p>
        </w:tc>
        <w:tc>
          <w:tcPr>
            <w:tcW w:w="17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20.0%</w:t>
            </w:r>
          </w:p>
        </w:tc>
        <w:tc>
          <w:tcPr>
            <w:tcW w:w="21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20.0%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r>
      <w:tr>
        <w:trPr>
          <w:trHeight w:val="918"/>
        </w:trPr>
        <w:tc>
          <w:tcPr>
            <w:tcW w:w="3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fair value of the contingent consideration liability was $4.3 million. During the three and six months ended June 30, 2025, a loss of $0.9 million was recorded within the change in fair market value of warrants and contingent liabilities in the condensed consolidated statements of operations and comprehensive income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a Credit Agreement and Guaranty (the “Credit Agreement”) with Perceptive Credit Holdings IV, LP, as lender and administrative agent (“Perceptive”), which provided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Warrants”) of its Class A common stock. 800,000 warrant shares (the “Initial Warrant Shares”) vested and became exercisable on the Closing Date and 400,000 warrant shares (the “Additional Warrant Shares” and together with the Initial Warrant Shares, the “Warrant Shares”) would have potentially vested and become exercisable on the Tranche B Borrowing Date, as defined in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 As the Company did not seek the additional funding from the Tranche B Loan, the Additional Warrant Shares did not vest and are not exercisable.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(the “Exercise Date”)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to Perceptive in satisfaction of the cashless exercise in respect of the Initial Warrant Shares.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 for further information.</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 loss of $5.1 million and $10.1 million, respectively, was recorded within the change in fair value of warrants and contingent liabilities in the condensed consolidated statements of operations and comprehensive income (loss) based on re-measurement performed as of the Exercise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(“DECD”) is classified within Level 2 of the fair value hierarchy. The loan was recorded at its carrying value of $5.2 million and $5.8 million, respectively, as of June 30, 2025 and December 31, 2024, with $1.2 million recorded in other current liabilities on the condensed consolidated balance sheets as of June 30, 2025. The fair value of the loan as of June 30, 2025 was $4.5 million, which is estimated based on discounted cash flows using the yields of similar debt instruments of other companies with similar credit profiles.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7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3"/>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w:t>
            </w:r>
          </w:p>
        </w:tc>
      </w:tr>
      <w:tr>
        <w:trPr>
          <w:trHeight w:val="223"/>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32,893</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and 2024, depreciation and amortization expense was $2.3 million and $1.7 million, respectively. For the six months ended June 30, 2025 and 2024, depreciation and amortization expense was $4.5 million and $3.5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is included within the condensed consolidated statements of operations and comprehensive income (loss)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1,712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1"/>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as of June 30, 2025, the carrying values and remaining useful lives of acquired intangible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88,511</w:t>
            </w:r>
          </w:p>
        </w:tc>
        <w:tc>
          <w:tcPr>
            <w:tcW w:w="1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16.6</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176,689</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13.1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tradenames and trademarks and developed technology of $2.6 million and $2.3 million was recorded in general and administrative for the three months ended June 30, 2025 and 2024, respectively, and $4.9 million and $4.6 million for the six months ended June 30, 2025 and 2024, respectively, within the condensed consolidated statements of operations and comprehensive income (loss). Amortization expense for customer relationships of $1.3 million and $1.2 million was recorded in selling and marketing for the three months ended June 30, 2025 and 2024, respectively, and $2.5 million for both the six months ended June 30, 2025 and 2024, within the condensed consolidated statements of operations and comprehensive income (loss).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Fabric Genomics resulted in the recognition of $12.9 million of goodwill as of the Merger Date. There were no changes to the carrying amount of goodwill between the Merger Date and June 30, 2025. See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within this Quarterly Report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 party expenses include the purchase of diagnostic testing kits and lab materials from Twist Biosciences (“Twist”). Transactions with Twist are at arm’s length and represent market rates. The Company incurred $1.7 million and $4.2 million in purchases and $2.2 million and $4.1 million was recorded in cost of services for the three and six months ended June 30, 2025, respectively. The Company incurred $2.6 million and $5.1 million in purchases and $1.7 million and $2.8 million was recorded in cost of services for the three and six months ended June 30, 2024, respectively. Payables due as of June 30, 2025 and December 31, 2024 were $1.2 million and $0.7 million, respectively.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long-term debt matures as follows: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9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long-term debt issuance costs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 Facility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the Perceptive Term Loan Facility. An initial tranche of $50.0 million (the “Tranche A Loan”) was funded under the Perceptive Term Loan Facility on the Closing Date. In addition to the Tranche A Loan, the Perceptive Term Loan Facility included an additional tranche of $25.0 million (the “Tranche B Loan,” and together with the Tranche A Loan, the “Term Loans”), which was accessible by the Company through December 31, 2024 so long as the Company satisfied certain customary conditions precedent, including a specified revenue milestone (the funding date of the Tranche B Loan, the “Tranche B Borrowing Date”). Although the requirements for the Tranche B funding were met, the Company did not seek the additional funding.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has a maturity date of October 27, 2028 (the “Maturity Date”) and provides for an interest-only period during the term of the loan with principal due at the maturity date. The Company’s net proceeds from the Tranche A Loan were approximately $48.8 million, after deducting debt issuance costs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accrues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Maturity Date, there will be no scheduled principal payments under the Perceptive Term Loan Facility. On the Maturity Date, the Company is required to pay Perceptive the aggregate outstanding principal amount of the Tranche A Loan and all accrued and unpaid interest thereon. The Tranche A Loan may be prepaid at any time, subject to a prepayment premium equal to 0% to 10% of the aggregate outstanding principal amount being prepaid, depending on the date of prepayment.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as consideration for the Credit Agreement, the Company issued the Perceptive Warrants to Perceptive, which allowed Perceptive to purchase up to 1,200,000 Warrant Shares. The 800,000 Initial Warrant Shares vested and became exercisable on the Closing Date and the 400,000 Additional Warrant Shares would have potentially vested and become exercisable on the Tranche B Borrowing Date. As the Company did not seek the additional funding from the Tranche B Loan, the Additional Warrant Shares did not vest and are not exercisable.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included within this Quarterly Report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This commitment was collateralized by a security interest in certain machinery and equipment the Company acquired from ISMMS, as defined in a separate security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 amended the DECD Loan Agreement (as amended, the “2022 Amended DECD Loan Agreement”). The terms of the 2022 Amended DECD Loan Agreement require the Company to make interest-only payments through July 2024 and require the Company to make principal and interest payments commencing in August 2024 through July 2029 at a fixed annual interest rate of 2.0%.</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made principal payments totaling $0.3 million and $0.6 million, respectively. The outstanding loan balance from the 2022 Amended DECD Loan Agreement was $5.2 million as of June 30,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Purchase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purchase commitments with software and equipment providers as of June 30, 2025 with a remaining term of at least one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multi-year purchase commitments.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the lease obligations from those disclosed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the 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 may become subject to various claims and legal actions arising in the ordinary course of business. The Company does not believe that the outcome of any existing matters will have a material effect on the Company’s condensed consolidated financial statements. However, no assurance can be given that the ultimate resolution of such proceedings will not materially impact the Company’s condensed consolidated financial statements.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 was not a party to any material legal proceedings as of June 30, 2025, nor is it a party to any material legal proceedings as of the date of issuance of these condensed consolidated financial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styled Helo v. Sema4 Holdings Corp., et al, 22-cv-1131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does not reassert most of the earlier allegations, and purports to allege that the defendants made false and misleading statements about the abilities and potential of Centrellis, its proprietary intelligence platform, in violation of Sections 10(b) and 20(a) of the Securities Exchange Act of 1934, as amended (the “Exchange Act”), and seeks unspecified compensatory damages, fees and costs. The Company’s motion to dismiss the second amended complaint was denied on June 23, 2025, and the case will proceed to discovery.</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the Helo class action referenced above (or certain other developments).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25, 2024, a substantially similar stockholder derivative suit was filed in federal court in the District of Connecticut, styled Scinto v. Schadt, et al, 2:24-cv-01100 (D. Conn.). The suit, also purportedly brought on the Company’s behalf against certain of its former or current officers and directors, asserts claims for breach of fiduciary duty, unjust enrichment, corporate waste, and violations of Sections 10(b) and 14(a) of the Exchange Act. The Company is named only as a nominal defendant. The complaint seeks damages on the Company’s behalf, as well as corporate governance reforms and other relief. On August 8, 2024, the Court issued an order staying this suit until the earlier of a commencement of discovery, announcement of settlement, or dismissal with prejudice in the Helo class action referenced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condensed consolidated statements of operations and comprehensive income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48"/>
        </w:trPr>
        <w:tc>
          <w:tcPr>
            <w:tcW w:w="45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stock-based compensation expense</w:t>
            </w:r>
            <w:r>
              <w:rPr>
                <w:rFonts w:ascii="Times New Roman" w:cs="Times New Roman" w:eastAsia="Times New Roman" w:hAnsi="Times New Roman"/>
                <w:sz w:val="23"/>
                <w:szCs w:val="23"/>
                <w:color w:val="auto"/>
                <w:vertAlign w:val="superscript"/>
              </w:rPr>
              <w:t>1,2</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an aggregate reversal of stock-based compensation of $0.2 million and $0.1 million during the three months ended June 30, 2025 and 2024, respectively, and $0.8 million and $3.3 million during the six months ended June 30, 2025 and 2024, respectively, due to forfeiture activities upon employee terminations.</w:t>
      </w:r>
    </w:p>
    <w:p>
      <w:pPr>
        <w:ind w:left="340" w:hanging="332"/>
        <w:spacing w:after="0" w:line="283"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$0.4 million and $0.1 million of expenses related to the 2021 Employee Stock Purchase Plan for the three months ended June 30, 2025 and 2024, respectively, and $0.7 million and $0.1 million of expenses for the six months ended June 30, 2025 and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Amended and Restated 2021 Equity Incentive Plan (the “2021 Plan”), which allows for grants of stock-based awards. No awards granted under the 2021 Plan are exercisable after 10 years from the date of grant, and the awards granted under the 2021 Plan generally vest over a four-year period on a graded vesting basis; however, the Company also granted certain restricted stock units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2025, the number of Class A common stock reserved for future issuance under the 2021 Plan automatically increased by 1,400,827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was an aggregate of 3,007,791 shares available for grants of stock options or other awards under the 2021 Plan and Equity Inducement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stock options granted under the 2021 Plan are accounted for as time-based equity awards. The following table summarizes the stock option activity during the six months ended June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9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940" w:type="dxa"/>
            <w:vAlign w:val="bottom"/>
            <w:gridSpan w:val="3"/>
            <w:vMerge w:val="continue"/>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120" w:type="dxa"/>
            <w:vAlign w:val="bottom"/>
          </w:tcPr>
          <w:p>
            <w:pPr>
              <w:spacing w:after="0"/>
              <w:rPr>
                <w:sz w:val="12"/>
                <w:szCs w:val="12"/>
                <w:color w:val="auto"/>
              </w:rPr>
            </w:pPr>
          </w:p>
        </w:tc>
        <w:tc>
          <w:tcPr>
            <w:tcW w:w="17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2025</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275,244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Non-vested options outstanding as of June 30, 2025 were 30,604 with a weighted-average grant-date fair value of $45.87. As of June 30, 2025, unrecognized stock-based compensation cost related to the unvested portion of the Company’s stock options was $0.2 million, which is expected to be recognized on a graded-vesting basis over a weighted-average period of 0.7 years.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and total fair value of options with tranches vested during the six months ended June 30, 2025 was $46.76 and $0.4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six months ended June 30, 2025. The aggregate intrinsic value of options exercised during the six months ended June 30, 2025 was $2.4 million, and is calculated based on the difference between the exercise price and the fair value of the Company’s Class A common stock as of the exercise date. There were no options forfeited or canceled during the six months ended June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granted under the 2021 Plan are accounted for as either time-based restricted stock units (“RSUs”) or performance-based restricted stock units (“PRSUs”). Restricted stock units convert to Class A common stock on a one-for-one basis as the awards vest. The Company measures the fair value of restricted stock units at fair value based on the closing price of the underlying common stock on the grant date. The following table summarizes restricted stock unit activity during the six months ended June 30,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Pr>
          <w:p>
            <w:pPr>
              <w:spacing w:after="0"/>
              <w:rPr>
                <w:sz w:val="13"/>
                <w:szCs w:val="13"/>
                <w:color w:val="auto"/>
              </w:rPr>
            </w:pPr>
          </w:p>
        </w:tc>
        <w:tc>
          <w:tcPr>
            <w:tcW w:w="1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2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Date-Fair Value Per Unit</w:t>
            </w:r>
          </w:p>
        </w:tc>
        <w:tc>
          <w:tcPr>
            <w:tcW w:w="0" w:type="dxa"/>
            <w:vAlign w:val="bottom"/>
          </w:tcPr>
          <w:p>
            <w:pPr>
              <w:spacing w:after="0"/>
              <w:rPr>
                <w:sz w:val="1"/>
                <w:szCs w:val="1"/>
                <w:color w:val="auto"/>
              </w:rPr>
            </w:pPr>
          </w:p>
        </w:tc>
      </w:tr>
      <w:tr>
        <w:trPr>
          <w:trHeight w:val="22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72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73,677 PRSUs granted during the six months ended June 30, 2025 with a weighted-average grant-date fair value of $98.47.</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approved an award of 73,677 PRSUs to certain executives. The grant date fair value of the PRSUs is based on the fair value of the Company’s Class A common stock on the grant date. The awards have both time-based and performance-based vesting conditions. The actual number of shares earned on vesting ranges from 0% to 200% of the target number of shares granted, depending on the attainment of specified performance goals established for the years ending December 31, 2025 and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six months ended June 30, 2025 was $7.1 million. As of June 30, 2025, unrecognized stock-based compensation expense related to the Company’s restricted stock units was $41.1 million, which is expected to be recognized on a graded-vesting basis over a weighted-average period of 2.0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 In January 2025, the number of class A common stock reserved for future issuance under the 2021 ESPP automatically increased by 280,165 shares.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22,674 shares of Class A common stock under the 2021 ESPP during the three and six months ended June 30, 2025. As of June 30, 2025, a total of 827,322 shares of Class A common stock have been reserved for future issuance under the 2021 ESPP.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was a $0.2 million benefit and $0.2 million of expense for the three and six months ended June 30, 2025, respectively. Income tax was a benefit of $0.2 million and $0.3 million for the three and six months ended June 30, 2024, respectively. Income taxes for these periods are recorded at the Company’s estimated annual effective income tax rate, subject to adjustments for discrete events should they occur. The Company’s effective tax rate for the three and six months ended June 30, 2025 was (2.3%) and 4.5%, respectively. The Company’s effective tax rate for the three and six months ended June 30, 2024 was 0.6% and 0.5%,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2025 and 2024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This legislation includes changes to U.S. federal tax law, which may be subject to further clarification and the issuance of interpretive guidance. The Company is assessing the legislation and its effect on its consolidated financial statements, which it expects to begin reflecting in the third fiscal quarter of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attributable to common stockholders: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(49,412)</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26,617,955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28,365,018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26,340,063</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29,753,933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26,340,063</w:t>
            </w: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computation of diluted earnings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attributable to common stockholders for the period presented as the effect would be anti-dilutive:</w:t>
      </w:r>
    </w:p>
    <w:p>
      <w:pPr>
        <w:spacing w:after="0" w:line="18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Three and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restricted stock units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2,557,738</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2021 ESPP shares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683,587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3,253,520</w:t>
            </w:r>
          </w:p>
        </w:tc>
      </w:tr>
      <w:tr>
        <w:trPr>
          <w:trHeight w:val="21"/>
        </w:trPr>
        <w:tc>
          <w:tcPr>
            <w:tcW w:w="7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Financial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to the total of the same amounts shown on the condensed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as of June 30, 2025 and December 31, 2024 primarily consists of money market deposit accounts that secure an irrevocable standby letter of credit that serves as collateral for a security deposit for operating leases.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party payor reserves, short-term</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0" w:type="dxa"/>
            <w:vAlign w:val="bottom"/>
          </w:tcPr>
          <w:p>
            <w:pPr>
              <w:spacing w:after="0"/>
              <w:rPr>
                <w:sz w:val="1"/>
                <w:szCs w:val="1"/>
                <w:color w:val="auto"/>
              </w:rPr>
            </w:pPr>
          </w:p>
        </w:tc>
      </w:tr>
      <w:tr>
        <w:trPr>
          <w:trHeight w:val="21"/>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contingent consideration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party payor reserve, long-term</w:t>
            </w:r>
          </w:p>
        </w:tc>
        <w:tc>
          <w:tcPr>
            <w:tcW w:w="28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Sales Agreement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sales agreement (the “Sales Agreement”) with TD Securities (USA) LLC (“TD Cowen”) in April 2024, pursuant to which the Company may, but is not obligated to, offer and sell, from time to time, shares of its Class A common stock with an aggregate offering price up to $75.0 million through TD Cowen, as sales agent, subject to the terms and conditions described in the Sales Agreement and SEC rules and regulations (the “ATM offering”). During the year ended December 31, 2024, the Company issued 825,379 shares of its Class A common stock in connection with the ATM offering at an average price of $58.41 per share. Proceeds received, net of agent fees and other offering expenses, were $46.5 million. During the six months ended June 30, 2025, the Company issued 150,000 shares of its Class A common stock in connection with the ATM offering at an average price of $96.10 per share. Proceeds received, net of agent fees and other offering expenses, were $13.8 million. As of June 30, 2025, approximately $12.4 million of capacity remained available under this ATM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structure is aligned with how the chief operating decision maker (“CODM”) reviews the business, makes investing and resource allocation decisions and assesses operating performance. The Company’s CODM is its Chief Executive Officer. As of June 30, 2025, the Company has identified the GeneDx operating segment as its one reportable segment. The GeneDx operating segment primarily provides pediatric and rare disease diagnostics with a focus on whole exome and genome sequencing and, to a lesser extent, data and information services. The Company has also identified two other operating segments: (1) Fabric Genomics and (2) Legacy Sema4, which was completely shut down in 2023 and is winding down its operating activities. The Fabric Genomics and Legacy Sema4 operating segments do not meet the quantitative thresholds for reportable segments and are collectively reported in Other.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evaluates segment performance based on revenue and adjusted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9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70,514</w:t>
            </w:r>
          </w:p>
        </w:tc>
      </w:tr>
      <w:tr>
        <w:trPr>
          <w:trHeight w:val="22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26,668</w:t>
            </w:r>
          </w:p>
        </w:tc>
      </w:tr>
      <w:tr>
        <w:trPr>
          <w:trHeight w:val="223"/>
        </w:trPr>
        <w:tc>
          <w:tcPr>
            <w:tcW w:w="3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43,846</w:t>
            </w:r>
          </w:p>
        </w:tc>
      </w:tr>
      <w:tr>
        <w:trPr>
          <w:trHeight w:val="257"/>
        </w:trPr>
        <w:tc>
          <w:tcPr>
            <w:tcW w:w="3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42,952</w:t>
            </w:r>
          </w:p>
        </w:tc>
      </w:tr>
      <w:tr>
        <w:trPr>
          <w:trHeight w:val="21"/>
        </w:trPr>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9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132,936</w:t>
            </w: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50,767</w:t>
            </w:r>
          </w:p>
        </w:tc>
      </w:tr>
      <w:tr>
        <w:trPr>
          <w:trHeight w:val="223"/>
        </w:trPr>
        <w:tc>
          <w:tcPr>
            <w:tcW w:w="3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82,169</w:t>
            </w:r>
          </w:p>
        </w:tc>
      </w:tr>
      <w:tr>
        <w:trPr>
          <w:trHeight w:val="257"/>
        </w:trPr>
        <w:tc>
          <w:tcPr>
            <w:tcW w:w="3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services and adjusted gross profit exclude depreciation and amortization expense, stock-based compensation expense and restructuring costs.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2024 (the “2024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 “</w:t>
      </w:r>
      <w:r>
        <w:rPr>
          <w:rFonts w:ascii="Times New Roman" w:cs="Times New Roman" w:eastAsia="Times New Roman" w:hAnsi="Times New Roman"/>
          <w:sz w:val="18"/>
          <w:szCs w:val="18"/>
          <w:i w:val="1"/>
          <w:iCs w:val="1"/>
          <w:color w:val="auto"/>
        </w:rPr>
        <w:t>Organization and Description of Business</w:t>
      </w:r>
      <w:r>
        <w:rPr>
          <w:rFonts w:ascii="Times New Roman" w:cs="Times New Roman" w:eastAsia="Times New Roman" w:hAnsi="Times New Roman"/>
          <w:sz w:val="18"/>
          <w:szCs w:val="18"/>
          <w:color w:val="auto"/>
        </w:rPr>
        <w:t>” to our condensed consolidated financial statements included in this Quarterly Report for more information on the Company’s history.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“Item 1A. Risk Factors” in this Quarterly Report and in our 2024 Form 10-K and our Quarterly Report for the quarterly period ended March 31, 2025, which are incorporated by reference in this Quarterly Report,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Volume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number of resulted exome and genome tests in any period is important and useful to investors because it directly correlates with long-term patient relationships and the size of our genomic database. During the three months ended June 30, 2025, we resulted 23,102 exome and genome tests, which represented 41% of all test results, compared to the three months ended June 30, 2024, in which we resulted approximately 18,017 exome and genome tests, which represented 31% of all test results. During the six months ended June 30, 2025, we resulted 43,664 exome and genome tests, which represented 41% of all test results, compared to the six months ended June 30, 2024, in which we resulted approximately 34,609 exome and genome tests, which represented 31% of all test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with the acquisition of Fabric Genomics, we generate revenues through software subscriptions as well as clinical and consulting services as part of the arrangements related to rare disease, hereditary risk, and cancer testing. Our customers include clinical laboratories, hospitals, and research institutions. Our ability to increase this revenue will depend on our ability to expand our customer base among hospitals and genomic centers, along with increased adoption of whole genome sequencing and AI-enabled interpretation in clinical workflows.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services reflects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 and information technology costs associated with delivery services. Allocated costs include depreciation of laboratory equipment, facility occupancy, and information technology costs. The cost of services is recorded as the services are performed.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primarily consist of compensation expenses for employees performing commercial sales, account management, marketing, and certain genetic counseling services. Selling and marketing costs are expensed as incurred.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and maintaining compliance with requirements of Nasdaq and of the SEC.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40" w:type="dxa"/>
            <w:vAlign w:val="bottom"/>
            <w:tcBorders>
              <w:bottom w:val="single" w:sz="8" w:color="auto"/>
            </w:tcBorders>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auto"/>
            </w:tcBorders>
            <w:shd w:val="clear" w:color="auto" w:fill="CCEEFF"/>
          </w:tcPr>
          <w:p>
            <w:pPr>
              <w:spacing w:after="0"/>
              <w:rPr>
                <w:sz w:val="24"/>
                <w:szCs w:val="24"/>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 test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6"/>
        </w:trPr>
        <w:tc>
          <w:tcPr>
            <w:tcW w:w="4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$32.2 million, or 46%, to $102.7 million for the three months ended June 30, 2025, from $70.5 million for the three months ended June 30, 2024.</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by $30.4 million, or 44%, to $99.8 million for the three months ended June 30, 2025, from $69.4 million for the three months ended June 30, 2024. The increase primarily reflected an increase of 69% in whole exome and genome sequencing revenues driven by a 28% increase in test volumes.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revenue increased by $1.8 million or 167%, to $2.9 million for the three months ended June 30, 2025, from $1.1 million for the three months ended June 30, 2024. The increase reflects $0.9 million of revenue from the recently acquired Fabric Genomics operating segment and the continued expansion of data and bio pharma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$28.0 million or 65%, to $70.9 million for the three months ended June 30, 2025, from $43.0 million for the three months ended June 30, 2024, driven by a combination of a shift in test mix to more profitable whole exome and genome tests, improvement in exome average reimbursement rates, and continued cost per test leverage.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$4.2 million, or 38%, to $15.1 million for the three months ended June 30, 2025, from $10.9 million for the three months ended June 30, 2024. The increase was driven by higher overall compensation costs of $3.4 million, which reflects an investment to expand our product development team and the research and development costs of Fabric Genomics. In addition, the prior period included a benefit of $1.1 million to reverse stock-based compensation expense associated with forfeitures of unvested equity awards of terminated employees.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by $2.9 million, or 17%, to $19.4 million for the three months ended June 30, 2025, from $16.6 million for the three months ended June 30, 2024. This primarily reflects our investment to support growth in our commercial team, as well as the selling and marketing costs of Fabric Genomics.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$1.4 million, or 5%, to $27.4 million for the three months ended June 30, 2025, from $26.0 million for the three months ended June 30, 2024. The increase was primarily attributable to increased compensation related costs of $5.0 million, higher IT software and infrastructure costs of $2.9 million, higher legal costs of $1.3 million, and increased amortization expense for acquired intangible assets established in connection with purchase accounting. These increases were partially offset by a one-time sales-and-use tax refund of $8.4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Non-operating income (expense), net improved by $20.4 million. The current quarter results primarily reflected a gain of $3.1 million for the change in the fair value of public and private warrants, partially offset by expense of $0.9 million for the change in fair value of the contingent consideration. The prior period results primarily reflected legal reserves, net of insurance, of approximately $13.4 million and a non-cash charge of $5.1 million associated with the exercise of the Perceptive Warrant.</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our condensed consolidated financial statements for further information on the changes in fair value of our warrants and contingent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20" w:type="dxa"/>
            <w:vAlign w:val="bottom"/>
            <w:tcBorders>
              <w:bottom w:val="single" w:sz="8" w:color="auto"/>
            </w:tcBorders>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20" w:type="dxa"/>
            <w:vAlign w:val="bottom"/>
            <w:tcBorders>
              <w:top w:val="single" w:sz="8" w:color="auto"/>
            </w:tcBorders>
            <w:shd w:val="clear" w:color="auto" w:fill="CCEEFF"/>
          </w:tcPr>
          <w:p>
            <w:pPr>
              <w:spacing w:after="0"/>
              <w:rPr>
                <w:sz w:val="24"/>
                <w:szCs w:val="24"/>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6"/>
        </w:trPr>
        <w:tc>
          <w:tcPr>
            <w:tcW w:w="4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revenue increased by $56.9 million, or 43%, to $189.8 million for the six months ended June 30, 2025, from $132.9 million for the six months ended June 30, 2024.</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by $55.0 million, or 42%, to $185.6 million for the six months ended June 30, 2025, from $130.5 million for the six months ended June 30, 2024. The increase is attributable to increase of 66% in whole exome and genome sequencing revenues driven by a 26% increase in test volumes and a 32% increase in average reimbursement rates. This was partially offset by declines in other non-exome test revenues.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by $1.8 million, or 77%, to $4.2 million for the six months ended June 30, 2025, from $2.4 million for the six months ended June 30, 2024. The increase reflects $0.9 million of revenue from the recently acquired Fabric Genomics operating segment and the continued expansion of data and bio pharma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$49.0 million for the six months ended June 30, 2025, driven by a combination of a shift in test mix to more profitable whole exome and genome tests, improvement in exome average reimbursement rates, and continued cost per test leverage.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$5.2 million, or 23%, to $27.7 million for the six months ended June 30, 2025, from $22.5 million for the six months ended June 30, 2024. The increase was primarily attributable to compensation related costs of $7.0 million which reflects an investment to expand our product development team and the research and development costs of Fabric Genomics. The increase was partially offset by lower costs associated with the Guardian newborn screening study.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by $5.1 million, or 16%, to $37.8 million for the six months ended June 30, 2025, from $32.7 million for the six months ended June 30, 2024. The increase was primarily attributable to higher compensation related costs of $4.5 million which reflects our investment to support growth in our commercial team, as well as the selling and marketing costs of Fabric Genomics.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$10.1 million, or 20%, to $59.5 million for the six months ended June 30, 2025, from $49.5 million for the six months ended June 30, 2024. The increase was primarily attributable to increased compensation related costs of $11.9 million, higher IT software and infrastructure costs of $3.1 million, higher legal costs of $2.8 million and increased amortization expense for acquired intangible assets established in connection with purchase accounting. These increases were partially offset by a one-time sales-and-use tax refund of $8.4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 Net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Non-operating income (expense), net, improved by $25.5 million.The current year period included a gain of $2.0 million for the change in the fair value of public and private warrants, partially offset by expense of $0.9 million for the change in fair value of the contingent consideration. The prior year period primarily included legal reserves, net of insurance, of approximately $13.4 million, and non-cash charges of $5.1 million associated with the exercise of the Perceptive Warrant exercised and $5.4 million driven by the increase in fair value of our public and private placement warrants and Perceptive Warrant driven primarily by the increase in our share price.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gross profit to our adjusted gross profit and of our gross margin to adjusted gross margin for the three and six months ended June 30,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102,692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70,514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189,807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132,936</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31,790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60,429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52,573</w:t>
            </w:r>
          </w:p>
        </w:tc>
      </w:tr>
      <w:tr>
        <w:trPr>
          <w:trHeight w:val="25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70,902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42,952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129,378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80,363</w:t>
            </w: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69.0 %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60.9 %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68.2 %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60.5 %</w:t>
            </w: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1,624</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72,484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43,846</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132,203</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82,169</w:t>
            </w: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gross margin</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70.6 %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62.2 %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69.7 %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61.8 %</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(loss) is a non-GAAP financial measure that we define as net income (loss) adjusted for depreciation and amortization, stock-based compensation expenses, restructuring costs, change in fair value of warrants and contingent liabilities, interest expense (net), income tax expense (benefit), transaction costs, legal reserves and tax refunds.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income (loss) to adjusted net income (loss) for the three and six months ended June 30,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(49,412)</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29"/>
        </w:trPr>
        <w:tc>
          <w:tcPr>
            <w:tcW w:w="5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8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2025, represents interest expense, net, income tax expense, net, transaction costs associated with the Merger Agreement and a sales-and-use tax refund. For the three and six months ended June 30, 2024, represents interest expense, net, income tax benefit, net, and reserves net of insurance for a certain litigation matter.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our existing cash and cash equivalents and available-for-sale marketable securities were $134.6 million.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and available-for-sale marketable securities provide us with sufficient liquidity for at least twelve months from the filing date of this Quarterly Report. 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effective shelf registration statement that we filed with the SEC in August of 2022, registering $300.0 million shares of our Class A common stock and other securities, and we may file a new shelf registration statement with the SEC to replace the existing registration statement and replenish the amount of securities registered. As of June 30, 2025, approximately $87.8 million of securities remained available under this registration statement. Further, we have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As of June 30, 2025, approximately $12.4 million of capacity remained available under this ATM offering.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fulfilling our contractual obligations and commitments with existing cash and cash equivalents and available-for-sale marketable securities or through additional capital raised to finance our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the notes to our condensed consolidated financial statements, in 2022, we entered into an agreement with one of our third-party payors to settle claims related to coverage and billing matters allegedly resulting in overpayments by the payor to Legacy Sema4. As of June 30, 2025, remaining payments due to the payor were $12.0 million. For more information regarding this matter, see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consolidated financial statements included in our 2024 Form 10-K and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condensed consolidated financial statements included within this Quarterly Report,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2024 Form 10-K. Except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 there have been no material changes to our critical accounting policies and estimates in the current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7260" w:type="dxa"/>
            <w:vAlign w:val="bottom"/>
          </w:tcPr>
          <w:p>
            <w:pPr>
              <w:spacing w:after="0"/>
              <w:rPr>
                <w:sz w:val="22"/>
                <w:szCs w:val="22"/>
                <w:color w:val="auto"/>
              </w:rPr>
            </w:pPr>
          </w:p>
        </w:tc>
        <w:tc>
          <w:tcPr>
            <w:tcW w:w="32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2"/>
                <w:szCs w:val="22"/>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20,602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(45,758)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(21,858)</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14,064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June 30, 2025 was $20.6 million, driven by a net income of $4.3 million, net adjustments of $29.3 million driven by depreciation and amortization expense and stock-based compensation expense. The impact of the changes in operating assets and liabilities was primarily attributable to increased accounts receivables driven by the growth of the whole exome and genome testing volumes and partially offset by increased accounts payables and accruals due to the timing of vendor payments.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2024 was $20.9 million, driven by lower cash expenditures associated with the current year period net loss as compared with the prior year period, which reflected improved gross margin profitability, as well as the realization of cost savings from exiting the Legacy Sema4 business and other cost reduction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was $45.8 million, which included $33.2 million for the acquisition of Fabric Genomics, purchases of marketable securities of $30.8 million and property and equipment of $8.5 million, partially offset by $26.7 million in proceeds from the maturities of marketable securities.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$21.9 million, which included net purchases of marketable securities of $29.4 million and property and equipment of $1.8 million, partially offset by $9.3 million in proceeds from the sales and maturities of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2025 was $14.1 million, which primarily reflected proceeds from the ATM offering of $13.8 million.</w:t>
      </w:r>
    </w:p>
    <w:p>
      <w:pPr>
        <w:spacing w:after="0" w:line="108" w:lineRule="exact"/>
        <w:rPr>
          <w:sz w:val="20"/>
          <w:szCs w:val="20"/>
          <w:color w:val="auto"/>
        </w:rPr>
      </w:pPr>
    </w:p>
    <w:p>
      <w:pPr>
        <w:ind w:right="600"/>
        <w:spacing w:after="0" w:line="438" w:lineRule="auto"/>
        <w:rPr>
          <w:sz w:val="20"/>
          <w:szCs w:val="20"/>
          <w:color w:val="auto"/>
        </w:rPr>
      </w:pPr>
      <w:r>
        <w:rPr>
          <w:rFonts w:ascii="Times New Roman" w:cs="Times New Roman" w:eastAsia="Times New Roman" w:hAnsi="Times New Roman"/>
          <w:sz w:val="18"/>
          <w:szCs w:val="18"/>
          <w:color w:val="auto"/>
        </w:rPr>
        <w:t xml:space="preserve">Net cash used in financing activities during the six months ended June 30, 2024 was $0.8 million, which reflected finance lease principal payments. </w:t>
      </w:r>
      <w:r>
        <w:rPr>
          <w:rFonts w:ascii="Times New Roman" w:cs="Times New Roman" w:eastAsia="Times New Roman" w:hAnsi="Times New Roman"/>
          <w:sz w:val="18"/>
          <w:szCs w:val="18"/>
          <w:b w:val="1"/>
          <w:bCs w:val="1"/>
          <w:color w:val="auto"/>
        </w:rPr>
        <w:t>JOBS Act Accounting Election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Additional information on recent accounting pronouncements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within our 2024 Form 10-K, and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$135.5 million as of June 30, 2025 and $142.2 million as of December 31, 2024,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interest rate risk on our variable rate debt associated with the Perceptive term loan facility. Changes in interest rates can impact future interest payments we are obligated to pay. A 100-basis point change in interest rates would not have a material effect on the total future interest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condensed consolidated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2025. Based on that evaluation, our Chief Executive Officer and Chief Financial Officer concluded that our disclosure controls and procedures were effective as of June 30, 2025, the end of the period covered by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six months ended June 30, 2025 covered by this Quarterly Report on Form 10-Q that has materially affected, or is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Information required under this Item is contained above in Part I. Financial Information, Item 1, Note 10,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to our condensed consolidated financial statements included within this Quarterly Report and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Except for as set forth below, there have been no material changes in our risk factors from those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2024 Form 10-K and in Part II, Item 1A “Risk Factors” of our Quarterly Report for the quarterly period ended March 31, 2025, filed with the SEC on April 30, 2025, which sections are incorporated by reference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FDA oversight for laboratory developed tests (“LDTs”) could subject our operations to much more significant regulatory requirements.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the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the FDA outlined its plans to end enforcement discretion for many LDTs in five stages over a four-year period. In response, multiple lawsuits were filed challenging the FDA’s authority to regulate LDTs as medical devices under the Federal Food, Drug, and Cosmetic Act (FDCA). On March 31, 2025, the U.S. District Court for the Eastern District of Texas struck down the 2024 final rule on the grounds that the FDA exceeded its authority under the FDCA. The FDA did not appeal the court’s ruling. As a result, clinical laboratories offering LDTs are not required to comply with any of the phases of the final rule.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time-to-time. If the FDA ultimately regulates certain LDTs, our tests may become subject to extensive FDA requirements and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preparing submissions that comply with applicable premarket review requirements. Furthermore,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Adoptions and Modifications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to our Annual Report on Form 10-K for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updates Part I, Item 1</w:t>
      </w:r>
      <w:r>
        <w:rPr>
          <w:rFonts w:ascii="Times New Roman" w:cs="Times New Roman" w:eastAsia="Times New Roman" w:hAnsi="Times New Roman"/>
          <w:sz w:val="18"/>
          <w:szCs w:val="18"/>
          <w:i w:val="1"/>
          <w:iCs w:val="1"/>
          <w:color w:val="auto"/>
        </w:rPr>
        <w:t>. “Business—Intellectual Property—Patents”</w:t>
      </w:r>
      <w:r>
        <w:rPr>
          <w:rFonts w:ascii="Times New Roman" w:cs="Times New Roman" w:eastAsia="Times New Roman" w:hAnsi="Times New Roman"/>
          <w:sz w:val="18"/>
          <w:szCs w:val="18"/>
          <w:color w:val="auto"/>
        </w:rPr>
        <w:t xml:space="preserve"> in our 2024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one issued U.S. design patent, fourteen pending U.S. non-provisional utility patent applications, eight pending U.S. provisional patent applications, and one pending international PCT patent application. The issued U.S. design patent relates to a display screen with a graphical user interface. The utility patent applications include a U.S. patent application related to performing phenotypic fit analysis, a U.S. patent application related to analyzing genetic variations and phenotypes, a U.S. patent application related to modeling inference of mutation impact, a U.S. patent application related to generating a cancer determination from electronic health records using a cancer determination analysis system, a U.S. patent application related to providing a homologous recombination DNA repair deficiency score for a cancer patient, a U.S. patent application related to therapeutic treatment for subjects having certain polymorphic markers associated with specific human leukocyte antigen alleles, a U.S. patent application relating to analyzing phenotype-causing genomic variants, a U.S. patent application relating to prioritizing phenotype-causing genomic variants in combination with biomedical ontologies, a U.S. patent application relating to prioritizing phenotype-causing genomic variants in combination with clinical information, and an international PCT patent application relating to analyzing long biological sequence data. If patents are issued from the currently pending applications, the earliest patents will begin expiring in the early 2030s,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Regulation—Diagnostic Products and FDA Oversight of Laboratory Developed Tests”</w:t>
      </w:r>
      <w:r>
        <w:rPr>
          <w:rFonts w:ascii="Times New Roman" w:cs="Times New Roman" w:eastAsia="Times New Roman" w:hAnsi="Times New Roman"/>
          <w:sz w:val="18"/>
          <w:szCs w:val="18"/>
          <w:color w:val="auto"/>
        </w:rPr>
        <w:t xml:space="preserve"> in our 2024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Oversight of Laboratory Developed Tests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the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the FDA outlined its plans to end enforcement discretion for many LDTs in five stages over a four-year period.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multiple lawsuits were filed challenging the FDA’s authority to regulate LDTs as medical devices under the Federal Food, Drug, and Cosmetic Act (FDCA). On March 31, 2025, the U.S. District Court for the Eastern District of Texas struck down the 2024 final rule on the grounds that the FDA exceeded its authority under the FDCA. The FDA did not appeal the court’s ruling. As a result, clinical laboratories offering LDTs are not required to comply with any of the phases of the final rule.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time-to-time. For example, versions of the Verifying Accurate Leading-edge IVCT Development Act (the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FDCA and establish a risk-based approach to imposing requirements related to premarket review, quality systems, and labeling requirements on all IVCTs, including LDTs, but a grandfathering provision would create exemptions from certain requirements for certain LDTs (e.g., LDTs first offered for clinical use not later than May 6, 2024). The likelihood that Congress will pass such legislation is difficult to predict at this time.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ultimately regulates certain LDTs, our tests may be subject to certain additional regulatory requirements. Complying with the FDA’s requirements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comply with applicable premarket review requirements, and adhere to the FDA’s current Good Manufacturing Practices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and/or our quality control practices, it may impose restrictions on marketing specific products until corrected. Regulation by governmental authorities in the United States and other countries may be a significant factor in how we develop, test, produce and market our diagnostic test products.</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76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00" w:type="dxa"/>
            <w:vAlign w:val="bottom"/>
            <w:tcBorders>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209"/>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760" w:type="dxa"/>
            <w:vAlign w:val="bottom"/>
            <w:gridSpan w:val="1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Third Amended and Restated Certificate of Incorporation, as amended.</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09"/>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Non-Employee Director Compensation Policy, effective April 10, 2025.</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10"/>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Joinder Agreement, dated July 2, 2025 by Fabric Genomics, Inc. in favor of Perceptive Credit Holdings IV, LP.</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960" w:type="dxa"/>
            <w:vAlign w:val="bottom"/>
            <w:tcBorders>
              <w:top w:val="single" w:sz="8" w:color="0000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10"/>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Guarantee Assumption Agreement, dated July 2, 2025, by Fabric Genomics, Inc.</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720" w:type="dxa"/>
            <w:vAlign w:val="bottom"/>
            <w:tcBorders>
              <w:top w:val="single" w:sz="8" w:color="0000FF"/>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FF"/>
            </w:tcBorders>
            <w:gridSpan w:val="10"/>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80" w:type="dxa"/>
            <w:vAlign w:val="bottom"/>
            <w:tcBorders>
              <w:top w:val="single" w:sz="8" w:color="CCEEFF"/>
            </w:tcBorders>
            <w:gridSpan w:val="3"/>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0" w:type="dxa"/>
            <w:vAlign w:val="bottom"/>
            <w:tcBorders>
              <w:top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4"/>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1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540" w:type="dxa"/>
            <w:vAlign w:val="bottom"/>
            <w:tcBorders>
              <w:top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tcBorders>
              <w:top w:val="single" w:sz="8" w:color="CCEEFF"/>
            </w:tcBorders>
            <w:gridSpan w:val="5"/>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1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1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rPr>
              <w:t>Policy Relating to Recovery of Erroneously Awarded Compensation.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19"/>
                <w:szCs w:val="19"/>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20" w:type="dxa"/>
            <w:vAlign w:val="bottom"/>
            <w:shd w:val="clear" w:color="auto" w:fill="CCEEFF"/>
          </w:tcPr>
          <w:p>
            <w:pPr>
              <w:spacing w:after="0"/>
              <w:rPr>
                <w:sz w:val="19"/>
                <w:szCs w:val="19"/>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19"/>
                <w:szCs w:val="19"/>
                <w:color w:val="auto"/>
              </w:rPr>
            </w:pPr>
          </w:p>
        </w:tc>
        <w:tc>
          <w:tcPr>
            <w:tcW w:w="88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33"/>
        </w:trPr>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54" w:lineRule="exact"/>
        <w:rPr>
          <w:sz w:val="20"/>
          <w:szCs w:val="20"/>
          <w:color w:val="auto"/>
        </w:rPr>
      </w:pPr>
    </w:p>
    <w:p>
      <w:pPr>
        <w:ind w:left="980" w:right="1680" w:hanging="587"/>
        <w:spacing w:after="0" w:line="263"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refiling its Third Amended and Restated Certificate of Incorporation, together with the Certificates of Amendments thereto, in one consolidated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49" w:lineRule="exact"/>
        <w:rPr>
          <w:sz w:val="20"/>
          <w:szCs w:val="20"/>
          <w:color w:val="auto"/>
        </w:rPr>
      </w:pPr>
    </w:p>
    <w:p>
      <w:pPr>
        <w:ind w:left="980" w:hanging="587"/>
        <w:spacing w:after="0"/>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w:t>
      </w:r>
    </w:p>
    <w:p>
      <w:pPr>
        <w:spacing w:after="0" w:line="45"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w:t>
      </w:r>
    </w:p>
    <w:p>
      <w:pPr>
        <w:spacing w:after="0" w:line="46" w:lineRule="exact"/>
        <w:rPr>
          <w:sz w:val="20"/>
          <w:szCs w:val="20"/>
          <w:color w:val="auto"/>
        </w:rPr>
      </w:pPr>
    </w:p>
    <w:p>
      <w:pPr>
        <w:ind w:left="980" w:right="1540" w:hanging="668"/>
        <w:spacing w:after="0" w:line="246" w:lineRule="auto"/>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was previously listed as Exhibit 97.1 to the Company’s Annual Report on Form 10-K for the year ended December 31, 2023, and the Company’s Annual Report on Form 10-K for the year ended December 31, 2024 incorporated such exhibit by reference. However, the hyperlink to this exhibit was inadvertently omitted when the Annual Report on Form 10-K for the year ended December 31, 2023 was filed.</w:t>
      </w: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9700" w:type="dxa"/>
            <w:vAlign w:val="bottom"/>
            <w:gridSpan w:val="3"/>
          </w:tcPr>
          <w:p>
            <w:pPr>
              <w:ind w:left="45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29, 2025</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29, 2025</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Feeley</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Feeley</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32"/>
        </w:trPr>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39</w:t>
            </w:r>
          </w:p>
        </w:tc>
        <w:tc>
          <w:tcPr>
            <w:tcW w:w="4320" w:type="dxa"/>
            <w:vAlign w:val="bottom"/>
          </w:tcPr>
          <w:p>
            <w:pPr>
              <w:spacing w:after="0"/>
              <w:rPr>
                <w:sz w:val="24"/>
                <w:szCs w:val="24"/>
                <w:color w:val="auto"/>
              </w:rPr>
            </w:pPr>
          </w:p>
        </w:tc>
      </w:tr>
    </w:tbl>
    <w:p>
      <w:pPr>
        <w:sectPr>
          <w:pgSz w:w="11900" w:h="16838" w:orient="portrait"/>
          <w:cols w:equalWidth="0" w:num="1">
            <w:col w:w="10340"/>
          </w:cols>
          <w:pgMar w:left="320" w:top="135" w:right="1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CM LIFE SCIENCES,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CM Life Sciences, Inc., a Delaware corporation, hereby certifies as follows:</w:t>
      </w:r>
    </w:p>
    <w:p>
      <w:pPr>
        <w:spacing w:after="0" w:line="216" w:lineRule="exact"/>
        <w:rPr>
          <w:sz w:val="20"/>
          <w:szCs w:val="20"/>
          <w:color w:val="auto"/>
        </w:rPr>
      </w:pPr>
    </w:p>
    <w:p>
      <w:pPr>
        <w:jc w:val="both"/>
        <w:ind w:firstLine="656"/>
        <w:spacing w:after="0" w:line="217" w:lineRule="auto"/>
        <w:tabs>
          <w:tab w:leader="none" w:pos="129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this corporation is “CM Life Sciences, Inc.” The date of the filing of its original Certificate of Incorporation with the Secretary of State of the State of Delaware was July 10, 2020 (the “</w:t>
      </w:r>
      <w:r>
        <w:rPr>
          <w:rFonts w:ascii="Times New Roman" w:cs="Times New Roman" w:eastAsia="Times New Roman" w:hAnsi="Times New Roman"/>
          <w:sz w:val="20"/>
          <w:szCs w:val="20"/>
          <w:b w:val="1"/>
          <w:bCs w:val="1"/>
          <w:i w:val="1"/>
          <w:iCs w:val="1"/>
          <w:color w:val="auto"/>
        </w:rPr>
        <w:t>Original Certificate</w:t>
      </w:r>
      <w:r>
        <w:rPr>
          <w:rFonts w:ascii="Times New Roman" w:cs="Times New Roman" w:eastAsia="Times New Roman" w:hAnsi="Times New Roman"/>
          <w:sz w:val="20"/>
          <w:szCs w:val="20"/>
          <w:color w:val="auto"/>
        </w:rPr>
        <w:t>”), the First Amendment and Restatement to the Original Certificate was filed with the Secretary of State of the State of Delaware on July 13, 2020 (the “</w:t>
      </w:r>
      <w:r>
        <w:rPr>
          <w:rFonts w:ascii="Times New Roman" w:cs="Times New Roman" w:eastAsia="Times New Roman" w:hAnsi="Times New Roman"/>
          <w:sz w:val="20"/>
          <w:szCs w:val="20"/>
          <w:b w:val="1"/>
          <w:bCs w:val="1"/>
          <w:i w:val="1"/>
          <w:iCs w:val="1"/>
          <w:color w:val="auto"/>
        </w:rPr>
        <w:t>First Amended Certificate</w:t>
      </w:r>
      <w:r>
        <w:rPr>
          <w:rFonts w:ascii="Times New Roman" w:cs="Times New Roman" w:eastAsia="Times New Roman" w:hAnsi="Times New Roman"/>
          <w:sz w:val="20"/>
          <w:szCs w:val="20"/>
          <w:color w:val="auto"/>
        </w:rPr>
        <w:t>”), and Second Amended and Restated Certificate of Incorporation was filed with the Secretary of State of the State of Delaware on September 1, 2020 (the “</w:t>
      </w:r>
      <w:r>
        <w:rPr>
          <w:rFonts w:ascii="Times New Roman" w:cs="Times New Roman" w:eastAsia="Times New Roman" w:hAnsi="Times New Roman"/>
          <w:sz w:val="20"/>
          <w:szCs w:val="20"/>
          <w:b w:val="1"/>
          <w:bCs w:val="1"/>
          <w:i w:val="1"/>
          <w:iCs w:val="1"/>
          <w:color w:val="auto"/>
        </w:rPr>
        <w:t>Second Amended Certificate</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Third Amended and Restated Certificate of Incorporation of the corporation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7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this corporation has caused this Restated Certificate of Incorporation to be signed by its duly authorized officer and the foregoing facts stated herein are true and correct.</w:t>
      </w:r>
    </w:p>
    <w:p>
      <w:pPr>
        <w:spacing w:after="0" w:line="1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CM LIFE SCIENCES, INC</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8655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Brian Emes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Secretary</w:t>
      </w:r>
    </w:p>
    <w:p>
      <w:pPr>
        <w:sectPr>
          <w:pgSz w:w="11900" w:h="16838" w:orient="portrait"/>
          <w:cols w:equalWidth="0" w:num="1">
            <w:col w:w="11240"/>
          </w:cols>
          <w:pgMar w:left="320" w:top="11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00" w:lineRule="exact"/>
        <w:rPr>
          <w:sz w:val="20"/>
          <w:szCs w:val="20"/>
          <w:color w:val="auto"/>
        </w:rPr>
      </w:pPr>
    </w:p>
    <w:p>
      <w:pPr>
        <w:spacing w:after="0" w:line="232"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20"/>
          <w:szCs w:val="20"/>
          <w:b w:val="1"/>
          <w:bCs w:val="1"/>
          <w:color w:val="010000"/>
        </w:rPr>
        <w:t>ARTICLE I:</w:t>
      </w:r>
      <w:r>
        <w:rPr>
          <w:sz w:val="20"/>
          <w:szCs w:val="20"/>
          <w:color w:val="auto"/>
        </w:rPr>
        <w:tab/>
      </w:r>
      <w:r>
        <w:rPr>
          <w:rFonts w:ascii="Times New Roman" w:cs="Times New Roman" w:eastAsia="Times New Roman" w:hAnsi="Times New Roman"/>
          <w:sz w:val="19"/>
          <w:szCs w:val="19"/>
          <w:b w:val="1"/>
          <w:bCs w:val="1"/>
          <w:color w:val="auto"/>
        </w:rPr>
        <w:t>NAME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name of the corporation is Sema4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II: </w:t>
      </w:r>
      <w:r>
        <w:rPr>
          <w:rFonts w:ascii="Times New Roman" w:cs="Times New Roman" w:eastAsia="Times New Roman" w:hAnsi="Times New Roman"/>
          <w:sz w:val="20"/>
          <w:szCs w:val="20"/>
          <w:b w:val="1"/>
          <w:bCs w:val="1"/>
          <w:color w:val="000000"/>
        </w:rPr>
        <w:t>AGENT FOR SERVICE OF PROCESS</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III: </w:t>
      </w:r>
      <w:r>
        <w:rPr>
          <w:rFonts w:ascii="Times New Roman" w:cs="Times New Roman" w:eastAsia="Times New Roman" w:hAnsi="Times New Roman"/>
          <w:sz w:val="20"/>
          <w:szCs w:val="20"/>
          <w:b w:val="1"/>
          <w:bCs w:val="1"/>
          <w:color w:val="000000"/>
        </w:rPr>
        <w:t>PURPOSE</w:t>
      </w:r>
    </w:p>
    <w:p>
      <w:pPr>
        <w:spacing w:after="0" w:line="20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20"/>
          <w:szCs w:val="20"/>
          <w:b w:val="1"/>
          <w:bCs w:val="1"/>
          <w:i w:val="1"/>
          <w:iCs w:val="1"/>
          <w:color w:val="auto"/>
        </w:rPr>
        <w:t>General Corporation Law</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IV: </w:t>
      </w:r>
      <w:r>
        <w:rPr>
          <w:rFonts w:ascii="Times New Roman" w:cs="Times New Roman" w:eastAsia="Times New Roman" w:hAnsi="Times New Roman"/>
          <w:sz w:val="20"/>
          <w:szCs w:val="20"/>
          <w:b w:val="1"/>
          <w:bCs w:val="1"/>
          <w:color w:val="000000"/>
        </w:rPr>
        <w:t>AUTHORIZED STOCK</w:t>
      </w:r>
    </w:p>
    <w:p>
      <w:pPr>
        <w:spacing w:after="0" w:line="189" w:lineRule="exact"/>
        <w:rPr>
          <w:sz w:val="20"/>
          <w:szCs w:val="20"/>
          <w:color w:val="auto"/>
        </w:rPr>
      </w:pPr>
    </w:p>
    <w:p>
      <w:pPr>
        <w:jc w:val="both"/>
        <w:ind w:firstLine="656"/>
        <w:spacing w:after="0" w:line="227" w:lineRule="auto"/>
        <w:tabs>
          <w:tab w:leader="none" w:pos="1296" w:val="left"/>
        </w:tabs>
        <w:numPr>
          <w:ilvl w:val="0"/>
          <w:numId w:val="1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Total Authorized</w:t>
      </w:r>
      <w:r>
        <w:rPr>
          <w:rFonts w:ascii="Times New Roman" w:cs="Times New Roman" w:eastAsia="Times New Roman" w:hAnsi="Times New Roman"/>
          <w:sz w:val="20"/>
          <w:szCs w:val="20"/>
          <w:color w:val="auto"/>
        </w:rPr>
        <w:t>. The total number of shares of all classes of stock that the Corporation has authority to issue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381,000,000 shares, consisting of two classes: 380,000,000 shares of Class A Common Stock, $0.0001 par value per share (the “</w:t>
      </w:r>
      <w:r>
        <w:rPr>
          <w:rFonts w:ascii="Times New Roman" w:cs="Times New Roman" w:eastAsia="Times New Roman" w:hAnsi="Times New Roman"/>
          <w:sz w:val="20"/>
          <w:szCs w:val="20"/>
          <w:b w:val="1"/>
          <w:bCs w:val="1"/>
          <w:i w:val="1"/>
          <w:iCs w:val="1"/>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and 1,000,000 shares of Preferred Stock, $0.0001 par value per share (“</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b w:val="1"/>
          <w:bCs w:val="1"/>
          <w:color w:val="010000"/>
        </w:rPr>
      </w:pPr>
    </w:p>
    <w:p>
      <w:pPr>
        <w:ind w:left="1300" w:hanging="644"/>
        <w:spacing w:after="0"/>
        <w:tabs>
          <w:tab w:leader="none" w:pos="1300" w:val="left"/>
        </w:tabs>
        <w:numPr>
          <w:ilvl w:val="0"/>
          <w:numId w:val="1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Designation of Additional Series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010000"/>
        </w:rPr>
        <w:t xml:space="preserve">2.1. </w:t>
      </w:r>
      <w:r>
        <w:rPr>
          <w:rFonts w:ascii="Times New Roman" w:cs="Times New Roman" w:eastAsia="Times New Roman" w:hAnsi="Times New Roman"/>
          <w:sz w:val="20"/>
          <w:szCs w:val="20"/>
          <w:color w:val="000000"/>
        </w:rPr>
        <w:t>The Board of Directors of the Corporation (the “</w:t>
      </w:r>
      <w:r>
        <w:rPr>
          <w:rFonts w:ascii="Times New Roman" w:cs="Times New Roman" w:eastAsia="Times New Roman" w:hAnsi="Times New Roman"/>
          <w:sz w:val="20"/>
          <w:szCs w:val="20"/>
          <w:b w:val="1"/>
          <w:bCs w:val="1"/>
          <w:i w:val="1"/>
          <w:iCs w:val="1"/>
          <w:color w:val="000000"/>
        </w:rPr>
        <w:t>Board</w:t>
      </w:r>
      <w:r>
        <w:rPr>
          <w:rFonts w:ascii="Times New Roman" w:cs="Times New Roman" w:eastAsia="Times New Roman" w:hAnsi="Times New Roman"/>
          <w:sz w:val="20"/>
          <w:szCs w:val="20"/>
          <w:color w:val="000000"/>
        </w:rPr>
        <w:t>”) is authorized, subject to any limitations prescribed by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law of the State of Delaware, to provide for the issuance of the shares of Preferred Stock in one or more series, and, by filing a Certificate of</w:t>
      </w:r>
    </w:p>
    <w:p>
      <w:pPr>
        <w:spacing w:after="0" w:line="224" w:lineRule="auto"/>
        <w:rPr>
          <w:sz w:val="20"/>
          <w:szCs w:val="20"/>
          <w:color w:val="auto"/>
        </w:rPr>
      </w:pPr>
      <w:r>
        <w:rPr>
          <w:rFonts w:ascii="Times New Roman" w:cs="Times New Roman" w:eastAsia="Times New Roman" w:hAnsi="Times New Roman"/>
          <w:sz w:val="19"/>
          <w:szCs w:val="19"/>
          <w:color w:val="auto"/>
        </w:rPr>
        <w:t>Designation pursuant to the applicable law of the State of Delaware (“</w:t>
      </w:r>
      <w:r>
        <w:rPr>
          <w:rFonts w:ascii="Times New Roman" w:cs="Times New Roman" w:eastAsia="Times New Roman" w:hAnsi="Times New Roman"/>
          <w:sz w:val="19"/>
          <w:szCs w:val="19"/>
          <w:b w:val="1"/>
          <w:bCs w:val="1"/>
          <w:i w:val="1"/>
          <w:iCs w:val="1"/>
          <w:color w:val="auto"/>
        </w:rPr>
        <w:t>Certificate of Designation</w:t>
      </w:r>
      <w:r>
        <w:rPr>
          <w:rFonts w:ascii="Times New Roman" w:cs="Times New Roman" w:eastAsia="Times New Roman" w:hAnsi="Times New Roman"/>
          <w:sz w:val="19"/>
          <w:szCs w:val="19"/>
          <w:color w:val="auto"/>
        </w:rPr>
        <w:t>”), to establish from time to time the number</w:t>
      </w:r>
    </w:p>
    <w:p>
      <w:pPr>
        <w:spacing w:after="0" w:line="204" w:lineRule="auto"/>
        <w:rPr>
          <w:sz w:val="20"/>
          <w:szCs w:val="20"/>
          <w:color w:val="auto"/>
        </w:rPr>
      </w:pPr>
      <w:r>
        <w:rPr>
          <w:rFonts w:ascii="Times New Roman" w:cs="Times New Roman" w:eastAsia="Times New Roman" w:hAnsi="Times New Roman"/>
          <w:sz w:val="20"/>
          <w:szCs w:val="20"/>
          <w:color w:val="auto"/>
        </w:rPr>
        <w:t>of shares to be included in each such series, to fix the designation, vesting, powers (including voting powers), preferences and relative, participating, optional or other special rights, if any, of the shares of each such series and any qualifications, limitations or restrictions</w:t>
      </w:r>
    </w:p>
    <w:p>
      <w:pPr>
        <w:spacing w:after="0" w:line="211" w:lineRule="auto"/>
        <w:rPr>
          <w:sz w:val="20"/>
          <w:szCs w:val="20"/>
          <w:color w:val="auto"/>
        </w:rPr>
      </w:pPr>
      <w:r>
        <w:rPr>
          <w:rFonts w:ascii="Times New Roman" w:cs="Times New Roman" w:eastAsia="Times New Roman" w:hAnsi="Times New Roman"/>
          <w:sz w:val="20"/>
          <w:szCs w:val="20"/>
          <w:color w:val="auto"/>
        </w:rPr>
        <w:t>thereof, and, except where otherwise provided in the applicable Certificate of Designation, to thereafter increase (but not above the total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number of authorized shares of the Preferred Stock) or decrease (but not below the number of shares of such series then outstanding) the number of shares of any such series. The number of authorized shares of Preferred Stock may also be increased or decreased (but not below</w:t>
      </w:r>
    </w:p>
    <w:p>
      <w:pPr>
        <w:spacing w:after="0" w:line="223" w:lineRule="auto"/>
        <w:rPr>
          <w:sz w:val="20"/>
          <w:szCs w:val="20"/>
          <w:color w:val="auto"/>
        </w:rPr>
      </w:pPr>
      <w:r>
        <w:rPr>
          <w:rFonts w:ascii="Times New Roman" w:cs="Times New Roman" w:eastAsia="Times New Roman" w:hAnsi="Times New Roman"/>
          <w:sz w:val="19"/>
          <w:szCs w:val="19"/>
          <w:color w:val="auto"/>
        </w:rPr>
        <w:t>the number of shares thereof then outstanding) by the affirmative vote of the holders of two-thirds of the voting power of all then-outstanding</w:t>
      </w:r>
    </w:p>
    <w:p>
      <w:pPr>
        <w:spacing w:after="0" w:line="215" w:lineRule="auto"/>
        <w:rPr>
          <w:sz w:val="20"/>
          <w:szCs w:val="20"/>
          <w:color w:val="auto"/>
        </w:rPr>
      </w:pPr>
      <w:r>
        <w:rPr>
          <w:rFonts w:ascii="Times New Roman" w:cs="Times New Roman" w:eastAsia="Times New Roman" w:hAnsi="Times New Roman"/>
          <w:sz w:val="19"/>
          <w:szCs w:val="19"/>
          <w:color w:val="auto"/>
        </w:rPr>
        <w:t>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one or more series is required pursuant to the terms of any Certificate of Designation;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if two-thirds of the Whole Board (as defined below) has approved such increase or decrease of the number of authorized shares of Preferred Stock, then only the</w:t>
      </w:r>
    </w:p>
    <w:p>
      <w:pPr>
        <w:spacing w:after="0" w:line="223" w:lineRule="auto"/>
        <w:rPr>
          <w:sz w:val="20"/>
          <w:szCs w:val="20"/>
          <w:color w:val="auto"/>
        </w:rPr>
      </w:pPr>
      <w:r>
        <w:rPr>
          <w:rFonts w:ascii="Times New Roman" w:cs="Times New Roman" w:eastAsia="Times New Roman" w:hAnsi="Times New Roman"/>
          <w:sz w:val="19"/>
          <w:szCs w:val="19"/>
          <w:color w:val="auto"/>
        </w:rPr>
        <w:t>affirmative vote of the holders of a majority of the voting power of all then-outstanding shares of the capital stock of the Corporation entitled</w:t>
      </w:r>
    </w:p>
    <w:p>
      <w:pPr>
        <w:spacing w:after="0" w:line="204" w:lineRule="auto"/>
        <w:rPr>
          <w:sz w:val="20"/>
          <w:szCs w:val="20"/>
          <w:color w:val="auto"/>
        </w:rPr>
      </w:pPr>
      <w:r>
        <w:rPr>
          <w:rFonts w:ascii="Times New Roman" w:cs="Times New Roman" w:eastAsia="Times New Roman" w:hAnsi="Times New Roman"/>
          <w:sz w:val="20"/>
          <w:szCs w:val="20"/>
          <w:color w:val="auto"/>
        </w:rPr>
        <w:t>to vote thereon, voting together as a single class, without a separate vote of the holders of the Preferred Stock, irrespective of the provisions of Section 242(b)(2) of the General Corporation Law, unless a separate vote of the holders of one or more series is required pursuant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terms of any Certificate of Designation, shall be required to effect such increase or decrease. For purposes of this Third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0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Certificate of Incorporation (as the same may be amended and/or restated from time to time, including pursuant to the terms of any</w:t>
      </w:r>
    </w:p>
    <w:p>
      <w:pPr>
        <w:jc w:val="both"/>
        <w:spacing w:after="0" w:line="221" w:lineRule="auto"/>
        <w:rPr>
          <w:sz w:val="20"/>
          <w:szCs w:val="20"/>
          <w:color w:val="auto"/>
        </w:rPr>
      </w:pPr>
      <w:r>
        <w:rPr>
          <w:rFonts w:ascii="Times New Roman" w:cs="Times New Roman" w:eastAsia="Times New Roman" w:hAnsi="Times New Roman"/>
          <w:sz w:val="20"/>
          <w:szCs w:val="20"/>
          <w:color w:val="auto"/>
        </w:rPr>
        <w:t>Certificate of Designation designating a series of Preferred Stock, this “</w:t>
      </w:r>
      <w:r>
        <w:rPr>
          <w:rFonts w:ascii="Times New Roman" w:cs="Times New Roman" w:eastAsia="Times New Roman" w:hAnsi="Times New Roman"/>
          <w:sz w:val="20"/>
          <w:szCs w:val="20"/>
          <w:b w:val="1"/>
          <w:bCs w:val="1"/>
          <w:i w:val="1"/>
          <w:iCs w:val="1"/>
          <w:color w:val="auto"/>
        </w:rPr>
        <w:t>Certificate of Incorporation</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i w:val="1"/>
          <w:iCs w:val="1"/>
          <w:color w:val="auto"/>
        </w:rPr>
        <w:t>Whole Board</w:t>
      </w:r>
      <w:r>
        <w:rPr>
          <w:rFonts w:ascii="Times New Roman" w:cs="Times New Roman" w:eastAsia="Times New Roman" w:hAnsi="Times New Roman"/>
          <w:sz w:val="20"/>
          <w:szCs w:val="20"/>
          <w:color w:val="auto"/>
        </w:rPr>
        <w:t>” shall mean the total number of authorized directors whether or not there exist any vacancies in previously authorized directorships.</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010000"/>
        </w:rPr>
        <w:t>2.2.</w:t>
      </w:r>
      <w:r>
        <w:rPr>
          <w:sz w:val="20"/>
          <w:szCs w:val="20"/>
          <w:color w:val="auto"/>
        </w:rPr>
        <w:tab/>
      </w:r>
      <w:r>
        <w:rPr>
          <w:rFonts w:ascii="Times New Roman" w:cs="Times New Roman" w:eastAsia="Times New Roman" w:hAnsi="Times New Roman"/>
          <w:sz w:val="20"/>
          <w:szCs w:val="20"/>
          <w:color w:val="auto"/>
        </w:rPr>
        <w:t>Except as otherwise expressly provided in any Certificate of Designation designating any series of Preferred Stock</w:t>
      </w:r>
    </w:p>
    <w:p>
      <w:pPr>
        <w:jc w:val="both"/>
        <w:spacing w:after="0" w:line="204" w:lineRule="auto"/>
        <w:rPr>
          <w:sz w:val="20"/>
          <w:szCs w:val="20"/>
          <w:color w:val="auto"/>
        </w:rPr>
      </w:pPr>
      <w:r>
        <w:rPr>
          <w:rFonts w:ascii="Times New Roman" w:cs="Times New Roman" w:eastAsia="Times New Roman" w:hAnsi="Times New Roman"/>
          <w:sz w:val="20"/>
          <w:szCs w:val="20"/>
          <w:color w:val="auto"/>
        </w:rPr>
        <w:t>pursuant to the foregoing provisions of this Article IV, any new series of Preferred Stock may be designated, fixed and determined as provided herein by the Board without approval of the holders of Common Stock or the holders of Preferred Stock, or any series thereof, and</w:t>
      </w:r>
    </w:p>
    <w:p>
      <w:pPr>
        <w:spacing w:after="0" w:line="211" w:lineRule="auto"/>
        <w:rPr>
          <w:sz w:val="20"/>
          <w:szCs w:val="20"/>
          <w:color w:val="auto"/>
        </w:rPr>
      </w:pPr>
      <w:r>
        <w:rPr>
          <w:rFonts w:ascii="Times New Roman" w:cs="Times New Roman" w:eastAsia="Times New Roman" w:hAnsi="Times New Roman"/>
          <w:sz w:val="20"/>
          <w:szCs w:val="20"/>
          <w:color w:val="auto"/>
        </w:rPr>
        <w:t>any such new series may have powers, preferences and rights, including, without limitation, voting powers, dividend rights, liquidation</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rights, redemption rights and conversion rights, senior to, junior to or pari passu with the rights of the Common Stock, any series of Preferred Stock or any future class or series of capital stock of the Corporation.</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010000"/>
        </w:rPr>
        <w:t>2.3.</w:t>
      </w:r>
      <w:r>
        <w:rPr>
          <w:sz w:val="20"/>
          <w:szCs w:val="20"/>
          <w:color w:val="auto"/>
        </w:rPr>
        <w:tab/>
      </w:r>
      <w:r>
        <w:rPr>
          <w:rFonts w:ascii="Times New Roman" w:cs="Times New Roman" w:eastAsia="Times New Roman" w:hAnsi="Times New Roman"/>
          <w:sz w:val="20"/>
          <w:szCs w:val="20"/>
          <w:color w:val="auto"/>
        </w:rPr>
        <w:t>Each outstanding share of Common Stock shall entitle the holder thereof to one vote on each matter properly</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 xml:space="preserve">submitted to the stockholders of the Corporation for their vote;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that</w:t>
      </w:r>
      <w:r>
        <w:rPr>
          <w:rFonts w:ascii="Times New Roman" w:cs="Times New Roman" w:eastAsia="Times New Roman" w:hAnsi="Times New Roman"/>
          <w:sz w:val="19"/>
          <w:szCs w:val="19"/>
          <w:color w:val="auto"/>
        </w:rPr>
        <w:t>, except as otherwise required by law, holders of Common Stock shall not be entitled to vote on any amendment to this Certificate of Incorporation (including any Certificate of Designation relating to</w:t>
      </w:r>
    </w:p>
    <w:p>
      <w:pPr>
        <w:spacing w:after="0" w:line="211" w:lineRule="auto"/>
        <w:rPr>
          <w:sz w:val="20"/>
          <w:szCs w:val="20"/>
          <w:color w:val="auto"/>
        </w:rPr>
      </w:pPr>
      <w:r>
        <w:rPr>
          <w:rFonts w:ascii="Times New Roman" w:cs="Times New Roman" w:eastAsia="Times New Roman" w:hAnsi="Times New Roman"/>
          <w:sz w:val="20"/>
          <w:szCs w:val="20"/>
          <w:color w:val="auto"/>
        </w:rPr>
        <w:t>any series of Preferred Stock) that relates solely to the terms of one or more outstanding series of Preferred Stock if the holders of such</w:t>
      </w:r>
    </w:p>
    <w:p>
      <w:pPr>
        <w:jc w:val="both"/>
        <w:spacing w:after="0" w:line="221" w:lineRule="auto"/>
        <w:rPr>
          <w:sz w:val="20"/>
          <w:szCs w:val="20"/>
          <w:color w:val="auto"/>
        </w:rPr>
      </w:pPr>
      <w:r>
        <w:rPr>
          <w:rFonts w:ascii="Times New Roman" w:cs="Times New Roman" w:eastAsia="Times New Roman" w:hAnsi="Times New Roman"/>
          <w:sz w:val="20"/>
          <w:szCs w:val="20"/>
          <w:color w:val="auto"/>
        </w:rPr>
        <w:t>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V: </w:t>
      </w:r>
      <w:r>
        <w:rPr>
          <w:rFonts w:ascii="Times New Roman" w:cs="Times New Roman" w:eastAsia="Times New Roman" w:hAnsi="Times New Roman"/>
          <w:sz w:val="20"/>
          <w:szCs w:val="20"/>
          <w:b w:val="1"/>
          <w:bCs w:val="1"/>
          <w:color w:val="000000"/>
        </w:rPr>
        <w:t>AMENDMENT OF BYLAWS</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xml:space="preserve">”). Any adoption, amendment or repeal of the Bylaws by the Board shall require the approval of a majority of the Whole Board. The stockholders shall also have power to adopt, amend or repeal the Bylaws;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that</w:t>
      </w:r>
      <w:r>
        <w:rPr>
          <w:rFonts w:ascii="Times New Roman" w:cs="Times New Roman" w:eastAsia="Times New Roman" w:hAnsi="Times New Roman"/>
          <w:sz w:val="20"/>
          <w:szCs w:val="20"/>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further</w:t>
      </w:r>
      <w:r>
        <w:rPr>
          <w:rFonts w:ascii="Times New Roman" w:cs="Times New Roman" w:eastAsia="Times New Roman" w:hAnsi="Times New Roman"/>
          <w:sz w:val="20"/>
          <w:szCs w:val="20"/>
          <w:color w:val="auto"/>
        </w:rPr>
        <w:t>, that, in the case of any proposed adoption, amendment or repeal of any provisions of the Bylaws that is approved by the Board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VI: </w:t>
      </w:r>
      <w:r>
        <w:rPr>
          <w:rFonts w:ascii="Times New Roman" w:cs="Times New Roman" w:eastAsia="Times New Roman" w:hAnsi="Times New Roman"/>
          <w:sz w:val="20"/>
          <w:szCs w:val="20"/>
          <w:b w:val="1"/>
          <w:bCs w:val="1"/>
          <w:color w:val="000000"/>
        </w:rPr>
        <w:t>MATTERS RELATING TO THE BOARD OF DIRECTORS</w:t>
      </w:r>
    </w:p>
    <w:p>
      <w:pPr>
        <w:spacing w:after="0" w:line="189" w:lineRule="exact"/>
        <w:rPr>
          <w:sz w:val="20"/>
          <w:szCs w:val="20"/>
          <w:color w:val="auto"/>
        </w:rPr>
      </w:pPr>
    </w:p>
    <w:p>
      <w:pPr>
        <w:ind w:firstLine="656"/>
        <w:spacing w:after="0" w:line="245" w:lineRule="auto"/>
        <w:tabs>
          <w:tab w:leader="none" w:pos="1296" w:val="left"/>
        </w:tabs>
        <w:numPr>
          <w:ilvl w:val="0"/>
          <w:numId w:val="2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Director Powers</w:t>
      </w:r>
      <w:r>
        <w:rPr>
          <w:rFonts w:ascii="Times New Roman" w:cs="Times New Roman" w:eastAsia="Times New Roman" w:hAnsi="Times New Roman"/>
          <w:sz w:val="20"/>
          <w:szCs w:val="20"/>
          <w:color w:val="auto"/>
        </w:rPr>
        <w:t>. Except as otherwise provided by the General Corporation Law, the Bylaws of the Corporation or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Incorporation, the business and affairs of the Corporation shall be managed by or under the direction of the Board.</w:t>
      </w:r>
    </w:p>
    <w:p>
      <w:pPr>
        <w:spacing w:after="0" w:line="137" w:lineRule="exact"/>
        <w:rPr>
          <w:rFonts w:ascii="Times New Roman" w:cs="Times New Roman" w:eastAsia="Times New Roman" w:hAnsi="Times New Roman"/>
          <w:sz w:val="20"/>
          <w:szCs w:val="20"/>
          <w:b w:val="1"/>
          <w:bCs w:val="1"/>
          <w:color w:val="010000"/>
        </w:rPr>
      </w:pPr>
    </w:p>
    <w:p>
      <w:pPr>
        <w:ind w:firstLine="656"/>
        <w:spacing w:after="0" w:line="245" w:lineRule="auto"/>
        <w:tabs>
          <w:tab w:leader="none" w:pos="1296" w:val="left"/>
        </w:tabs>
        <w:numPr>
          <w:ilvl w:val="0"/>
          <w:numId w:val="2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Number of Directors</w:t>
      </w:r>
      <w:r>
        <w:rPr>
          <w:rFonts w:ascii="Times New Roman" w:cs="Times New Roman" w:eastAsia="Times New Roman" w:hAnsi="Times New Roman"/>
          <w:sz w:val="20"/>
          <w:szCs w:val="20"/>
          <w:color w:val="auto"/>
        </w:rPr>
        <w:t>. Subject to the special rights of the holders of any series of Preferred Stock to elect additional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specified circumstances, the total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constituting the Whole Board shall be fixed from time to time exclusively by resolution adopted by a majority of the Whole Board.</w:t>
      </w:r>
    </w:p>
    <w:p>
      <w:pPr>
        <w:spacing w:after="0" w:line="185" w:lineRule="exact"/>
        <w:rPr>
          <w:sz w:val="20"/>
          <w:szCs w:val="20"/>
          <w:color w:val="auto"/>
        </w:rPr>
      </w:pPr>
    </w:p>
    <w:p>
      <w:pPr>
        <w:jc w:val="both"/>
        <w:ind w:firstLine="656"/>
        <w:spacing w:after="0" w:line="211" w:lineRule="auto"/>
        <w:tabs>
          <w:tab w:leader="none" w:pos="1296" w:val="left"/>
        </w:tabs>
        <w:numPr>
          <w:ilvl w:val="0"/>
          <w:numId w:val="2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Classified Board</w:t>
      </w:r>
      <w:r>
        <w:rPr>
          <w:rFonts w:ascii="Times New Roman" w:cs="Times New Roman" w:eastAsia="Times New Roman" w:hAnsi="Times New Roman"/>
          <w:sz w:val="20"/>
          <w:szCs w:val="20"/>
          <w:color w:val="auto"/>
        </w:rPr>
        <w:t>. Subject to the special rights of the holders of one or more series of Preferred Stock to elect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under specified circumstances, the directors shall be divided, with respect to the time for which they severally hold office, into three classes designated as Class I, Class II and Class III, respectively (the “</w:t>
      </w:r>
      <w:r>
        <w:rPr>
          <w:rFonts w:ascii="Times New Roman" w:cs="Times New Roman" w:eastAsia="Times New Roman" w:hAnsi="Times New Roman"/>
          <w:sz w:val="20"/>
          <w:szCs w:val="20"/>
          <w:b w:val="1"/>
          <w:bCs w:val="1"/>
          <w:i w:val="1"/>
          <w:iCs w:val="1"/>
          <w:color w:val="auto"/>
        </w:rPr>
        <w:t>Classified Board</w:t>
      </w:r>
      <w:r>
        <w:rPr>
          <w:rFonts w:ascii="Times New Roman" w:cs="Times New Roman" w:eastAsia="Times New Roman" w:hAnsi="Times New Roman"/>
          <w:sz w:val="20"/>
          <w:szCs w:val="20"/>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effectiveness of this Certificate of 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65" w:lineRule="exact"/>
        <w:rPr>
          <w:rFonts w:ascii="Times New Roman" w:cs="Times New Roman" w:eastAsia="Times New Roman" w:hAnsi="Times New Roman"/>
          <w:sz w:val="20"/>
          <w:szCs w:val="20"/>
          <w:b w:val="1"/>
          <w:bCs w:val="1"/>
          <w:color w:val="010000"/>
        </w:rPr>
      </w:pPr>
    </w:p>
    <w:p>
      <w:pPr>
        <w:jc w:val="both"/>
        <w:ind w:firstLine="656"/>
        <w:spacing w:after="0" w:line="223" w:lineRule="auto"/>
        <w:tabs>
          <w:tab w:leader="none" w:pos="1296" w:val="left"/>
        </w:tabs>
        <w:numPr>
          <w:ilvl w:val="0"/>
          <w:numId w:val="21"/>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Term and Removal</w:t>
      </w:r>
      <w:r>
        <w:rPr>
          <w:rFonts w:ascii="Times New Roman" w:cs="Times New Roman" w:eastAsia="Times New Roman" w:hAnsi="Times New Roman"/>
          <w:sz w:val="19"/>
          <w:szCs w:val="19"/>
          <w:color w:val="auto"/>
        </w:rPr>
        <w:t>. Each director shall hold office until the annual meeting at which such director’s term expires and until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director’s 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56" w:lineRule="exact"/>
        <w:rPr>
          <w:rFonts w:ascii="Times New Roman" w:cs="Times New Roman" w:eastAsia="Times New Roman" w:hAnsi="Times New Roman"/>
          <w:sz w:val="19"/>
          <w:szCs w:val="19"/>
          <w:b w:val="1"/>
          <w:bCs w:val="1"/>
          <w:color w:val="010000"/>
        </w:rPr>
      </w:pPr>
    </w:p>
    <w:p>
      <w:pPr>
        <w:jc w:val="both"/>
        <w:ind w:firstLine="656"/>
        <w:spacing w:after="0" w:line="215" w:lineRule="auto"/>
        <w:tabs>
          <w:tab w:leader="none" w:pos="1296" w:val="left"/>
        </w:tabs>
        <w:numPr>
          <w:ilvl w:val="0"/>
          <w:numId w:val="2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Board Vacancies and Newly Created Directorships</w:t>
      </w:r>
      <w:r>
        <w:rPr>
          <w:rFonts w:ascii="Times New Roman" w:cs="Times New Roman" w:eastAsia="Times New Roman" w:hAnsi="Times New Roman"/>
          <w:sz w:val="20"/>
          <w:szCs w:val="20"/>
          <w:color w:val="auto"/>
        </w:rPr>
        <w:t>. Subject to the special rights of the holders of any series of Preferred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47" w:lineRule="exact"/>
        <w:rPr>
          <w:rFonts w:ascii="Times New Roman" w:cs="Times New Roman" w:eastAsia="Times New Roman" w:hAnsi="Times New Roman"/>
          <w:sz w:val="20"/>
          <w:szCs w:val="20"/>
          <w:b w:val="1"/>
          <w:bCs w:val="1"/>
          <w:color w:val="010000"/>
        </w:rPr>
      </w:pPr>
    </w:p>
    <w:p>
      <w:pPr>
        <w:ind w:left="1300" w:hanging="644"/>
        <w:spacing w:after="0"/>
        <w:tabs>
          <w:tab w:leader="none" w:pos="1300" w:val="left"/>
        </w:tabs>
        <w:numPr>
          <w:ilvl w:val="0"/>
          <w:numId w:val="2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Vote by Ballot</w:t>
      </w:r>
      <w:r>
        <w:rPr>
          <w:rFonts w:ascii="Times New Roman" w:cs="Times New Roman" w:eastAsia="Times New Roman" w:hAnsi="Times New Roman"/>
          <w:sz w:val="20"/>
          <w:szCs w:val="20"/>
          <w:color w:val="auto"/>
        </w:rPr>
        <w:t>. Election of directors need not be by written ballot unless the Bylaws shall so provide.</w:t>
      </w:r>
    </w:p>
    <w:p>
      <w:pPr>
        <w:spacing w:after="0" w:line="189" w:lineRule="exact"/>
        <w:rPr>
          <w:sz w:val="20"/>
          <w:szCs w:val="20"/>
          <w:color w:val="auto"/>
        </w:rPr>
      </w:pPr>
    </w:p>
    <w:p>
      <w:pPr>
        <w:ind w:left="3580"/>
        <w:spacing w:after="0"/>
        <w:tabs>
          <w:tab w:leader="none" w:pos="5480" w:val="left"/>
        </w:tabs>
        <w:rPr>
          <w:sz w:val="20"/>
          <w:szCs w:val="20"/>
          <w:color w:val="auto"/>
        </w:rPr>
      </w:pPr>
      <w:r>
        <w:rPr>
          <w:rFonts w:ascii="Times New Roman" w:cs="Times New Roman" w:eastAsia="Times New Roman" w:hAnsi="Times New Roman"/>
          <w:sz w:val="20"/>
          <w:szCs w:val="20"/>
          <w:b w:val="1"/>
          <w:bCs w:val="1"/>
          <w:color w:val="010000"/>
        </w:rPr>
        <w:t>ARTICLE VII:</w:t>
      </w:r>
      <w:r>
        <w:rPr>
          <w:sz w:val="20"/>
          <w:szCs w:val="20"/>
          <w:color w:val="auto"/>
        </w:rPr>
        <w:tab/>
      </w:r>
      <w:r>
        <w:rPr>
          <w:rFonts w:ascii="Times New Roman" w:cs="Times New Roman" w:eastAsia="Times New Roman" w:hAnsi="Times New Roman"/>
          <w:sz w:val="19"/>
          <w:szCs w:val="19"/>
          <w:b w:val="1"/>
          <w:bCs w:val="1"/>
          <w:color w:val="auto"/>
        </w:rPr>
        <w:t>DIRECTOR LIABILITY</w:t>
      </w:r>
    </w:p>
    <w:p>
      <w:pPr>
        <w:spacing w:after="0" w:line="189" w:lineRule="exact"/>
        <w:rPr>
          <w:sz w:val="20"/>
          <w:szCs w:val="20"/>
          <w:color w:val="auto"/>
        </w:rPr>
      </w:pPr>
    </w:p>
    <w:p>
      <w:pPr>
        <w:jc w:val="both"/>
        <w:ind w:firstLine="656"/>
        <w:spacing w:after="0" w:line="223" w:lineRule="auto"/>
        <w:tabs>
          <w:tab w:leader="none" w:pos="1296" w:val="left"/>
        </w:tabs>
        <w:numPr>
          <w:ilvl w:val="0"/>
          <w:numId w:val="2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Limitation of Liability</w:t>
      </w:r>
      <w:r>
        <w:rPr>
          <w:rFonts w:ascii="Times New Roman" w:cs="Times New Roman" w:eastAsia="Times New Roman" w:hAnsi="Times New Roman"/>
          <w:sz w:val="20"/>
          <w:szCs w:val="20"/>
          <w:color w:val="auto"/>
        </w:rPr>
        <w:t>. To the fullest extent permitted by law, no director of the Corporation shall be personally liable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9" w:right="339" w:bottom="1440" w:gutter="0" w:footer="0" w:header="0"/>
        </w:sectPr>
      </w:pPr>
    </w:p>
    <w:bookmarkStart w:id="43" w:name="page44"/>
    <w:bookmarkEnd w:id="43"/>
    <w:p>
      <w:pPr>
        <w:jc w:val="both"/>
        <w:ind w:firstLine="656"/>
        <w:spacing w:after="0" w:line="223" w:lineRule="auto"/>
        <w:tabs>
          <w:tab w:leader="none" w:pos="1296" w:val="left"/>
        </w:tabs>
        <w:numPr>
          <w:ilvl w:val="0"/>
          <w:numId w:val="2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Change in Rights</w:t>
      </w:r>
      <w:r>
        <w:rPr>
          <w:rFonts w:ascii="Times New Roman" w:cs="Times New Roman" w:eastAsia="Times New Roman" w:hAnsi="Times New Roman"/>
          <w:sz w:val="20"/>
          <w:szCs w:val="20"/>
          <w:color w:val="auto"/>
        </w:rPr>
        <w:t>. Neither any amendment nor repeal of this Article VII, nor the adoption of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58" w:lineRule="exact"/>
        <w:rPr>
          <w:sz w:val="20"/>
          <w:szCs w:val="20"/>
          <w:color w:val="auto"/>
        </w:rPr>
      </w:pPr>
    </w:p>
    <w:p>
      <w:pPr>
        <w:ind w:left="2620"/>
        <w:spacing w:after="0"/>
        <w:tabs>
          <w:tab w:leader="none" w:pos="4520" w:val="left"/>
        </w:tabs>
        <w:rPr>
          <w:sz w:val="20"/>
          <w:szCs w:val="20"/>
          <w:color w:val="auto"/>
        </w:rPr>
      </w:pPr>
      <w:r>
        <w:rPr>
          <w:rFonts w:ascii="Times New Roman" w:cs="Times New Roman" w:eastAsia="Times New Roman" w:hAnsi="Times New Roman"/>
          <w:sz w:val="20"/>
          <w:szCs w:val="20"/>
          <w:b w:val="1"/>
          <w:bCs w:val="1"/>
          <w:color w:val="010000"/>
        </w:rPr>
        <w:t>ARTICLE VIII:</w:t>
      </w:r>
      <w:r>
        <w:rPr>
          <w:sz w:val="20"/>
          <w:szCs w:val="20"/>
          <w:color w:val="auto"/>
        </w:rPr>
        <w:tab/>
      </w:r>
      <w:r>
        <w:rPr>
          <w:rFonts w:ascii="Times New Roman" w:cs="Times New Roman" w:eastAsia="Times New Roman" w:hAnsi="Times New Roman"/>
          <w:sz w:val="19"/>
          <w:szCs w:val="19"/>
          <w:b w:val="1"/>
          <w:bCs w:val="1"/>
          <w:color w:val="auto"/>
        </w:rPr>
        <w:t>MATTERS RELATING TO STOCKHOLDERS</w:t>
      </w:r>
    </w:p>
    <w:p>
      <w:pPr>
        <w:spacing w:after="0" w:line="175" w:lineRule="exact"/>
        <w:rPr>
          <w:sz w:val="20"/>
          <w:szCs w:val="20"/>
          <w:color w:val="auto"/>
        </w:rPr>
      </w:pPr>
    </w:p>
    <w:p>
      <w:pPr>
        <w:jc w:val="both"/>
        <w:ind w:firstLine="656"/>
        <w:spacing w:after="0" w:line="232" w:lineRule="auto"/>
        <w:tabs>
          <w:tab w:leader="none" w:pos="1296" w:val="left"/>
        </w:tabs>
        <w:numPr>
          <w:ilvl w:val="0"/>
          <w:numId w:val="2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Action by Written Consent of Stockholders</w:t>
      </w:r>
      <w:r>
        <w:rPr>
          <w:rFonts w:ascii="Times New Roman" w:cs="Times New Roman" w:eastAsia="Times New Roman" w:hAnsi="Times New Roman"/>
          <w:sz w:val="20"/>
          <w:szCs w:val="20"/>
          <w:color w:val="auto"/>
        </w:rPr>
        <w:t>. Subject to the rights of any series of Preferred Stock then outstanding,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shall be taken by the stockholders of the Corporation except at a duly called annual or special meeting of stockholders and no action shall be taken by the stockholders of the Corporation by written consent in lieu of a meeting.</w:t>
      </w:r>
    </w:p>
    <w:p>
      <w:pPr>
        <w:spacing w:after="0" w:line="143" w:lineRule="exact"/>
        <w:rPr>
          <w:rFonts w:ascii="Times New Roman" w:cs="Times New Roman" w:eastAsia="Times New Roman" w:hAnsi="Times New Roman"/>
          <w:sz w:val="20"/>
          <w:szCs w:val="20"/>
          <w:b w:val="1"/>
          <w:bCs w:val="1"/>
          <w:color w:val="010000"/>
        </w:rPr>
      </w:pPr>
    </w:p>
    <w:p>
      <w:pPr>
        <w:jc w:val="both"/>
        <w:ind w:firstLine="656"/>
        <w:spacing w:after="0" w:line="223" w:lineRule="auto"/>
        <w:tabs>
          <w:tab w:leader="none" w:pos="1296" w:val="left"/>
        </w:tabs>
        <w:numPr>
          <w:ilvl w:val="0"/>
          <w:numId w:val="2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Special Meeting of Stockholders</w:t>
      </w:r>
      <w:r>
        <w:rPr>
          <w:rFonts w:ascii="Times New Roman" w:cs="Times New Roman" w:eastAsia="Times New Roman" w:hAnsi="Times New Roman"/>
          <w:sz w:val="20"/>
          <w:szCs w:val="20"/>
          <w:color w:val="auto"/>
        </w:rPr>
        <w:t>. Special meetings of the stockholders of the Corporation may be called only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Chairperson of the 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57" w:lineRule="exact"/>
        <w:rPr>
          <w:rFonts w:ascii="Times New Roman" w:cs="Times New Roman" w:eastAsia="Times New Roman" w:hAnsi="Times New Roman"/>
          <w:sz w:val="20"/>
          <w:szCs w:val="20"/>
          <w:b w:val="1"/>
          <w:bCs w:val="1"/>
          <w:color w:val="010000"/>
        </w:rPr>
      </w:pPr>
    </w:p>
    <w:p>
      <w:pPr>
        <w:jc w:val="both"/>
        <w:ind w:firstLine="656"/>
        <w:spacing w:after="0" w:line="223" w:lineRule="auto"/>
        <w:tabs>
          <w:tab w:leader="none" w:pos="1296" w:val="left"/>
        </w:tabs>
        <w:numPr>
          <w:ilvl w:val="0"/>
          <w:numId w:val="2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Advance Notice of Stockholder Nominations and Business Transacted at Special Meetings</w:t>
      </w:r>
      <w:r>
        <w:rPr>
          <w:rFonts w:ascii="Times New Roman" w:cs="Times New Roman" w:eastAsia="Times New Roman" w:hAnsi="Times New Roman"/>
          <w:sz w:val="20"/>
          <w:szCs w:val="20"/>
          <w:color w:val="auto"/>
        </w:rPr>
        <w:t>. Advance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IX: </w:t>
      </w:r>
      <w:r>
        <w:rPr>
          <w:rFonts w:ascii="Times New Roman" w:cs="Times New Roman" w:eastAsia="Times New Roman" w:hAnsi="Times New Roman"/>
          <w:sz w:val="20"/>
          <w:szCs w:val="20"/>
          <w:b w:val="1"/>
          <w:bCs w:val="1"/>
          <w:color w:val="000000"/>
        </w:rPr>
        <w:t>CHOICE OF FORUM</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 xml:space="preserve">ARTICLE X: </w:t>
      </w:r>
      <w:r>
        <w:rPr>
          <w:rFonts w:ascii="Times New Roman" w:cs="Times New Roman" w:eastAsia="Times New Roman" w:hAnsi="Times New Roman"/>
          <w:sz w:val="20"/>
          <w:szCs w:val="20"/>
          <w:b w:val="1"/>
          <w:bCs w:val="1"/>
          <w:color w:val="000000"/>
        </w:rPr>
        <w:t>AMENDMENT OF CERTIFICATE OF INCORPORATION</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notwithstanding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5" w:right="339" w:bottom="1440" w:gutter="0" w:footer="0" w:header="0"/>
        </w:sectPr>
      </w:pPr>
    </w:p>
    <w:bookmarkStart w:id="44" w:name="page45"/>
    <w:bookmarkEnd w:id="44"/>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further</w:t>
      </w:r>
      <w:r>
        <w:rPr>
          <w:rFonts w:ascii="Times New Roman" w:cs="Times New Roman" w:eastAsia="Times New Roman" w:hAnsi="Times New Roman"/>
          <w:sz w:val="20"/>
          <w:szCs w:val="20"/>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41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THE UNDERSIGNED</w:t>
      </w:r>
      <w:r>
        <w:rPr>
          <w:rFonts w:ascii="Times New Roman" w:cs="Times New Roman" w:eastAsia="Times New Roman" w:hAnsi="Times New Roman"/>
          <w:sz w:val="20"/>
          <w:szCs w:val="20"/>
          <w:color w:val="auto"/>
        </w:rPr>
        <w:t>, being a duly appointed officer of Sema4 Holdings Corp. (the “Corporation”), a corporation organized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under and by virtue of the Delaware General Corporation Law of the State of Delaware (the “DGCL”), for the purpose of amending the Corporation’s Third Amended and Restated Certificate of Incorporation, as amended to the date hereof (the “Certificate of Incorporation”), hereby certifies, pursuant to Sections 242 and 103 of the DGCL, as follows:</w:t>
      </w:r>
    </w:p>
    <w:p>
      <w:pPr>
        <w:spacing w:after="0" w:line="15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 The name of the Corporation is Sema4 Holdings Corp.</w:t>
      </w:r>
    </w:p>
    <w:p>
      <w:pPr>
        <w:spacing w:after="0" w:line="188" w:lineRule="exact"/>
        <w:rPr>
          <w:rFonts w:ascii="Times New Roman" w:cs="Times New Roman" w:eastAsia="Times New Roman" w:hAnsi="Times New Roman"/>
          <w:sz w:val="20"/>
          <w:szCs w:val="20"/>
          <w:b w:val="1"/>
          <w:bCs w:val="1"/>
          <w:color w:val="010000"/>
        </w:rPr>
      </w:pPr>
    </w:p>
    <w:p>
      <w:pPr>
        <w:ind w:firstLine="656"/>
        <w:spacing w:after="0" w:line="233" w:lineRule="auto"/>
        <w:tabs>
          <w:tab w:leader="none" w:pos="1284" w:val="left"/>
        </w:tabs>
        <w:numPr>
          <w:ilvl w:val="0"/>
          <w:numId w:val="2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 The amendment to the Certificate of Incorporation set forth below was duly adopted in accordance with the provisions of Section 228 and 242 of the DGCL.</w:t>
      </w:r>
    </w:p>
    <w:p>
      <w:pPr>
        <w:spacing w:after="0" w:line="160" w:lineRule="exact"/>
        <w:rPr>
          <w:rFonts w:ascii="Times New Roman" w:cs="Times New Roman" w:eastAsia="Times New Roman" w:hAnsi="Times New Roman"/>
          <w:sz w:val="20"/>
          <w:szCs w:val="20"/>
          <w:b w:val="1"/>
          <w:bCs w:val="1"/>
          <w:color w:val="010000"/>
        </w:rPr>
      </w:pPr>
    </w:p>
    <w:p>
      <w:pPr>
        <w:ind w:right="20" w:firstLine="656"/>
        <w:spacing w:after="0"/>
        <w:tabs>
          <w:tab w:leader="none" w:pos="1284" w:val="left"/>
        </w:tabs>
        <w:numPr>
          <w:ilvl w:val="0"/>
          <w:numId w:val="2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 The Certificate of Incorporation is hereby amended by striking out Section 1 of Article IV thereof, and by substituting in lieu thereof, the following new Section 1:</w:t>
      </w:r>
    </w:p>
    <w:p>
      <w:pPr>
        <w:spacing w:after="0" w:line="15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Total Authorized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total number of shares of all classes of stock that the Corporation has authority to issue is 1,001,000,000 shares, consisting of two classes: 1,000,000,000 shares of Class A Common Stock, $0.0001 par value per share (the “Common Stock”); and 1,000,000 shares of Preferred Stock, $0.0001 par value per share (“Preferred Stock”).”</w:t>
      </w:r>
    </w:p>
    <w:p>
      <w:pPr>
        <w:spacing w:after="0" w:line="15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has made and signed this Certificate of Amendment this 29th day of April, 2022 and affirms the statements contained herein as true under penalty of perjury.</w:t>
      </w:r>
    </w:p>
    <w:p>
      <w:pPr>
        <w:spacing w:after="0" w:line="14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Daniel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9213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Daniel Clark</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Secretary</w:t>
      </w:r>
    </w:p>
    <w:p>
      <w:pPr>
        <w:sectPr>
          <w:pgSz w:w="11900" w:h="16838" w:orient="portrait"/>
          <w:cols w:equalWidth="0" w:num="1">
            <w:col w:w="11240"/>
          </w:cols>
          <w:pgMar w:left="320" w:top="1409"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16"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Sema4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 corporation organized and existing under and by virtue of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does hereby certify that:</w:t>
      </w:r>
    </w:p>
    <w:p>
      <w:pPr>
        <w:spacing w:after="0" w:line="138" w:lineRule="exact"/>
        <w:rPr>
          <w:sz w:val="20"/>
          <w:szCs w:val="20"/>
          <w:color w:val="auto"/>
        </w:rPr>
      </w:pPr>
    </w:p>
    <w:p>
      <w:pPr>
        <w:ind w:firstLine="656"/>
        <w:spacing w:after="0" w:line="255" w:lineRule="auto"/>
        <w:tabs>
          <w:tab w:leader="none" w:pos="1296"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Third Amended and Restated Certificate of Incorporation (as amended to the date hereof, the “</w:t>
      </w:r>
      <w:r>
        <w:rPr>
          <w:rFonts w:ascii="Times New Roman" w:cs="Times New Roman" w:eastAsia="Times New Roman" w:hAnsi="Times New Roman"/>
          <w:sz w:val="19"/>
          <w:szCs w:val="19"/>
          <w:b w:val="1"/>
          <w:bCs w:val="1"/>
          <w:i w:val="1"/>
          <w:iCs w:val="1"/>
          <w:color w:val="auto"/>
        </w:rPr>
        <w:t>Certificate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of Incorporation</w:t>
      </w:r>
      <w:r>
        <w:rPr>
          <w:rFonts w:ascii="Times New Roman" w:cs="Times New Roman" w:eastAsia="Times New Roman" w:hAnsi="Times New Roman"/>
          <w:sz w:val="19"/>
          <w:szCs w:val="19"/>
          <w:color w:val="auto"/>
        </w:rPr>
        <w:t>”) was filed with the Secretary of State of the State of Delaware on July 22, 2021, under the name Sema4 Holdings Corp.</w:t>
      </w:r>
    </w:p>
    <w:p>
      <w:pPr>
        <w:spacing w:after="0" w:line="143" w:lineRule="exact"/>
        <w:rPr>
          <w:rFonts w:ascii="Times New Roman" w:cs="Times New Roman" w:eastAsia="Times New Roman" w:hAnsi="Times New Roman"/>
          <w:sz w:val="19"/>
          <w:szCs w:val="19"/>
          <w:color w:val="auto"/>
        </w:rPr>
      </w:pPr>
    </w:p>
    <w:p>
      <w:pPr>
        <w:ind w:firstLine="656"/>
        <w:spacing w:after="0" w:line="245" w:lineRule="auto"/>
        <w:tabs>
          <w:tab w:leader="none" w:pos="12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this Certificate of Amendment to the Certificate of Incorporation (this “</w:t>
      </w:r>
      <w:r>
        <w:rPr>
          <w:rFonts w:ascii="Times New Roman" w:cs="Times New Roman" w:eastAsia="Times New Roman" w:hAnsi="Times New Roman"/>
          <w:sz w:val="20"/>
          <w:szCs w:val="20"/>
          <w:b w:val="1"/>
          <w:bCs w:val="1"/>
          <w:i w:val="1"/>
          <w:iCs w:val="1"/>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amends the provisions of the Corporation’s Certificate of Incorporation.</w:t>
      </w:r>
    </w:p>
    <w:p>
      <w:pPr>
        <w:spacing w:after="0" w:line="141"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the Board of Directors of the Corporation has duly adopted this Certificate of Amendment, and no meeting or vote of the Corporation’s stockholders is required to adopt this Certificate of Amendment.</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sentence of Article I of the Certificate of Incorporation is hereby amended and restated in its entirety to read as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 NAME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name of the corporation is GeneDx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terms and provisions of this Certificate of Amendment shall become effective at 12:01 a.m., Eastern Time on January 9, 2023.</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of Amendment to be signed by its duly authorized officer this sixth day of January, 2023 and the foregoing facts stated herein are true and correct.</w:t>
      </w:r>
    </w:p>
    <w:p>
      <w:pPr>
        <w:spacing w:after="0" w:line="1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SEMA4 HOLDINGS CORP.</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12420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Katherine Stueland, Chief Executive Officer</w:t>
      </w:r>
    </w:p>
    <w:p>
      <w:pPr>
        <w:sectPr>
          <w:pgSz w:w="11900" w:h="16838" w:orient="portrait"/>
          <w:cols w:equalWidth="0" w:num="1">
            <w:col w:w="11240"/>
          </w:cols>
          <w:pgMar w:left="320" w:top="140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200" w:lineRule="exact"/>
        <w:rPr>
          <w:sz w:val="20"/>
          <w:szCs w:val="20"/>
          <w:color w:val="auto"/>
        </w:rPr>
      </w:pPr>
    </w:p>
    <w:p>
      <w:pPr>
        <w:spacing w:after="0" w:line="232"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GeneDx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 corporation organized and existing under and by virtue of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does hereby certify as follows:</w:t>
      </w:r>
    </w:p>
    <w:p>
      <w:pPr>
        <w:spacing w:after="0" w:line="142" w:lineRule="exact"/>
        <w:rPr>
          <w:sz w:val="20"/>
          <w:szCs w:val="20"/>
          <w:color w:val="auto"/>
        </w:rPr>
      </w:pPr>
    </w:p>
    <w:p>
      <w:pPr>
        <w:ind w:right="20" w:firstLine="656"/>
        <w:spacing w:after="0" w:line="251" w:lineRule="auto"/>
        <w:tabs>
          <w:tab w:leader="none" w:pos="129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Third Amended and Restated Certificate of Incorporation (as amended to the date hereof, the “Certificate of Incorporation”) was filed with the Secretary of State of the State of Delaware on July 22, 2021, under the name Sema4 Holdings Corp.</w:t>
      </w:r>
    </w:p>
    <w:p>
      <w:pPr>
        <w:spacing w:after="0" w:line="150" w:lineRule="exact"/>
        <w:rPr>
          <w:rFonts w:ascii="Times New Roman" w:cs="Times New Roman" w:eastAsia="Times New Roman" w:hAnsi="Times New Roman"/>
          <w:sz w:val="19"/>
          <w:szCs w:val="19"/>
          <w:color w:val="auto"/>
        </w:rPr>
      </w:pPr>
    </w:p>
    <w:p>
      <w:pPr>
        <w:ind w:firstLine="656"/>
        <w:spacing w:after="0"/>
        <w:tabs>
          <w:tab w:leader="none" w:pos="1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this Certificate of Amendment to the Certificate of Incorporation (this “Certificate of Amendment”) amends the provisions of the Corporation’s Certificate of Incorporation.</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the Board of Directors of the Corporation has duly adopted this Certificate of Amendment, and the Corporation’s stockholders have duly approved this Certificate of Amendment.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VII of the Certificate of Incorporation is hereby amended and restated in its entirety to read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 LIMITATION OF LIABILITY</w:t>
      </w:r>
    </w:p>
    <w:p>
      <w:pPr>
        <w:spacing w:after="0" w:line="216" w:lineRule="exact"/>
        <w:rPr>
          <w:sz w:val="20"/>
          <w:szCs w:val="20"/>
          <w:color w:val="auto"/>
        </w:rPr>
      </w:pPr>
    </w:p>
    <w:p>
      <w:pPr>
        <w:jc w:val="both"/>
        <w:ind w:firstLine="656"/>
        <w:spacing w:after="0" w:line="218" w:lineRule="auto"/>
        <w:tabs>
          <w:tab w:leader="none" w:pos="1296"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 xml:space="preserve">Limitation of Liability. </w:t>
      </w:r>
      <w:r>
        <w:rPr>
          <w:rFonts w:ascii="Times New Roman" w:cs="Times New Roman" w:eastAsia="Times New Roman" w:hAnsi="Times New Roman"/>
          <w:sz w:val="20"/>
          <w:szCs w:val="20"/>
          <w:color w:val="auto"/>
        </w:rPr>
        <w:t>To the fullest extent permitted by law, neither a director of the Corporation nor an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shall be personally liable to the Corporation or its stockholders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57" w:lineRule="exact"/>
        <w:rPr>
          <w:rFonts w:ascii="Times New Roman" w:cs="Times New Roman" w:eastAsia="Times New Roman" w:hAnsi="Times New Roman"/>
          <w:sz w:val="20"/>
          <w:szCs w:val="20"/>
          <w:b w:val="1"/>
          <w:bCs w:val="1"/>
          <w:color w:val="010000"/>
        </w:rPr>
      </w:pPr>
    </w:p>
    <w:p>
      <w:pPr>
        <w:jc w:val="both"/>
        <w:ind w:firstLine="656"/>
        <w:spacing w:after="0" w:line="223" w:lineRule="auto"/>
        <w:tabs>
          <w:tab w:leader="none" w:pos="1296"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 xml:space="preserve">Change in Rights. </w:t>
      </w:r>
      <w:r>
        <w:rPr>
          <w:rFonts w:ascii="Times New Roman" w:cs="Times New Roman" w:eastAsia="Times New Roman" w:hAnsi="Times New Roman"/>
          <w:sz w:val="20"/>
          <w:szCs w:val="20"/>
          <w:color w:val="auto"/>
        </w:rPr>
        <w:t>Neither any amendment nor repeal of this Article VII, nor the adoption of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43"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provisions of this Certificate of Amendment shall be effective upon filing with the Delaware Secretary of</w:t>
      </w:r>
    </w:p>
    <w:p>
      <w:pPr>
        <w:spacing w:after="0"/>
        <w:rPr>
          <w:sz w:val="20"/>
          <w:szCs w:val="20"/>
          <w:color w:val="auto"/>
        </w:rPr>
      </w:pPr>
      <w:r>
        <w:rPr>
          <w:rFonts w:ascii="Times New Roman" w:cs="Times New Roman" w:eastAsia="Times New Roman" w:hAnsi="Times New Roman"/>
          <w:sz w:val="20"/>
          <w:szCs w:val="20"/>
          <w:color w:val="auto"/>
        </w:rPr>
        <w:t>State.</w:t>
      </w:r>
    </w:p>
    <w:p>
      <w:pPr>
        <w:spacing w:after="0" w:line="18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of Amendment to be signed by its duly authorized officer this 14th day of April, 2023, and the foregoing facts stated herein are true and correct.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appears on the following page.]</w:t>
      </w:r>
    </w:p>
    <w:p>
      <w:pPr>
        <w:sectPr>
          <w:pgSz w:w="11900" w:h="16838" w:orient="portrait"/>
          <w:cols w:equalWidth="0" w:num="1">
            <w:col w:w="11240"/>
          </w:cols>
          <w:pgMar w:left="320" w:top="1409" w:right="339" w:bottom="1440" w:gutter="0" w:footer="0" w:header="0"/>
        </w:sectPr>
      </w:pPr>
    </w:p>
    <w:bookmarkStart w:id="48" w:name="page49"/>
    <w:bookmarkEnd w:id="48"/>
    <w:p>
      <w:pPr>
        <w:ind w:left="3420"/>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200" w:lineRule="exact"/>
        <w:rPr>
          <w:sz w:val="20"/>
          <w:szCs w:val="20"/>
          <w:color w:val="auto"/>
        </w:rPr>
      </w:pPr>
    </w:p>
    <w:p>
      <w:pPr>
        <w:spacing w:after="0" w:line="36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 /s/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1242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Katherine Stueland</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Title: Chief Executive Officer</w:t>
      </w:r>
    </w:p>
    <w:p>
      <w:pPr>
        <w:sectPr>
          <w:pgSz w:w="11900" w:h="16838" w:orient="portrait"/>
          <w:cols w:equalWidth="0" w:num="1">
            <w:col w:w="9019"/>
          </w:cols>
          <w:pgMar w:left="1440" w:top="1409" w:right="1440" w:bottom="1440" w:gutter="0" w:footer="0" w:header="0"/>
        </w:sectPr>
      </w:pPr>
    </w:p>
    <w:bookmarkStart w:id="49" w:name="page50"/>
    <w:bookmarkEnd w:id="49"/>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AMENDED AND RESTATED CERTIFICATE OF INCORPORATION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216"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GeneDx Holdings Corp.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 corporation organized and existing under and by virtue of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does hereby certify as follows:</w:t>
      </w:r>
    </w:p>
    <w:p>
      <w:pPr>
        <w:spacing w:after="0" w:line="138" w:lineRule="exact"/>
        <w:rPr>
          <w:sz w:val="20"/>
          <w:szCs w:val="20"/>
          <w:color w:val="auto"/>
        </w:rPr>
      </w:pPr>
    </w:p>
    <w:p>
      <w:pPr>
        <w:ind w:firstLine="656"/>
        <w:spacing w:after="0" w:line="255" w:lineRule="auto"/>
        <w:tabs>
          <w:tab w:leader="none" w:pos="129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Third Amended and Restated Certificate of Incorporation (as amended to the date hereof, the “</w:t>
      </w:r>
      <w:r>
        <w:rPr>
          <w:rFonts w:ascii="Times New Roman" w:cs="Times New Roman" w:eastAsia="Times New Roman" w:hAnsi="Times New Roman"/>
          <w:sz w:val="19"/>
          <w:szCs w:val="19"/>
          <w:b w:val="1"/>
          <w:bCs w:val="1"/>
          <w:i w:val="1"/>
          <w:iCs w:val="1"/>
          <w:color w:val="auto"/>
        </w:rPr>
        <w:t>Certificate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of Incorporation</w:t>
      </w:r>
      <w:r>
        <w:rPr>
          <w:rFonts w:ascii="Times New Roman" w:cs="Times New Roman" w:eastAsia="Times New Roman" w:hAnsi="Times New Roman"/>
          <w:sz w:val="19"/>
          <w:szCs w:val="19"/>
          <w:color w:val="auto"/>
        </w:rPr>
        <w:t>”) was filed with the Secretary of State of the State of Delaware on July 22, 2021, under the name Sema4 Holdings Corp.</w:t>
      </w:r>
    </w:p>
    <w:p>
      <w:pPr>
        <w:spacing w:after="0" w:line="143" w:lineRule="exact"/>
        <w:rPr>
          <w:rFonts w:ascii="Times New Roman" w:cs="Times New Roman" w:eastAsia="Times New Roman" w:hAnsi="Times New Roman"/>
          <w:sz w:val="19"/>
          <w:szCs w:val="19"/>
          <w:color w:val="auto"/>
        </w:rPr>
      </w:pPr>
    </w:p>
    <w:p>
      <w:pPr>
        <w:ind w:firstLine="656"/>
        <w:spacing w:after="0" w:line="245"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this Certificate of Amendment to the Certificate of Incorporation (this “</w:t>
      </w:r>
      <w:r>
        <w:rPr>
          <w:rFonts w:ascii="Times New Roman" w:cs="Times New Roman" w:eastAsia="Times New Roman" w:hAnsi="Times New Roman"/>
          <w:sz w:val="20"/>
          <w:szCs w:val="20"/>
          <w:b w:val="1"/>
          <w:bCs w:val="1"/>
          <w:i w:val="1"/>
          <w:iCs w:val="1"/>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amends the provisions of the Corporation’s Certificate of Incorporation.</w:t>
      </w:r>
    </w:p>
    <w:p>
      <w:pPr>
        <w:spacing w:after="0" w:line="141"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DGCL, the Board of Directors of the Corporation has duly adopted this Certificate of Amendment, and the Corporation’s stockholders have duly approved this Certificate of Amendment.</w:t>
      </w:r>
    </w:p>
    <w:p>
      <w:pPr>
        <w:spacing w:after="0" w:line="1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 of Article IV of the Certificate of Incorporation is hereby amended by adding the following paragraph to the end of</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such section: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at 12:01 a.m. Eastern Daylight Time on May 4, 2023 (the “</w:t>
      </w:r>
      <w:r>
        <w:rPr>
          <w:rFonts w:ascii="Times New Roman" w:cs="Times New Roman" w:eastAsia="Times New Roman" w:hAnsi="Times New Roman"/>
          <w:sz w:val="20"/>
          <w:szCs w:val="20"/>
          <w:b w:val="1"/>
          <w:bCs w:val="1"/>
          <w:i w:val="1"/>
          <w:iCs w:val="1"/>
          <w:color w:val="auto"/>
        </w:rPr>
        <w:t>Effective Time</w:t>
      </w:r>
      <w:r>
        <w:rPr>
          <w:rFonts w:ascii="Times New Roman" w:cs="Times New Roman" w:eastAsia="Times New Roman" w:hAnsi="Times New Roman"/>
          <w:sz w:val="20"/>
          <w:szCs w:val="20"/>
          <w:color w:val="auto"/>
        </w:rPr>
        <w:t>”), each thirty-three (33) shares of Common Stock then issued and outstanding, or held in treasury of the Corporation, immediately prior to the Effective Time shall automatically be reclassified and converted into one (1) share of Common Stock, without any further action by the Corporation or the respective holders of such shares (the “</w:t>
      </w:r>
      <w:r>
        <w:rPr>
          <w:rFonts w:ascii="Times New Roman" w:cs="Times New Roman" w:eastAsia="Times New Roman" w:hAnsi="Times New Roman"/>
          <w:sz w:val="20"/>
          <w:szCs w:val="20"/>
          <w:b w:val="1"/>
          <w:bCs w:val="1"/>
          <w:i w:val="1"/>
          <w:iCs w:val="1"/>
          <w:color w:val="auto"/>
        </w:rPr>
        <w:t>Reverse Stock Split</w:t>
      </w:r>
      <w:r>
        <w:rPr>
          <w:rFonts w:ascii="Times New Roman" w:cs="Times New Roman" w:eastAsia="Times New Roman" w:hAnsi="Times New Roman"/>
          <w:sz w:val="20"/>
          <w:szCs w:val="20"/>
          <w:color w:val="auto"/>
        </w:rPr>
        <w:t>”). No fractional shares shall be issued in connection with the Reverse Stock Split. A holder of Common Stock who would otherwise be entitled to receive a fractional share of Common Stock as a result of the Reverse Stock Split will receive one whole share of Common Stock in lieu of such fractional share.”</w:t>
      </w:r>
    </w:p>
    <w:p>
      <w:pPr>
        <w:spacing w:after="0" w:line="164"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terms and provisions of this Certificate of Amendment shall be effective as of the Effective Time.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herein amended, the Corporation’s Certificate of Incorporation shall remain in full force and effect.</w:t>
      </w:r>
    </w:p>
    <w:p>
      <w:pPr>
        <w:spacing w:after="0" w:line="20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of Amendment to be signed by its duly authorized officer this 28th day of April, 2023, and the foregoing facts stated herein are true and correct.</w:t>
      </w:r>
    </w:p>
    <w:p>
      <w:pPr>
        <w:sectPr>
          <w:pgSz w:w="11900" w:h="16838" w:orient="portrait"/>
          <w:cols w:equalWidth="0" w:num="1">
            <w:col w:w="11240"/>
          </w:cols>
          <w:pgMar w:left="320" w:top="1440" w:right="339" w:bottom="1440" w:gutter="0" w:footer="0" w:header="0"/>
        </w:sectPr>
      </w:pPr>
    </w:p>
    <w:bookmarkStart w:id="50" w:name="page51"/>
    <w:bookmarkEnd w:id="50"/>
    <w:p>
      <w:pPr>
        <w:ind w:left="3420"/>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200" w:lineRule="exact"/>
        <w:rPr>
          <w:sz w:val="20"/>
          <w:szCs w:val="20"/>
          <w:color w:val="auto"/>
        </w:rPr>
      </w:pPr>
    </w:p>
    <w:p>
      <w:pPr>
        <w:spacing w:after="0" w:line="36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 /s/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12420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Katherine Stueland</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Title: Chief Executive Officer</w:t>
      </w:r>
    </w:p>
    <w:p>
      <w:pPr>
        <w:sectPr>
          <w:pgSz w:w="11900" w:h="16838" w:orient="portrait"/>
          <w:cols w:equalWidth="0" w:num="1">
            <w:col w:w="9019"/>
          </w:cols>
          <w:pgMar w:left="1440" w:top="1409"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GENEDX HOLDINGS CORP.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b w:val="1"/>
          <w:bCs w:val="1"/>
          <w:color w:val="auto"/>
        </w:rPr>
        <w:t>”)</w:t>
      </w:r>
    </w:p>
    <w:p>
      <w:pPr>
        <w:spacing w:after="0" w:line="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 Effective April 10, 2025</w:t>
      </w:r>
    </w:p>
    <w:p>
      <w:pPr>
        <w:spacing w:after="0" w:line="190"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1"/>
          <w:szCs w:val="21"/>
          <w:color w:val="auto"/>
        </w:rPr>
        <w:t>The Company’s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believes it is in the best interests of the Company and its stockholders to adopt a compensation program for non-employee directors as set forth herein (the “</w:t>
      </w:r>
      <w:r>
        <w:rPr>
          <w:rFonts w:ascii="Times New Roman" w:cs="Times New Roman" w:eastAsia="Times New Roman" w:hAnsi="Times New Roman"/>
          <w:sz w:val="21"/>
          <w:szCs w:val="21"/>
          <w:b w:val="1"/>
          <w:bCs w:val="1"/>
          <w:i w:val="1"/>
          <w:iCs w:val="1"/>
          <w:color w:val="auto"/>
        </w:rPr>
        <w:t>Non-Employee Director 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to provide for an annual cash retainer and certain equity awards in consideration of each non-employee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director’s service on the Board and any committees thereof. This Policy may be amended or terminated at any time in the sole discretion of the Board.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Cash Compensation.</w:t>
      </w:r>
    </w:p>
    <w:p>
      <w:pPr>
        <w:spacing w:after="0" w:line="252" w:lineRule="exact"/>
        <w:rPr>
          <w:sz w:val="20"/>
          <w:szCs w:val="20"/>
          <w:color w:val="auto"/>
        </w:rPr>
      </w:pPr>
    </w:p>
    <w:p>
      <w:pPr>
        <w:jc w:val="both"/>
        <w:ind w:right="340" w:firstLine="648"/>
        <w:spacing w:after="0" w:line="284" w:lineRule="auto"/>
        <w:rPr>
          <w:sz w:val="20"/>
          <w:szCs w:val="20"/>
          <w:color w:val="auto"/>
        </w:rPr>
      </w:pPr>
      <w:r>
        <w:rPr>
          <w:rFonts w:ascii="Times New Roman" w:cs="Times New Roman" w:eastAsia="Times New Roman" w:hAnsi="Times New Roman"/>
          <w:sz w:val="22"/>
          <w:szCs w:val="22"/>
          <w:color w:val="auto"/>
        </w:rPr>
        <w:t>Cash compensation payable to each non-employee director shall consist of the following annual retainer, which shall be paid quarterly in arrears and shall be prorated for partial quarters served:</w:t>
      </w:r>
    </w:p>
    <w:p>
      <w:pPr>
        <w:spacing w:after="0" w:line="144" w:lineRule="exact"/>
        <w:rPr>
          <w:sz w:val="20"/>
          <w:szCs w:val="20"/>
          <w:color w:val="auto"/>
        </w:rPr>
      </w:pPr>
    </w:p>
    <w:p>
      <w:pPr>
        <w:ind w:left="960" w:hanging="321"/>
        <w:spacing w:after="0"/>
        <w:tabs>
          <w:tab w:leader="none" w:pos="9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Board Retainer: $50,000</w:t>
      </w:r>
    </w:p>
    <w:p>
      <w:pPr>
        <w:spacing w:after="0" w:line="111" w:lineRule="exact"/>
        <w:rPr>
          <w:rFonts w:ascii="Times New Roman" w:cs="Times New Roman" w:eastAsia="Times New Roman" w:hAnsi="Times New Roman"/>
          <w:sz w:val="22"/>
          <w:szCs w:val="22"/>
          <w:color w:val="auto"/>
        </w:rPr>
      </w:pPr>
    </w:p>
    <w:p>
      <w:pPr>
        <w:ind w:left="960" w:hanging="321"/>
        <w:spacing w:after="0"/>
        <w:tabs>
          <w:tab w:leader="none" w:pos="9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Non-Executive Chairman of the Board Retainer (in addition to the General Board Retainer): $50,000</w:t>
      </w:r>
    </w:p>
    <w:p>
      <w:pPr>
        <w:spacing w:after="0" w:line="111" w:lineRule="exact"/>
        <w:rPr>
          <w:rFonts w:ascii="Times New Roman" w:cs="Times New Roman" w:eastAsia="Times New Roman" w:hAnsi="Times New Roman"/>
          <w:sz w:val="22"/>
          <w:szCs w:val="22"/>
          <w:color w:val="auto"/>
        </w:rPr>
      </w:pPr>
    </w:p>
    <w:p>
      <w:pPr>
        <w:ind w:left="960" w:right="400" w:hanging="321"/>
        <w:spacing w:after="0" w:line="271" w:lineRule="auto"/>
        <w:tabs>
          <w:tab w:leader="none" w:pos="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Chair Retainer (in addition to the General Board Retainer, and in lieu of the Non-Chair Committee Member Retainer set forth below):</w:t>
      </w:r>
    </w:p>
    <w:p>
      <w:pPr>
        <w:spacing w:after="0" w:line="63" w:lineRule="exact"/>
        <w:rPr>
          <w:rFonts w:ascii="Times New Roman" w:cs="Times New Roman" w:eastAsia="Times New Roman" w:hAnsi="Times New Roman"/>
          <w:sz w:val="22"/>
          <w:szCs w:val="22"/>
          <w:color w:val="auto"/>
        </w:rPr>
      </w:pPr>
    </w:p>
    <w:p>
      <w:pPr>
        <w:ind w:left="1920" w:hanging="309"/>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$20,000</w:t>
      </w:r>
    </w:p>
    <w:p>
      <w:pPr>
        <w:spacing w:after="0" w:line="27" w:lineRule="exact"/>
        <w:rPr>
          <w:rFonts w:ascii="Times New Roman" w:cs="Times New Roman" w:eastAsia="Times New Roman" w:hAnsi="Times New Roman"/>
          <w:sz w:val="22"/>
          <w:szCs w:val="22"/>
          <w:color w:val="auto"/>
        </w:rPr>
      </w:pPr>
    </w:p>
    <w:p>
      <w:pPr>
        <w:ind w:left="1920" w:hanging="309"/>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$15,000</w:t>
      </w:r>
    </w:p>
    <w:p>
      <w:pPr>
        <w:spacing w:after="0" w:line="3" w:lineRule="exact"/>
        <w:rPr>
          <w:rFonts w:ascii="Times New Roman" w:cs="Times New Roman" w:eastAsia="Times New Roman" w:hAnsi="Times New Roman"/>
          <w:sz w:val="22"/>
          <w:szCs w:val="22"/>
          <w:color w:val="auto"/>
        </w:rPr>
      </w:pPr>
    </w:p>
    <w:p>
      <w:pPr>
        <w:ind w:left="1920" w:hanging="309"/>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Nominating and Governance Committee: $10,000</w:t>
      </w:r>
    </w:p>
    <w:p>
      <w:pPr>
        <w:spacing w:after="0" w:line="236" w:lineRule="exact"/>
        <w:rPr>
          <w:rFonts w:ascii="Times New Roman" w:cs="Times New Roman" w:eastAsia="Times New Roman" w:hAnsi="Times New Roman"/>
          <w:sz w:val="22"/>
          <w:szCs w:val="22"/>
          <w:color w:val="auto"/>
        </w:rPr>
      </w:pPr>
    </w:p>
    <w:p>
      <w:pPr>
        <w:ind w:left="960" w:right="1160" w:hanging="321"/>
        <w:spacing w:after="0" w:line="271" w:lineRule="auto"/>
        <w:tabs>
          <w:tab w:leader="none" w:pos="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Non-Chair Committee Member Retainer (in addition to the General Board Retainer, and in lieu of the Committee Chair Retainer set forth above):</w:t>
      </w:r>
    </w:p>
    <w:p>
      <w:pPr>
        <w:spacing w:after="0" w:line="157" w:lineRule="exact"/>
        <w:rPr>
          <w:rFonts w:ascii="Times New Roman" w:cs="Times New Roman" w:eastAsia="Times New Roman" w:hAnsi="Times New Roman"/>
          <w:sz w:val="22"/>
          <w:szCs w:val="22"/>
          <w:color w:val="auto"/>
        </w:rPr>
      </w:pPr>
    </w:p>
    <w:p>
      <w:pPr>
        <w:ind w:left="1920" w:hanging="309"/>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$10,000</w:t>
      </w:r>
    </w:p>
    <w:p>
      <w:pPr>
        <w:spacing w:after="0" w:line="27" w:lineRule="exact"/>
        <w:rPr>
          <w:rFonts w:ascii="Times New Roman" w:cs="Times New Roman" w:eastAsia="Times New Roman" w:hAnsi="Times New Roman"/>
          <w:sz w:val="22"/>
          <w:szCs w:val="22"/>
          <w:color w:val="auto"/>
        </w:rPr>
      </w:pPr>
    </w:p>
    <w:p>
      <w:pPr>
        <w:ind w:left="1920" w:hanging="309"/>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$7,500</w:t>
      </w:r>
    </w:p>
    <w:p>
      <w:pPr>
        <w:spacing w:after="0" w:line="3" w:lineRule="exact"/>
        <w:rPr>
          <w:rFonts w:ascii="Times New Roman" w:cs="Times New Roman" w:eastAsia="Times New Roman" w:hAnsi="Times New Roman"/>
          <w:sz w:val="22"/>
          <w:szCs w:val="22"/>
          <w:color w:val="auto"/>
        </w:rPr>
      </w:pPr>
    </w:p>
    <w:p>
      <w:pPr>
        <w:ind w:left="1920" w:hanging="309"/>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Nominating and Governance Committee: $5,000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Compensation Initial Awards.</w:t>
      </w:r>
    </w:p>
    <w:p>
      <w:pPr>
        <w:spacing w:after="0" w:line="231" w:lineRule="exact"/>
        <w:rPr>
          <w:sz w:val="20"/>
          <w:szCs w:val="20"/>
          <w:color w:val="auto"/>
        </w:rPr>
      </w:pPr>
    </w:p>
    <w:p>
      <w:pPr>
        <w:jc w:val="both"/>
        <w:ind w:right="320" w:firstLine="648"/>
        <w:spacing w:after="0" w:line="254" w:lineRule="auto"/>
        <w:rPr>
          <w:sz w:val="20"/>
          <w:szCs w:val="20"/>
          <w:color w:val="auto"/>
        </w:rPr>
      </w:pPr>
      <w:r>
        <w:rPr>
          <w:rFonts w:ascii="Times New Roman" w:cs="Times New Roman" w:eastAsia="Times New Roman" w:hAnsi="Times New Roman"/>
          <w:sz w:val="22"/>
          <w:szCs w:val="22"/>
          <w:color w:val="auto"/>
        </w:rPr>
        <w:t>Each new non-employee director appointed to the Board will be granted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under the Company’s Amended and Restated 2021 Equity Incentive Plan or the equity incentive plan of the Company then in effect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on the date of such director’s appointment to the Board, with a grant date value equal to $420,000, provided in the form of RSUs</w:t>
      </w:r>
    </w:p>
    <w:p>
      <w:pPr>
        <w:sectPr>
          <w:pgSz w:w="11900" w:h="16838" w:orient="portrait"/>
          <w:cols w:equalWidth="0" w:num="1">
            <w:col w:w="10900"/>
          </w:cols>
          <w:pgMar w:left="660" w:top="828" w:right="339" w:bottom="1440" w:gutter="0" w:footer="0" w:header="0"/>
        </w:sectPr>
      </w:pPr>
    </w:p>
    <w:bookmarkStart w:id="52" w:name="page53"/>
    <w:bookmarkEnd w:id="52"/>
    <w:p>
      <w:pPr>
        <w:jc w:val="both"/>
        <w:spacing w:after="0" w:line="260"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Initial RSUs</w:t>
      </w:r>
      <w:r>
        <w:rPr>
          <w:rFonts w:ascii="Times New Roman" w:cs="Times New Roman" w:eastAsia="Times New Roman" w:hAnsi="Times New Roman"/>
          <w:sz w:val="22"/>
          <w:szCs w:val="22"/>
          <w:color w:val="auto"/>
        </w:rPr>
        <w:t>”). The number of shares subject to each grant of RSUs will be determined by dividing the dollar value by the average closing price of Company common stock for the 30-trading day average ending on the day prior to the grant date, rounding down to the nearest whole share.</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Initial RSUs shall vest in equal annual installments over the three-year period following the date of grant, in each case subject to the non-employee director continuing to provide services to the Company through such vesting date. If a non-employee director’s service ends on the date of vesting, then the vesting shall be deemed to have occurred. Then-outstanding Initial RSUs shall accelerate in full upon the consummation of a Corporate Transaction (as defined in the Plan).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Compensation - Annual Awards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non-employee director who is serving on the Board prior to, and who will continue to serve on the Board following, each annual meeting of the Company’s stockholders will automatically (and without any further action by the Board) be granted RSUs under the Plan on an annual basis on the date of each annual meeting of the Company’s stockholders, with an aggregate grant-date value of $240,000, such aggregate grant date value to be provided in the form of RSUs (the “</w:t>
      </w:r>
      <w:r>
        <w:rPr>
          <w:rFonts w:ascii="Times New Roman" w:cs="Times New Roman" w:eastAsia="Times New Roman" w:hAnsi="Times New Roman"/>
          <w:sz w:val="22"/>
          <w:szCs w:val="22"/>
          <w:b w:val="1"/>
          <w:bCs w:val="1"/>
          <w:i w:val="1"/>
          <w:iCs w:val="1"/>
          <w:color w:val="auto"/>
        </w:rPr>
        <w:t>Annual RSUs</w:t>
      </w:r>
      <w:r>
        <w:rPr>
          <w:rFonts w:ascii="Times New Roman" w:cs="Times New Roman" w:eastAsia="Times New Roman" w:hAnsi="Times New Roman"/>
          <w:sz w:val="22"/>
          <w:szCs w:val="22"/>
          <w:color w:val="auto"/>
        </w:rPr>
        <w:t>”). The number of shares subject to each grant of RSUs will be determined by dividing the dollar value by the average closing price of Company common stock for the 30-trading day average ending on the day prior to the grant date, rounding down to the nearest whole share.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Annual RSUs shall vest on the earlier of (a) the date of the next annual meeting of the Company’s stockholders following the grant date and (b) the first anniversary of the grant date, in each case so long as the non-employee director continues to provide services to the Company through such vesting date. If a non-employee director’s service ends on the date of vesting, then the vesting shall be deemed to have occurred. Then-outstanding Annual RSUs shall accelerate in full upon the consummation of a Corporate Transaction (as defined in the Plan).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Limit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other provision of this Policy to the contrary, in no event will the total amount of annual compensation payable to any non-employee director exceed $750,000 in a calendar year, increased to $1,000,000 in the calendar year of his or her initial services as a non- employee director, as set forth in and calculated pursuant to Section 12 of the Plan.</w:t>
      </w:r>
    </w:p>
    <w:p>
      <w:pPr>
        <w:sectPr>
          <w:pgSz w:w="11900" w:h="16838" w:orient="portrait"/>
          <w:cols w:equalWidth="0" w:num="1">
            <w:col w:w="10580"/>
          </w:cols>
          <w:pgMar w:left="660" w:top="1416" w:right="6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47" w:lineRule="exact"/>
        <w:rPr>
          <w:sz w:val="20"/>
          <w:szCs w:val="20"/>
          <w:color w:val="auto"/>
        </w:rPr>
      </w:pPr>
    </w:p>
    <w:p>
      <w:pPr>
        <w:jc w:val="both"/>
        <w:ind w:left="4" w:right="20" w:firstLine="648"/>
        <w:spacing w:after="0" w:line="249" w:lineRule="auto"/>
        <w:rPr>
          <w:sz w:val="20"/>
          <w:szCs w:val="20"/>
          <w:color w:val="auto"/>
        </w:rPr>
      </w:pPr>
      <w:r>
        <w:rPr>
          <w:rFonts w:ascii="Times New Roman" w:cs="Times New Roman" w:eastAsia="Times New Roman" w:hAnsi="Times New Roman"/>
          <w:sz w:val="22"/>
          <w:szCs w:val="22"/>
          <w:color w:val="auto"/>
        </w:rPr>
        <w:t>This J</w:t>
      </w:r>
      <w:r>
        <w:rPr>
          <w:rFonts w:ascii="Times New Roman" w:cs="Times New Roman" w:eastAsia="Times New Roman" w:hAnsi="Times New Roman"/>
          <w:sz w:val="17"/>
          <w:szCs w:val="17"/>
          <w:color w:val="auto"/>
        </w:rPr>
        <w:t>OINDER</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i w:val="1"/>
          <w:iCs w:val="1"/>
          <w:color w:val="auto"/>
        </w:rPr>
        <w:t>“Joinder”</w:t>
      </w:r>
      <w:r>
        <w:rPr>
          <w:rFonts w:ascii="Times New Roman" w:cs="Times New Roman" w:eastAsia="Times New Roman" w:hAnsi="Times New Roman"/>
          <w:sz w:val="22"/>
          <w:szCs w:val="22"/>
          <w:color w:val="auto"/>
        </w:rPr>
        <w:t>) dated as of July 2, 2025 is by F</w:t>
      </w:r>
      <w:r>
        <w:rPr>
          <w:rFonts w:ascii="Times New Roman" w:cs="Times New Roman" w:eastAsia="Times New Roman" w:hAnsi="Times New Roman"/>
          <w:sz w:val="17"/>
          <w:szCs w:val="17"/>
          <w:color w:val="auto"/>
        </w:rPr>
        <w:t>ABRIC</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7"/>
          <w:szCs w:val="17"/>
          <w:color w:val="auto"/>
        </w:rPr>
        <w:t>ENOMICS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i w:val="1"/>
          <w:iCs w:val="1"/>
          <w:color w:val="auto"/>
        </w:rPr>
        <w:t>“Additional Grantor”</w:t>
      </w:r>
      <w:r>
        <w:rPr>
          <w:rFonts w:ascii="Times New Roman" w:cs="Times New Roman" w:eastAsia="Times New Roman" w:hAnsi="Times New Roman"/>
          <w:sz w:val="22"/>
          <w:szCs w:val="22"/>
          <w:color w:val="auto"/>
        </w:rPr>
        <w:t>), in favor of P</w:t>
      </w:r>
      <w:r>
        <w:rPr>
          <w:rFonts w:ascii="Times New Roman" w:cs="Times New Roman" w:eastAsia="Times New Roman" w:hAnsi="Times New Roman"/>
          <w:sz w:val="17"/>
          <w:szCs w:val="17"/>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7"/>
          <w:szCs w:val="17"/>
          <w:color w:val="auto"/>
        </w:rPr>
        <w:t>OLDINGS</w:t>
      </w:r>
      <w:r>
        <w:rPr>
          <w:rFonts w:ascii="Times New Roman" w:cs="Times New Roman" w:eastAsia="Times New Roman" w:hAnsi="Times New Roman"/>
          <w:sz w:val="22"/>
          <w:szCs w:val="22"/>
          <w:color w:val="auto"/>
        </w:rPr>
        <w:t xml:space="preserve"> IV, LP, a Delaware limited partnership, as administrative agent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for the Secured Parties.</w:t>
      </w:r>
    </w:p>
    <w:p>
      <w:pPr>
        <w:spacing w:after="0" w:line="210" w:lineRule="exact"/>
        <w:rPr>
          <w:sz w:val="20"/>
          <w:szCs w:val="20"/>
          <w:color w:val="auto"/>
        </w:rPr>
      </w:pPr>
    </w:p>
    <w:p>
      <w:pPr>
        <w:jc w:val="both"/>
        <w:ind w:left="4" w:firstLine="626"/>
        <w:spacing w:after="0" w:line="243" w:lineRule="auto"/>
        <w:tabs>
          <w:tab w:leader="none" w:pos="128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 is made to (i) the Credit Agreement and Guaranty (as amended, supplemented, restated, extended, renewed or replaced from time to time,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dated as of October 27, 2023, among S</w:t>
      </w:r>
      <w:r>
        <w:rPr>
          <w:rFonts w:ascii="Times New Roman" w:cs="Times New Roman" w:eastAsia="Times New Roman" w:hAnsi="Times New Roman"/>
          <w:sz w:val="17"/>
          <w:szCs w:val="17"/>
          <w:color w:val="auto"/>
        </w:rPr>
        <w:t>EMA</w:t>
      </w:r>
      <w:r>
        <w:rPr>
          <w:rFonts w:ascii="Times New Roman" w:cs="Times New Roman" w:eastAsia="Times New Roman" w:hAnsi="Times New Roman"/>
          <w:sz w:val="22"/>
          <w:szCs w:val="22"/>
          <w:color w:val="auto"/>
        </w:rPr>
        <w:t>4 O</w:t>
      </w:r>
      <w:r>
        <w:rPr>
          <w:rFonts w:ascii="Times New Roman" w:cs="Times New Roman" w:eastAsia="Times New Roman" w:hAnsi="Times New Roman"/>
          <w:sz w:val="17"/>
          <w:szCs w:val="17"/>
          <w:color w:val="auto"/>
        </w:rPr>
        <w:t>P</w:t>
      </w:r>
      <w:r>
        <w:rPr>
          <w:rFonts w:ascii="Times New Roman" w:cs="Times New Roman" w:eastAsia="Times New Roman" w:hAnsi="Times New Roman"/>
          <w:sz w:val="22"/>
          <w:szCs w:val="22"/>
          <w:color w:val="auto"/>
        </w:rPr>
        <w:t>C</w:t>
      </w:r>
      <w:r>
        <w:rPr>
          <w:rFonts w:ascii="Times New Roman" w:cs="Times New Roman" w:eastAsia="Times New Roman" w:hAnsi="Times New Roman"/>
          <w:sz w:val="17"/>
          <w:szCs w:val="17"/>
          <w:color w:val="auto"/>
        </w:rPr>
        <w:t>O</w:t>
      </w:r>
      <w:r>
        <w:rPr>
          <w:rFonts w:ascii="Times New Roman" w:cs="Times New Roman" w:eastAsia="Times New Roman" w:hAnsi="Times New Roman"/>
          <w:sz w:val="22"/>
          <w:szCs w:val="22"/>
          <w:color w:val="auto"/>
        </w:rPr>
        <w:t>,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2"/>
          <w:szCs w:val="22"/>
          <w:color w:val="auto"/>
        </w:rPr>
        <w:t>. (f/k/a Mount Sinai Genomics, Inc.), a Delaware corporation (</w:t>
      </w:r>
      <w:r>
        <w:rPr>
          <w:rFonts w:ascii="Times New Roman" w:cs="Times New Roman" w:eastAsia="Times New Roman" w:hAnsi="Times New Roman"/>
          <w:sz w:val="22"/>
          <w:szCs w:val="22"/>
          <w:i w:val="1"/>
          <w:iCs w:val="1"/>
          <w:color w:val="auto"/>
        </w:rPr>
        <w:t>“Sema4”</w:t>
      </w:r>
      <w:r>
        <w:rPr>
          <w:rFonts w:ascii="Times New Roman" w:cs="Times New Roman" w:eastAsia="Times New Roman" w:hAnsi="Times New Roman"/>
          <w:sz w:val="22"/>
          <w:szCs w:val="22"/>
          <w:color w:val="auto"/>
        </w:rPr>
        <w:t>), G</w:t>
      </w:r>
      <w:r>
        <w:rPr>
          <w:rFonts w:ascii="Times New Roman" w:cs="Times New Roman" w:eastAsia="Times New Roman" w:hAnsi="Times New Roman"/>
          <w:sz w:val="17"/>
          <w:szCs w:val="17"/>
          <w:color w:val="auto"/>
        </w:rPr>
        <w:t>ENE</w:t>
      </w:r>
      <w:r>
        <w:rPr>
          <w:rFonts w:ascii="Times New Roman" w:cs="Times New Roman" w:eastAsia="Times New Roman" w:hAnsi="Times New Roman"/>
          <w:sz w:val="22"/>
          <w:szCs w:val="22"/>
          <w:color w:val="auto"/>
        </w:rPr>
        <w:t>D</w:t>
      </w:r>
      <w:r>
        <w:rPr>
          <w:rFonts w:ascii="Times New Roman" w:cs="Times New Roman" w:eastAsia="Times New Roman" w:hAnsi="Times New Roman"/>
          <w:sz w:val="17"/>
          <w:szCs w:val="17"/>
          <w:color w:val="auto"/>
        </w:rPr>
        <w:t>X</w:t>
      </w:r>
      <w:r>
        <w:rPr>
          <w:rFonts w:ascii="Times New Roman" w:cs="Times New Roman" w:eastAsia="Times New Roman" w:hAnsi="Times New Roman"/>
          <w:sz w:val="22"/>
          <w:szCs w:val="22"/>
          <w:color w:val="auto"/>
        </w:rPr>
        <w:t>, LLC (f/k/a GeneDx, Inc.), a Delaware limited liability company (</w:t>
      </w:r>
      <w:r>
        <w:rPr>
          <w:rFonts w:ascii="Times New Roman" w:cs="Times New Roman" w:eastAsia="Times New Roman" w:hAnsi="Times New Roman"/>
          <w:sz w:val="22"/>
          <w:szCs w:val="22"/>
          <w:i w:val="1"/>
          <w:iCs w:val="1"/>
          <w:color w:val="auto"/>
        </w:rPr>
        <w:t>“GeneDx, LLC”</w:t>
      </w:r>
      <w:r>
        <w:rPr>
          <w:rFonts w:ascii="Times New Roman" w:cs="Times New Roman" w:eastAsia="Times New Roman" w:hAnsi="Times New Roman"/>
          <w:sz w:val="22"/>
          <w:szCs w:val="22"/>
          <w:color w:val="auto"/>
        </w:rPr>
        <w:t xml:space="preserve"> and together with Sema4, each a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xml:space="preserve">), certain Guarantors party thereto, certain Lenders party thereto and the Administrative Agent, and (ii) the Security Agreement (as amended, supplemented, restated, extended, renewed or replaced from time to time, the </w:t>
      </w:r>
      <w:r>
        <w:rPr>
          <w:rFonts w:ascii="Times New Roman" w:cs="Times New Roman" w:eastAsia="Times New Roman" w:hAnsi="Times New Roman"/>
          <w:sz w:val="22"/>
          <w:szCs w:val="22"/>
          <w:i w:val="1"/>
          <w:iCs w:val="1"/>
          <w:color w:val="auto"/>
        </w:rPr>
        <w:t>“Security Agreement”</w:t>
      </w:r>
      <w:r>
        <w:rPr>
          <w:rFonts w:ascii="Times New Roman" w:cs="Times New Roman" w:eastAsia="Times New Roman" w:hAnsi="Times New Roman"/>
          <w:sz w:val="22"/>
          <w:szCs w:val="22"/>
          <w:color w:val="auto"/>
        </w:rPr>
        <w:t>; capitalized terms used herein but not defined shall have the meaning ascribed to such terms therein), dated as of October 27, 2023, among certain Grantors party thereto and the Administrative Agent.</w:t>
      </w:r>
    </w:p>
    <w:p>
      <w:pPr>
        <w:spacing w:after="0" w:line="232" w:lineRule="exact"/>
        <w:rPr>
          <w:rFonts w:ascii="Times New Roman" w:cs="Times New Roman" w:eastAsia="Times New Roman" w:hAnsi="Times New Roman"/>
          <w:sz w:val="22"/>
          <w:szCs w:val="22"/>
          <w:color w:val="auto"/>
        </w:rPr>
      </w:pPr>
    </w:p>
    <w:p>
      <w:pPr>
        <w:jc w:val="both"/>
        <w:ind w:left="4" w:right="20" w:firstLine="639"/>
        <w:spacing w:after="0" w:line="248"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5.12 of the Security Agreement provides that additional Persons may from time to time after the date of the Security Agreement become Grantors under the Security Agreement by executing and delivering to the Administrative Agent a supplemental agreement to the Security Agreement in the form of this Joinder.</w:t>
      </w:r>
    </w:p>
    <w:p>
      <w:pPr>
        <w:spacing w:after="0" w:line="223" w:lineRule="exact"/>
        <w:rPr>
          <w:rFonts w:ascii="Times New Roman" w:cs="Times New Roman" w:eastAsia="Times New Roman" w:hAnsi="Times New Roman"/>
          <w:sz w:val="22"/>
          <w:szCs w:val="22"/>
          <w:color w:val="auto"/>
        </w:rPr>
      </w:pPr>
    </w:p>
    <w:p>
      <w:pPr>
        <w:jc w:val="both"/>
        <w:ind w:left="4" w:right="20" w:firstLine="639"/>
        <w:spacing w:after="0" w:line="246"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the Secured Parties to maintain the term loans pursuant to the Credit Agreement, and for other good and valuable consideration, the receipt and sufficiency of which are hereby acknowledged, the Additional Grantor has agreed to execute and deliver to the Administrative Agent (i) a Guarantee Assumption Agreement under the Credit Agreement, and</w:t>
      </w:r>
    </w:p>
    <w:p>
      <w:pPr>
        <w:spacing w:after="0" w:line="1"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Joinder.</w:t>
      </w:r>
    </w:p>
    <w:p>
      <w:pPr>
        <w:spacing w:after="0" w:line="234" w:lineRule="exact"/>
        <w:rPr>
          <w:sz w:val="20"/>
          <w:szCs w:val="20"/>
          <w:color w:val="auto"/>
        </w:rPr>
      </w:pPr>
    </w:p>
    <w:p>
      <w:pPr>
        <w:jc w:val="both"/>
        <w:ind w:left="4" w:firstLine="648"/>
        <w:spacing w:after="0" w:line="241" w:lineRule="auto"/>
        <w:rPr>
          <w:sz w:val="20"/>
          <w:szCs w:val="20"/>
          <w:color w:val="auto"/>
        </w:rPr>
      </w:pPr>
      <w:r>
        <w:rPr>
          <w:rFonts w:ascii="Times New Roman" w:cs="Times New Roman" w:eastAsia="Times New Roman" w:hAnsi="Times New Roman"/>
          <w:sz w:val="22"/>
          <w:szCs w:val="22"/>
          <w:color w:val="auto"/>
        </w:rPr>
        <w:t>The Additional Grantor hereby agrees to become a “Grantor” for all purposes of the Security Agreement (and hereby supplements each of the Schedules to the Security Agreement in the manner specified in Appendix A hereto). Without limitation, as collateral security for the payment in full when due (whether at stated maturity, by acceleration or otherwise) of the Secured Obligations, the Additional Grantor hereby pledges and grants to the Administrative Agent, for the benefit of the Secured Parties, as provided in Section 3 of the Security Agreement a security interest in all of the Additional Grantor’s right, title and interest in, to and under the Collateral of the Additional Grantor, in each case whether tangible or intangible, wherever located, and whether now owned by the Additional Grantor or hereafter acquired and whether now existing or hereafter coming into existence. In addition, subject to the Schedules attached hereto, the Additional Grantor hereby makes the representations and warranties set forth in Section 2 of the Security Agreement, with respect to itself and its obligations under this Joinder, as if each reference in such Sections to the Loan Documents included reference to this Joinder.</w:t>
      </w:r>
    </w:p>
    <w:p>
      <w:pPr>
        <w:spacing w:after="0" w:line="259"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22"/>
          <w:szCs w:val="22"/>
          <w:color w:val="auto"/>
        </w:rPr>
        <w:t>[SIGNATURE PAGES FOLLOW]</w:t>
      </w:r>
    </w:p>
    <w:p>
      <w:pPr>
        <w:sectPr>
          <w:pgSz w:w="11900" w:h="16838" w:orient="portrait"/>
          <w:cols w:equalWidth="0" w:num="1">
            <w:col w:w="9624"/>
          </w:cols>
          <w:pgMar w:left="976" w:top="761" w:right="129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Docusign Envelope ID: 612D2CCE-7050-4CE8-9A97-980426D05D92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right="39" w:firstLine="648"/>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HEREOF</w:t>
      </w:r>
      <w:r>
        <w:rPr>
          <w:rFonts w:ascii="Times New Roman" w:cs="Times New Roman" w:eastAsia="Times New Roman" w:hAnsi="Times New Roman"/>
          <w:sz w:val="22"/>
          <w:szCs w:val="22"/>
          <w:color w:val="auto"/>
        </w:rPr>
        <w:t>, the Additional Grantor has caused this Joinder Agreement to be duly executed and delivered as of the day and year first above written.</w:t>
      </w: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FABRIC GENOMICS, INC.,</w:t>
      </w:r>
    </w:p>
    <w:p>
      <w:pPr>
        <w:spacing w:after="0" w:line="17" w:lineRule="exact"/>
        <w:rPr>
          <w:sz w:val="20"/>
          <w:szCs w:val="20"/>
          <w:color w:val="auto"/>
        </w:rPr>
      </w:pPr>
    </w:p>
    <w:p>
      <w:pPr>
        <w:ind w:left="5160"/>
        <w:spacing w:after="0"/>
        <w:rPr>
          <w:sz w:val="20"/>
          <w:szCs w:val="20"/>
          <w:color w:val="auto"/>
        </w:rPr>
      </w:pPr>
      <w:r>
        <w:rPr>
          <w:sz w:val="1"/>
          <w:szCs w:val="1"/>
          <w:color w:val="auto"/>
        </w:rPr>
        <w:drawing>
          <wp:inline distT="0" distB="0" distL="0" distR="0">
            <wp:extent cx="951230" cy="4025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402590"/>
                    </a:xfrm>
                    <a:prstGeom prst="rect">
                      <a:avLst/>
                    </a:prstGeom>
                    <a:noFill/>
                    <a:ln>
                      <a:noFill/>
                    </a:ln>
                  </pic:spPr>
                </pic:pic>
              </a:graphicData>
            </a:graphic>
          </wp:inline>
        </w:drawing>
      </w:r>
      <w:r>
        <w:rPr>
          <w:rFonts w:ascii="Times New Roman" w:cs="Times New Roman" w:eastAsia="Times New Roman" w:hAnsi="Times New Roman"/>
          <w:sz w:val="22"/>
          <w:szCs w:val="22"/>
          <w:color w:val="auto"/>
        </w:rPr>
        <w:t>as Grantor</w:t>
      </w:r>
    </w:p>
    <w:p>
      <w:pPr>
        <w:spacing w:after="0" w:line="200" w:lineRule="exact"/>
        <w:rPr>
          <w:sz w:val="20"/>
          <w:szCs w:val="20"/>
          <w:color w:val="auto"/>
        </w:rPr>
      </w:pPr>
    </w:p>
    <w:p>
      <w:pPr>
        <w:spacing w:after="0" w:line="319"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22"/>
          <w:szCs w:val="22"/>
          <w:color w:val="auto"/>
        </w:rPr>
        <w:t>By:</w:t>
        <w:tab/>
        <w:t>Name: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-13970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 Chief Financial Officer and Treasurer</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Joinder Agreement]</w:t>
      </w:r>
    </w:p>
    <w:p>
      <w:pPr>
        <w:sectPr>
          <w:pgSz w:w="11900" w:h="16838" w:orient="portrait"/>
          <w:cols w:equalWidth="0" w:num="1">
            <w:col w:w="10099"/>
          </w:cols>
          <w:pgMar w:left="360" w:top="198"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Docusign Envelope ID: 246957E0-2FAC-4411-B6C3-51104369038A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6" w:lineRule="exact"/>
        <w:rPr>
          <w:sz w:val="20"/>
          <w:szCs w:val="20"/>
          <w:color w:val="auto"/>
        </w:rPr>
      </w:pPr>
    </w:p>
    <w:p>
      <w:pPr>
        <w:ind w:left="620" w:right="4179"/>
        <w:spacing w:after="0" w:line="367" w:lineRule="auto"/>
        <w:rPr>
          <w:sz w:val="20"/>
          <w:szCs w:val="20"/>
          <w:color w:val="auto"/>
        </w:rPr>
      </w:pPr>
      <w:r>
        <w:rPr>
          <w:sz w:val="1"/>
          <w:szCs w:val="1"/>
          <w:color w:val="auto"/>
        </w:rPr>
        <w:drawing>
          <wp:inline distT="0" distB="0" distL="0" distR="0">
            <wp:extent cx="840105" cy="37719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0105" cy="377190"/>
                    </a:xfrm>
                    <a:prstGeom prst="rect">
                      <a:avLst/>
                    </a:prstGeom>
                    <a:noFill/>
                    <a:ln>
                      <a:noFill/>
                    </a:ln>
                  </pic:spPr>
                </pic:pic>
              </a:graphicData>
            </a:graphic>
          </wp:inline>
        </w:drawing>
      </w:r>
      <w:r>
        <w:rPr>
          <w:rFonts w:ascii="Times New Roman" w:cs="Times New Roman" w:eastAsia="Times New Roman" w:hAnsi="Times New Roman"/>
          <w:sz w:val="22"/>
          <w:szCs w:val="22"/>
          <w:color w:val="auto"/>
        </w:rPr>
        <w:t>By: Perceptive Credit Opportunities GP, LLC, its general partner</w:t>
      </w:r>
    </w:p>
    <w:p>
      <w:pPr>
        <w:spacing w:after="0" w:line="2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-13970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620"/>
        <w:spacing w:after="0"/>
        <w:rPr>
          <w:sz w:val="20"/>
          <w:szCs w:val="20"/>
          <w:color w:val="auto"/>
        </w:rPr>
      </w:pPr>
      <w:r>
        <w:rPr>
          <w:sz w:val="1"/>
          <w:szCs w:val="1"/>
          <w:color w:val="auto"/>
        </w:rPr>
        <w:drawing>
          <wp:inline distT="0" distB="0" distL="0" distR="0">
            <wp:extent cx="874395" cy="4025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74395" cy="402590"/>
                    </a:xfrm>
                    <a:prstGeom prst="rect">
                      <a:avLst/>
                    </a:prstGeom>
                    <a:noFill/>
                    <a:ln>
                      <a:noFill/>
                    </a:ln>
                  </pic:spPr>
                </pic:pic>
              </a:graphicData>
            </a:graphic>
          </wp:inline>
        </w:drawing>
      </w:r>
      <w:r>
        <w:rPr>
          <w:rFonts w:ascii="Times New Roman" w:cs="Times New Roman" w:eastAsia="Times New Roman" w:hAnsi="Times New Roman"/>
          <w:sz w:val="22"/>
          <w:szCs w:val="22"/>
          <w:color w:val="auto"/>
        </w:rPr>
        <w:t>Name: Sandeep Dixit</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Chief Credit Officer</w:t>
      </w:r>
    </w:p>
    <w:p>
      <w:pPr>
        <w:spacing w:after="0" w:line="200" w:lineRule="exact"/>
        <w:rPr>
          <w:sz w:val="20"/>
          <w:szCs w:val="20"/>
          <w:color w:val="auto"/>
        </w:rPr>
      </w:pP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-13970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22"/>
          <w:szCs w:val="22"/>
          <w:color w:val="auto"/>
        </w:rPr>
        <w:t>Name: Sam Chawla Title: Portfolio</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Manager</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Joinder Agreement]</w:t>
      </w:r>
    </w:p>
    <w:p>
      <w:pPr>
        <w:sectPr>
          <w:pgSz w:w="11900" w:h="16838" w:orient="portrait"/>
          <w:cols w:equalWidth="0" w:num="1">
            <w:col w:w="10099"/>
          </w:cols>
          <w:pgMar w:left="360" w:top="198"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Guarantee Assumption Agreement</w:t>
      </w:r>
    </w:p>
    <w:p>
      <w:pPr>
        <w:spacing w:after="0" w:line="297" w:lineRule="exact"/>
        <w:rPr>
          <w:sz w:val="20"/>
          <w:szCs w:val="20"/>
          <w:color w:val="auto"/>
        </w:rPr>
      </w:pPr>
    </w:p>
    <w:p>
      <w:pPr>
        <w:jc w:val="both"/>
        <w:ind w:left="180" w:firstLine="648"/>
        <w:spacing w:after="0" w:line="242"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7"/>
          <w:szCs w:val="17"/>
          <w:color w:val="auto"/>
        </w:rPr>
        <w:t>UARANTEE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SSUMPTION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 xml:space="preserve"> dated as of July 2, 2025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by F</w:t>
      </w:r>
      <w:r>
        <w:rPr>
          <w:rFonts w:ascii="Times New Roman" w:cs="Times New Roman" w:eastAsia="Times New Roman" w:hAnsi="Times New Roman"/>
          <w:sz w:val="17"/>
          <w:szCs w:val="17"/>
          <w:color w:val="auto"/>
        </w:rPr>
        <w:t>ABRIC</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7"/>
          <w:szCs w:val="17"/>
          <w:color w:val="auto"/>
        </w:rPr>
        <w:t>ENOMICS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i w:val="1"/>
          <w:iCs w:val="1"/>
          <w:color w:val="auto"/>
        </w:rPr>
        <w:t>Additional Guarantor</w:t>
      </w:r>
      <w:r>
        <w:rPr>
          <w:rFonts w:ascii="Times New Roman" w:cs="Times New Roman" w:eastAsia="Times New Roman" w:hAnsi="Times New Roman"/>
          <w:sz w:val="22"/>
          <w:szCs w:val="22"/>
          <w:color w:val="auto"/>
        </w:rPr>
        <w:t>”), under that certain Credit Agreement and Guaranty, dated as of October 27, 2023 (as from time to time amended, restated, amended and restated, supplemented or otherwise modified,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among G</w:t>
      </w:r>
      <w:r>
        <w:rPr>
          <w:rFonts w:ascii="Times New Roman" w:cs="Times New Roman" w:eastAsia="Times New Roman" w:hAnsi="Times New Roman"/>
          <w:sz w:val="17"/>
          <w:szCs w:val="17"/>
          <w:color w:val="auto"/>
        </w:rPr>
        <w:t>ENE</w:t>
      </w:r>
      <w:r>
        <w:rPr>
          <w:rFonts w:ascii="Times New Roman" w:cs="Times New Roman" w:eastAsia="Times New Roman" w:hAnsi="Times New Roman"/>
          <w:sz w:val="22"/>
          <w:szCs w:val="22"/>
          <w:color w:val="auto"/>
        </w:rPr>
        <w:t>DX H</w:t>
      </w:r>
      <w:r>
        <w:rPr>
          <w:rFonts w:ascii="Times New Roman" w:cs="Times New Roman" w:eastAsia="Times New Roman" w:hAnsi="Times New Roman"/>
          <w:sz w:val="17"/>
          <w:szCs w:val="17"/>
          <w:color w:val="auto"/>
        </w:rPr>
        <w:t>OLDINGS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ORP</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i w:val="1"/>
          <w:iCs w:val="1"/>
          <w:color w:val="auto"/>
        </w:rPr>
        <w:t>“Holdings”</w:t>
      </w:r>
      <w:r>
        <w:rPr>
          <w:rFonts w:ascii="Times New Roman" w:cs="Times New Roman" w:eastAsia="Times New Roman" w:hAnsi="Times New Roman"/>
          <w:sz w:val="22"/>
          <w:szCs w:val="22"/>
          <w:color w:val="auto"/>
        </w:rPr>
        <w:t>), S</w:t>
      </w:r>
      <w:r>
        <w:rPr>
          <w:rFonts w:ascii="Times New Roman" w:cs="Times New Roman" w:eastAsia="Times New Roman" w:hAnsi="Times New Roman"/>
          <w:sz w:val="17"/>
          <w:szCs w:val="17"/>
          <w:color w:val="auto"/>
        </w:rPr>
        <w:t>EMA</w:t>
      </w:r>
      <w:r>
        <w:rPr>
          <w:rFonts w:ascii="Times New Roman" w:cs="Times New Roman" w:eastAsia="Times New Roman" w:hAnsi="Times New Roman"/>
          <w:sz w:val="22"/>
          <w:szCs w:val="22"/>
          <w:color w:val="auto"/>
        </w:rPr>
        <w:t>4 O</w:t>
      </w:r>
      <w:r>
        <w:rPr>
          <w:rFonts w:ascii="Times New Roman" w:cs="Times New Roman" w:eastAsia="Times New Roman" w:hAnsi="Times New Roman"/>
          <w:sz w:val="17"/>
          <w:szCs w:val="17"/>
          <w:color w:val="auto"/>
        </w:rPr>
        <w:t>P</w:t>
      </w:r>
      <w:r>
        <w:rPr>
          <w:rFonts w:ascii="Times New Roman" w:cs="Times New Roman" w:eastAsia="Times New Roman" w:hAnsi="Times New Roman"/>
          <w:sz w:val="22"/>
          <w:szCs w:val="22"/>
          <w:color w:val="auto"/>
        </w:rPr>
        <w:t>C</w:t>
      </w:r>
      <w:r>
        <w:rPr>
          <w:rFonts w:ascii="Times New Roman" w:cs="Times New Roman" w:eastAsia="Times New Roman" w:hAnsi="Times New Roman"/>
          <w:sz w:val="17"/>
          <w:szCs w:val="17"/>
          <w:color w:val="auto"/>
        </w:rPr>
        <w:t>O</w:t>
      </w:r>
      <w:r>
        <w:rPr>
          <w:rFonts w:ascii="Times New Roman" w:cs="Times New Roman" w:eastAsia="Times New Roman" w:hAnsi="Times New Roman"/>
          <w:sz w:val="22"/>
          <w:szCs w:val="22"/>
          <w:color w:val="auto"/>
        </w:rPr>
        <w:t>,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2"/>
          <w:szCs w:val="22"/>
          <w:color w:val="auto"/>
        </w:rPr>
        <w:t>. (f/k/a Mount Sinai Genomics, Inc.), a Delaware corporation (</w:t>
      </w:r>
      <w:r>
        <w:rPr>
          <w:rFonts w:ascii="Times New Roman" w:cs="Times New Roman" w:eastAsia="Times New Roman" w:hAnsi="Times New Roman"/>
          <w:sz w:val="22"/>
          <w:szCs w:val="22"/>
          <w:i w:val="1"/>
          <w:iCs w:val="1"/>
          <w:color w:val="auto"/>
        </w:rPr>
        <w:t>“Sema4”</w:t>
      </w:r>
      <w:r>
        <w:rPr>
          <w:rFonts w:ascii="Times New Roman" w:cs="Times New Roman" w:eastAsia="Times New Roman" w:hAnsi="Times New Roman"/>
          <w:sz w:val="22"/>
          <w:szCs w:val="22"/>
          <w:color w:val="auto"/>
        </w:rPr>
        <w:t>), G</w:t>
      </w:r>
      <w:r>
        <w:rPr>
          <w:rFonts w:ascii="Times New Roman" w:cs="Times New Roman" w:eastAsia="Times New Roman" w:hAnsi="Times New Roman"/>
          <w:sz w:val="17"/>
          <w:szCs w:val="17"/>
          <w:color w:val="auto"/>
        </w:rPr>
        <w:t>ENE</w:t>
      </w:r>
      <w:r>
        <w:rPr>
          <w:rFonts w:ascii="Times New Roman" w:cs="Times New Roman" w:eastAsia="Times New Roman" w:hAnsi="Times New Roman"/>
          <w:sz w:val="22"/>
          <w:szCs w:val="22"/>
          <w:color w:val="auto"/>
        </w:rPr>
        <w:t>DX, LLC (f/k/a GeneDX, Inc.), a Delaware limited liability company (</w:t>
      </w:r>
      <w:r>
        <w:rPr>
          <w:rFonts w:ascii="Times New Roman" w:cs="Times New Roman" w:eastAsia="Times New Roman" w:hAnsi="Times New Roman"/>
          <w:sz w:val="22"/>
          <w:szCs w:val="22"/>
          <w:i w:val="1"/>
          <w:iCs w:val="1"/>
          <w:color w:val="auto"/>
        </w:rPr>
        <w:t>“GeneDX, LLC”</w:t>
      </w:r>
      <w:r>
        <w:rPr>
          <w:rFonts w:ascii="Times New Roman" w:cs="Times New Roman" w:eastAsia="Times New Roman" w:hAnsi="Times New Roman"/>
          <w:sz w:val="22"/>
          <w:szCs w:val="22"/>
          <w:color w:val="auto"/>
        </w:rPr>
        <w:t xml:space="preserve"> and together with Sema4, each a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the Guarantors from time to time party thereto, the Lenders from time to time party thereto and P</w:t>
      </w:r>
      <w:r>
        <w:rPr>
          <w:rFonts w:ascii="Times New Roman" w:cs="Times New Roman" w:eastAsia="Times New Roman" w:hAnsi="Times New Roman"/>
          <w:sz w:val="17"/>
          <w:szCs w:val="17"/>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7"/>
          <w:szCs w:val="17"/>
          <w:color w:val="auto"/>
        </w:rPr>
        <w:t>OLDINGS</w:t>
      </w:r>
      <w:r>
        <w:rPr>
          <w:rFonts w:ascii="Times New Roman" w:cs="Times New Roman" w:eastAsia="Times New Roman" w:hAnsi="Times New Roman"/>
          <w:sz w:val="22"/>
          <w:szCs w:val="22"/>
          <w:color w:val="auto"/>
        </w:rPr>
        <w:t xml:space="preserve"> IV, LP, as administrative agent for the Lenders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The terms defined in the Credit Agreement are herein used as therein defined.</w:t>
      </w:r>
    </w:p>
    <w:p>
      <w:pPr>
        <w:spacing w:after="0" w:line="234"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21"/>
          <w:szCs w:val="21"/>
          <w:color w:val="auto"/>
        </w:rPr>
        <w:t>Pursuant to Section 8.11(a) of the Credit Agreement, the Additional Guarantor hereby agrees to become a “Guarantor” for all purposes of the Credit Agreement, and a “Grantor” for all purposes of the Security Agreement. Without limiting the foregoing, the Additional Guarantor hereby, jointly and severally with the other Guarantors, guarantees to each Lender and its successors and assigns the prompt payment in full when due (whether at stated maturity, by acceleration or otherwise) of all Guaranteed Obligations in the same manner and to the same extent as is provided in Article 11 of the Credit Agreement. In addition, as of the date hereof, the Additional Guarantor hereby makes the representations and warranties set forth in Article 7 of the Credit Agreement, and in Section 2 of the Security Agreement, with respect to itself and its obligations under this Agreement and the other Loan Documents, as if each reference in such Sections to the Loan Documents included reference to this Agreement, such representations and warranties to be made as of the date hereof.</w:t>
      </w:r>
    </w:p>
    <w:p>
      <w:pPr>
        <w:spacing w:after="0" w:line="239"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Additional Guarantor hereby agrees to complete the post-closing obligations listed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w:t>
      </w:r>
    </w:p>
    <w:p>
      <w:pPr>
        <w:spacing w:after="0" w:line="199" w:lineRule="exact"/>
        <w:rPr>
          <w:sz w:val="20"/>
          <w:szCs w:val="20"/>
          <w:color w:val="auto"/>
        </w:rPr>
      </w:pPr>
    </w:p>
    <w:p>
      <w:pPr>
        <w:jc w:val="both"/>
        <w:ind w:left="180" w:right="20" w:firstLine="648"/>
        <w:spacing w:after="0" w:line="271" w:lineRule="auto"/>
        <w:rPr>
          <w:sz w:val="20"/>
          <w:szCs w:val="20"/>
          <w:color w:val="auto"/>
        </w:rPr>
      </w:pPr>
      <w:r>
        <w:rPr>
          <w:rFonts w:ascii="Times New Roman" w:cs="Times New Roman" w:eastAsia="Times New Roman" w:hAnsi="Times New Roman"/>
          <w:sz w:val="22"/>
          <w:szCs w:val="22"/>
          <w:color w:val="auto"/>
        </w:rPr>
        <w:t>The Additional Guarantor instructs its counsel to deliver the opinions referred to in Section 8.11(a) of the Credit Agreement to the Lenders.</w:t>
      </w:r>
    </w:p>
    <w:p>
      <w:pPr>
        <w:spacing w:after="0" w:line="185" w:lineRule="exact"/>
        <w:rPr>
          <w:sz w:val="20"/>
          <w:szCs w:val="20"/>
          <w:color w:val="auto"/>
        </w:rPr>
      </w:pPr>
    </w:p>
    <w:p>
      <w:pPr>
        <w:jc w:val="both"/>
        <w:ind w:left="180" w:firstLine="648"/>
        <w:spacing w:after="0" w:line="245" w:lineRule="auto"/>
        <w:rPr>
          <w:sz w:val="20"/>
          <w:szCs w:val="20"/>
          <w:color w:val="auto"/>
        </w:rPr>
      </w:pPr>
      <w:r>
        <w:rPr>
          <w:rFonts w:ascii="Times New Roman" w:cs="Times New Roman" w:eastAsia="Times New Roman" w:hAnsi="Times New Roman"/>
          <w:sz w:val="22"/>
          <w:szCs w:val="22"/>
          <w:color w:val="auto"/>
        </w:rPr>
        <w:t>THIS GUARANTEE AND ASSUMPTION AGREEMENT, THE RIGHTS AND OBLIGATIONS OF THE PARTIES HEREUNDER, AND ALL 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2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[signature to follow]</w:t>
      </w:r>
    </w:p>
    <w:p>
      <w:pPr>
        <w:sectPr>
          <w:pgSz w:w="11900" w:h="16838" w:orient="portrait"/>
          <w:cols w:equalWidth="0" w:num="1">
            <w:col w:w="9800"/>
          </w:cols>
          <w:pgMar w:left="1440" w:top="761" w:right="659" w:bottom="1440" w:gutter="0" w:footer="0" w:header="0"/>
        </w:sectPr>
      </w:pPr>
    </w:p>
    <w:bookmarkStart w:id="57" w:name="page58"/>
    <w:bookmarkEnd w:id="57"/>
    <w:p>
      <w:pPr>
        <w:spacing w:after="0" w:line="171" w:lineRule="exact"/>
        <w:rPr>
          <w:sz w:val="20"/>
          <w:szCs w:val="20"/>
          <w:color w:val="auto"/>
        </w:rPr>
      </w:pPr>
    </w:p>
    <w:p>
      <w:pPr>
        <w:ind w:left="1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Guarantor has caused this Guarantee Assumption Agreement to be duly executed and delivered as of the day and year first above written.</w:t>
      </w:r>
    </w:p>
    <w:p>
      <w:pPr>
        <w:spacing w:after="0" w:line="199" w:lineRule="exact"/>
        <w:rPr>
          <w:sz w:val="20"/>
          <w:szCs w:val="20"/>
          <w:color w:val="auto"/>
        </w:rPr>
      </w:pPr>
    </w:p>
    <w:p>
      <w:pPr>
        <w:ind w:left="4400"/>
        <w:spacing w:after="0"/>
        <w:rPr>
          <w:sz w:val="20"/>
          <w:szCs w:val="20"/>
          <w:color w:val="auto"/>
        </w:rPr>
      </w:pPr>
      <w:r>
        <w:rPr>
          <w:sz w:val="1"/>
          <w:szCs w:val="1"/>
          <w:color w:val="auto"/>
        </w:rPr>
        <w:drawing>
          <wp:inline distT="0" distB="0" distL="0" distR="0">
            <wp:extent cx="951865" cy="40259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1865" cy="402590"/>
                    </a:xfrm>
                    <a:prstGeom prst="rect">
                      <a:avLst/>
                    </a:prstGeom>
                    <a:noFill/>
                    <a:ln>
                      <a:noFill/>
                    </a:ln>
                  </pic:spPr>
                </pic:pic>
              </a:graphicData>
            </a:graphic>
          </wp:inline>
        </w:drawing>
      </w:r>
      <w:r>
        <w:rPr>
          <w:rFonts w:ascii="Times New Roman" w:cs="Times New Roman" w:eastAsia="Times New Roman" w:hAnsi="Times New Roman"/>
          <w:sz w:val="22"/>
          <w:szCs w:val="22"/>
          <w:color w:val="auto"/>
        </w:rPr>
        <w:t>FABRIC GENOMICS, INC.</w:t>
      </w:r>
    </w:p>
    <w:p>
      <w:pPr>
        <w:spacing w:after="0" w:line="200" w:lineRule="exact"/>
        <w:rPr>
          <w:sz w:val="20"/>
          <w:szCs w:val="20"/>
          <w:color w:val="auto"/>
        </w:rPr>
      </w:pPr>
    </w:p>
    <w:p>
      <w:pPr>
        <w:spacing w:after="0" w:line="309" w:lineRule="exact"/>
        <w:rPr>
          <w:sz w:val="20"/>
          <w:szCs w:val="20"/>
          <w:color w:val="auto"/>
        </w:rPr>
      </w:pPr>
    </w:p>
    <w:tbl>
      <w:tblPr>
        <w:tblLayout w:type="fixed"/>
        <w:tblInd w:w="4400" w:type="dxa"/>
        <w:tblCellMar>
          <w:top w:w="0" w:type="dxa"/>
          <w:left w:w="0" w:type="dxa"/>
          <w:bottom w:w="0" w:type="dxa"/>
          <w:right w:w="0" w:type="dxa"/>
        </w:tblCellMar>
      </w:tblPr>
      <w:tr>
        <w:trPr>
          <w:trHeight w:val="253"/>
        </w:trPr>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w w:val="87"/>
              </w:rPr>
              <w:t>By:</w:t>
            </w:r>
          </w:p>
        </w:tc>
        <w:tc>
          <w:tcPr>
            <w:tcW w:w="440" w:type="dxa"/>
            <w:vAlign w:val="bottom"/>
            <w:tcBorders>
              <w:bottom w:val="single" w:sz="8" w:color="auto"/>
            </w:tcBorders>
          </w:tcPr>
          <w:p>
            <w:pPr>
              <w:spacing w:after="0"/>
              <w:rPr>
                <w:sz w:val="22"/>
                <w:szCs w:val="22"/>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Name: Kevin Feeley</w:t>
            </w:r>
          </w:p>
        </w:tc>
      </w:tr>
      <w:tr>
        <w:trPr>
          <w:trHeight w:val="289"/>
        </w:trPr>
        <w:tc>
          <w:tcPr>
            <w:tcW w:w="30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Title: Chief Financial Officer and Treasurer</w:t>
            </w:r>
          </w:p>
        </w:tc>
      </w:tr>
    </w:tbl>
    <w:p>
      <w:pPr>
        <w:sectPr>
          <w:pgSz w:w="11900" w:h="16838" w:orient="portrait"/>
          <w:cols w:equalWidth="0" w:num="1">
            <w:col w:w="9800"/>
          </w:cols>
          <w:pgMar w:left="1440" w:top="1440" w:right="6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Stueland,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Feeley,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June 30, 2025, as filed with the Securities and Exchange Commission (the “Report”), I, Katherine Stueland, Chief Executive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June 30, 2025, as filed with the Securities and Exchange Commission (the “Report”), I, Kevin Feeley, Chief Financial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99</w:t>
      </w:r>
    </w:p>
    <w:p>
      <w:pPr>
        <w:spacing w:after="0" w:line="40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GeneDx Holdings Corp. Compensation Recovery</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Policy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July 21, 2023)</w:t>
      </w:r>
    </w:p>
    <w:p>
      <w:pPr>
        <w:spacing w:after="0" w:line="237"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2"/>
          <w:szCs w:val="22"/>
          <w:color w:val="1E1E1E"/>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spacing w:after="0" w:line="163"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2"/>
          <w:szCs w:val="22"/>
          <w:color w:val="1E1E1E"/>
        </w:rPr>
        <w:t xml:space="preserve">This Policy </w:t>
      </w:r>
      <w:r>
        <w:rPr>
          <w:rFonts w:ascii="Times New Roman" w:cs="Times New Roman" w:eastAsia="Times New Roman" w:hAnsi="Times New Roman"/>
          <w:sz w:val="22"/>
          <w:szCs w:val="22"/>
          <w:color w:val="171717"/>
        </w:rPr>
        <w:t>is designed to comply with Rule 10D-1 of the Exchange Act and</w:t>
      </w:r>
      <w:r>
        <w:rPr>
          <w:rFonts w:ascii="Times New Roman" w:cs="Times New Roman" w:eastAsia="Times New Roman" w:hAnsi="Times New Roman"/>
          <w:sz w:val="22"/>
          <w:szCs w:val="22"/>
          <w:color w:val="1E1E1E"/>
        </w:rPr>
        <w:t xml:space="preserve"> shall become effective on the Effective Date and shall apply to </w:t>
      </w:r>
      <w:r>
        <w:rPr>
          <w:rFonts w:ascii="Times New Roman" w:cs="Times New Roman" w:eastAsia="Times New Roman" w:hAnsi="Times New Roman"/>
          <w:sz w:val="22"/>
          <w:szCs w:val="22"/>
          <w:color w:val="171717"/>
        </w:rPr>
        <w:t>Incentive-Based Compensation Received by Covered Persons on or after the Listing Rule Effective Date</w:t>
      </w:r>
      <w:r>
        <w:rPr>
          <w:rFonts w:ascii="Times New Roman" w:cs="Times New Roman" w:eastAsia="Times New Roman" w:hAnsi="Times New Roman"/>
          <w:sz w:val="22"/>
          <w:szCs w:val="22"/>
          <w:color w:val="1E1E1E"/>
        </w:rPr>
        <w:t>.</w:t>
      </w:r>
    </w:p>
    <w:p>
      <w:pPr>
        <w:spacing w:after="0" w:line="181" w:lineRule="exact"/>
        <w:rPr>
          <w:sz w:val="20"/>
          <w:szCs w:val="20"/>
          <w:color w:val="auto"/>
        </w:rPr>
      </w:pPr>
    </w:p>
    <w:p>
      <w:pPr>
        <w:ind w:left="660" w:hanging="651"/>
        <w:spacing w:after="0"/>
        <w:tabs>
          <w:tab w:leader="none" w:pos="660" w:val="left"/>
        </w:tabs>
        <w:numPr>
          <w:ilvl w:val="0"/>
          <w:numId w:val="39"/>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Administration</w:t>
      </w:r>
    </w:p>
    <w:p>
      <w:pPr>
        <w:spacing w:after="0" w:line="224"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2"/>
          <w:szCs w:val="22"/>
          <w:color w:val="1E1E1E"/>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w:t>
      </w:r>
    </w:p>
    <w:p>
      <w:pPr>
        <w:spacing w:after="0" w:line="172" w:lineRule="exact"/>
        <w:rPr>
          <w:sz w:val="20"/>
          <w:szCs w:val="20"/>
          <w:color w:val="auto"/>
        </w:rPr>
      </w:pPr>
    </w:p>
    <w:p>
      <w:pPr>
        <w:ind w:left="660" w:hanging="651"/>
        <w:spacing w:after="0"/>
        <w:tabs>
          <w:tab w:leader="none" w:pos="660" w:val="left"/>
        </w:tabs>
        <w:numPr>
          <w:ilvl w:val="0"/>
          <w:numId w:val="40"/>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Covered Persons and Applicable Compensation</w:t>
      </w:r>
    </w:p>
    <w:p>
      <w:pPr>
        <w:spacing w:after="0" w:line="210"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22"/>
          <w:szCs w:val="22"/>
          <w:color w:val="1E1E1E"/>
        </w:rPr>
        <w:t>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However, recovery is not required with respect to:</w:t>
      </w:r>
    </w:p>
    <w:p>
      <w:pPr>
        <w:spacing w:after="0" w:line="179" w:lineRule="exact"/>
        <w:rPr>
          <w:sz w:val="20"/>
          <w:szCs w:val="20"/>
          <w:color w:val="auto"/>
        </w:rPr>
      </w:pPr>
    </w:p>
    <w:p>
      <w:pPr>
        <w:ind w:left="660" w:right="320" w:hanging="434"/>
        <w:spacing w:after="0" w:line="271" w:lineRule="auto"/>
        <w:tabs>
          <w:tab w:leader="none" w:pos="651" w:val="left"/>
        </w:tabs>
        <w:numPr>
          <w:ilvl w:val="1"/>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w:t>
      </w:r>
      <w:r>
        <w:rPr>
          <w:rFonts w:ascii="Times New Roman" w:cs="Times New Roman" w:eastAsia="Times New Roman" w:hAnsi="Times New Roman"/>
          <w:sz w:val="22"/>
          <w:szCs w:val="22"/>
          <w:color w:val="1E1E1E"/>
        </w:rPr>
        <w:t>-Based Compensation Received prior to an individual becoming a Covered Person, even if the individual</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color w:val="1E1E1E"/>
        </w:rPr>
        <w:t>served as a Covered Person during the Clawback Period.</w:t>
      </w:r>
    </w:p>
    <w:p>
      <w:pPr>
        <w:spacing w:after="0" w:line="198" w:lineRule="exact"/>
        <w:rPr>
          <w:rFonts w:ascii="Times New Roman" w:cs="Times New Roman" w:eastAsia="Times New Roman" w:hAnsi="Times New Roman"/>
          <w:sz w:val="22"/>
          <w:szCs w:val="22"/>
          <w:color w:val="1E1E1E"/>
        </w:rPr>
      </w:pPr>
    </w:p>
    <w:p>
      <w:pPr>
        <w:ind w:left="660" w:hanging="507"/>
        <w:spacing w:after="0"/>
        <w:tabs>
          <w:tab w:leader="none" w:pos="660" w:val="left"/>
        </w:tabs>
        <w:numPr>
          <w:ilvl w:val="0"/>
          <w:numId w:val="4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Incentive-Based Compensation Received prior to the Listing Rule Effective Date.</w:t>
      </w:r>
    </w:p>
    <w:p>
      <w:pPr>
        <w:spacing w:after="0" w:line="273" w:lineRule="exact"/>
        <w:rPr>
          <w:rFonts w:ascii="Times New Roman" w:cs="Times New Roman" w:eastAsia="Times New Roman" w:hAnsi="Times New Roman"/>
          <w:sz w:val="22"/>
          <w:szCs w:val="22"/>
          <w:color w:val="1E1E1E"/>
        </w:rPr>
      </w:pPr>
    </w:p>
    <w:p>
      <w:pPr>
        <w:ind w:left="660" w:hanging="564"/>
        <w:spacing w:after="0"/>
        <w:tabs>
          <w:tab w:leader="none" w:pos="660" w:val="left"/>
        </w:tabs>
        <w:numPr>
          <w:ilvl w:val="0"/>
          <w:numId w:val="4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w:t>
      </w:r>
      <w:r>
        <w:rPr>
          <w:rFonts w:ascii="Times New Roman" w:cs="Times New Roman" w:eastAsia="Times New Roman" w:hAnsi="Times New Roman"/>
          <w:sz w:val="22"/>
          <w:szCs w:val="22"/>
          <w:color w:val="1E1E1E"/>
        </w:rPr>
        <w:t>-Based Compensation Received prior to the Clawback Period.</w:t>
      </w:r>
    </w:p>
    <w:p>
      <w:pPr>
        <w:spacing w:after="0" w:line="273" w:lineRule="exact"/>
        <w:rPr>
          <w:rFonts w:ascii="Times New Roman" w:cs="Times New Roman" w:eastAsia="Times New Roman" w:hAnsi="Times New Roman"/>
          <w:sz w:val="22"/>
          <w:szCs w:val="22"/>
          <w:color w:val="1E1E1E"/>
        </w:rPr>
      </w:pPr>
    </w:p>
    <w:p>
      <w:pPr>
        <w:ind w:left="660" w:right="320" w:hanging="549"/>
        <w:spacing w:after="0" w:line="271" w:lineRule="auto"/>
        <w:tabs>
          <w:tab w:leader="none" w:pos="644" w:val="left"/>
        </w:tabs>
        <w:numPr>
          <w:ilvl w:val="0"/>
          <w:numId w:val="4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Incentive-Based Compensation Received while the Company did not have a class of listed securities on a national securities exchange or a national securities association, including the Exchange.</w:t>
      </w:r>
    </w:p>
    <w:p>
      <w:pPr>
        <w:spacing w:after="0" w:line="11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22"/>
          <w:szCs w:val="22"/>
          <w:color w:val="171717"/>
        </w:rPr>
        <w:t>The Administrator will not consider the Covered Person’s responsibility or fault or lack thereof in enforcing this Policy with respect to recoupment under the Final Rules.</w:t>
      </w:r>
    </w:p>
    <w:p>
      <w:pPr>
        <w:sectPr>
          <w:pgSz w:w="11900" w:h="16838" w:orient="portrait"/>
          <w:cols w:equalWidth="0" w:num="1">
            <w:col w:w="11240"/>
          </w:cols>
          <w:pgMar w:left="320" w:top="828" w:right="339" w:bottom="1440" w:gutter="0" w:footer="0" w:header="0"/>
        </w:sectPr>
      </w:pPr>
    </w:p>
    <w:bookmarkStart w:id="63" w:name="page64"/>
    <w:bookmarkEnd w:id="63"/>
    <w:p>
      <w:pPr>
        <w:ind w:left="660" w:hanging="651"/>
        <w:spacing w:after="0"/>
        <w:tabs>
          <w:tab w:leader="none" w:pos="6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1E1E1E"/>
        </w:rPr>
        <w:t>Triggering Event</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1E1E1E"/>
        </w:rPr>
        <w:t xml:space="preserve">Subject to and in accordance with the provisions of this Policy, if there is a Triggering Event, the Administrator shall require a Covered Person to reimburse or forfeit to the Company the Recoupment Amount applicable to such Covered Person. </w:t>
      </w:r>
      <w:r>
        <w:rPr>
          <w:rFonts w:ascii="Times New Roman" w:cs="Times New Roman" w:eastAsia="Times New Roman" w:hAnsi="Times New Roman"/>
          <w:sz w:val="22"/>
          <w:szCs w:val="22"/>
          <w:color w:val="171717"/>
        </w:rPr>
        <w:t>A</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171717"/>
        </w:rPr>
        <w:t>Company’s obligation to recover the Recoupment Amount is not dependent on if or when the restated financial statements are filed.</w:t>
      </w:r>
    </w:p>
    <w:p>
      <w:pPr>
        <w:spacing w:after="0" w:line="179" w:lineRule="exact"/>
        <w:rPr>
          <w:sz w:val="20"/>
          <w:szCs w:val="20"/>
          <w:color w:val="auto"/>
        </w:rPr>
      </w:pPr>
    </w:p>
    <w:p>
      <w:pPr>
        <w:ind w:left="660" w:hanging="651"/>
        <w:spacing w:after="0"/>
        <w:tabs>
          <w:tab w:leader="none" w:pos="660" w:val="left"/>
        </w:tabs>
        <w:numPr>
          <w:ilvl w:val="0"/>
          <w:numId w:val="44"/>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Calculation of Recoupment Amount</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171717"/>
        </w:rPr>
        <w:t xml:space="preserve">The Recoupment Amount will be calculated in accordance with the Final Rules, as provided in the Calculation Guidelines attached hereto as </w:t>
      </w:r>
      <w:r>
        <w:rPr>
          <w:rFonts w:ascii="Times New Roman" w:cs="Times New Roman" w:eastAsia="Times New Roman" w:hAnsi="Times New Roman"/>
          <w:sz w:val="22"/>
          <w:szCs w:val="22"/>
          <w:u w:val="single" w:color="auto"/>
          <w:color w:val="171717"/>
        </w:rPr>
        <w:t>Exhibit B</w:t>
      </w:r>
      <w:r>
        <w:rPr>
          <w:rFonts w:ascii="Times New Roman" w:cs="Times New Roman" w:eastAsia="Times New Roman" w:hAnsi="Times New Roman"/>
          <w:sz w:val="22"/>
          <w:szCs w:val="22"/>
          <w:color w:val="171717"/>
        </w:rPr>
        <w:t>.</w:t>
      </w:r>
    </w:p>
    <w:p>
      <w:pPr>
        <w:spacing w:after="0" w:line="181" w:lineRule="exact"/>
        <w:rPr>
          <w:sz w:val="20"/>
          <w:szCs w:val="20"/>
          <w:color w:val="auto"/>
        </w:rPr>
      </w:pPr>
    </w:p>
    <w:p>
      <w:pPr>
        <w:ind w:left="660" w:hanging="651"/>
        <w:spacing w:after="0"/>
        <w:tabs>
          <w:tab w:leader="none" w:pos="660" w:val="left"/>
        </w:tabs>
        <w:numPr>
          <w:ilvl w:val="0"/>
          <w:numId w:val="45"/>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Method of Recoupment</w:t>
      </w:r>
    </w:p>
    <w:p>
      <w:pPr>
        <w:spacing w:after="0" w:line="1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171717"/>
        </w:rPr>
        <w:t>Subject to compliance with the Final Rules and applicable law, the Administrator will determine, in its sole discretion, the method for recouping the Recoupment Amount hereunder which may include, without limitation:</w:t>
      </w:r>
    </w:p>
    <w:p>
      <w:pPr>
        <w:spacing w:after="0" w:line="158" w:lineRule="exact"/>
        <w:rPr>
          <w:sz w:val="20"/>
          <w:szCs w:val="20"/>
          <w:color w:val="auto"/>
        </w:rPr>
      </w:pPr>
    </w:p>
    <w:p>
      <w:pPr>
        <w:ind w:left="660" w:hanging="434"/>
        <w:spacing w:after="0"/>
        <w:tabs>
          <w:tab w:leader="none" w:pos="660" w:val="left"/>
        </w:tabs>
        <w:numPr>
          <w:ilvl w:val="2"/>
          <w:numId w:val="46"/>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Requiring reimbursement or forfeiture of the pre-tax amount of cash Incentive-Based Compensation previously paid;</w:t>
      </w:r>
    </w:p>
    <w:p>
      <w:pPr>
        <w:spacing w:after="0" w:line="258" w:lineRule="exact"/>
        <w:rPr>
          <w:rFonts w:ascii="Times New Roman" w:cs="Times New Roman" w:eastAsia="Times New Roman" w:hAnsi="Times New Roman"/>
          <w:sz w:val="21"/>
          <w:szCs w:val="21"/>
          <w:color w:val="171717"/>
        </w:rPr>
      </w:pPr>
    </w:p>
    <w:p>
      <w:pPr>
        <w:jc w:val="both"/>
        <w:ind w:left="660" w:hanging="506"/>
        <w:spacing w:after="0" w:line="250" w:lineRule="auto"/>
        <w:tabs>
          <w:tab w:leader="none" w:pos="653" w:val="left"/>
        </w:tabs>
        <w:numPr>
          <w:ilvl w:val="1"/>
          <w:numId w:val="47"/>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spacing w:after="0" w:line="235" w:lineRule="exact"/>
        <w:rPr>
          <w:rFonts w:ascii="Times New Roman" w:cs="Times New Roman" w:eastAsia="Times New Roman" w:hAnsi="Times New Roman"/>
          <w:sz w:val="22"/>
          <w:szCs w:val="22"/>
          <w:color w:val="171717"/>
        </w:rPr>
      </w:pPr>
    </w:p>
    <w:p>
      <w:pPr>
        <w:ind w:left="660" w:right="260" w:hanging="564"/>
        <w:spacing w:after="0" w:line="258" w:lineRule="auto"/>
        <w:tabs>
          <w:tab w:leader="none" w:pos="656" w:val="left"/>
        </w:tabs>
        <w:numPr>
          <w:ilvl w:val="1"/>
          <w:numId w:val="47"/>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Seeking recovery of any gain realized on the vesting, exercise, settlement, cash sale, transfer, or other disposition of any equity-based awards; and/or</w:t>
      </w:r>
    </w:p>
    <w:p>
      <w:pPr>
        <w:spacing w:after="0" w:line="212" w:lineRule="exact"/>
        <w:rPr>
          <w:rFonts w:ascii="Times New Roman" w:cs="Times New Roman" w:eastAsia="Times New Roman" w:hAnsi="Times New Roman"/>
          <w:sz w:val="22"/>
          <w:szCs w:val="22"/>
          <w:color w:val="171717"/>
        </w:rPr>
      </w:pPr>
    </w:p>
    <w:p>
      <w:pPr>
        <w:ind w:left="640" w:hanging="529"/>
        <w:spacing w:after="0"/>
        <w:tabs>
          <w:tab w:leader="none" w:pos="6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71717"/>
        </w:rPr>
        <w:t>Taking any other remedial and recovery action permitted by law, as determined by the Administrator.</w:t>
      </w:r>
    </w:p>
    <w:p>
      <w:pPr>
        <w:spacing w:after="0" w:line="242" w:lineRule="exact"/>
        <w:rPr>
          <w:rFonts w:ascii="Times New Roman" w:cs="Times New Roman" w:eastAsia="Times New Roman" w:hAnsi="Times New Roman"/>
          <w:sz w:val="22"/>
          <w:szCs w:val="22"/>
          <w:color w:val="auto"/>
        </w:rPr>
      </w:pPr>
    </w:p>
    <w:p>
      <w:pPr>
        <w:ind w:left="660" w:hanging="651"/>
        <w:spacing w:after="0"/>
        <w:tabs>
          <w:tab w:leader="none" w:pos="660" w:val="left"/>
        </w:tabs>
        <w:numPr>
          <w:ilvl w:val="0"/>
          <w:numId w:val="48"/>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Arbitration</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1E1E1E"/>
        </w:rPr>
        <w:t>To the fullest extent permitted by law, any disputes under this Policy shall be submitted to mandatory binding arbitration (the “</w:t>
      </w:r>
      <w:r>
        <w:rPr>
          <w:rFonts w:ascii="Times New Roman" w:cs="Times New Roman" w:eastAsia="Times New Roman" w:hAnsi="Times New Roman"/>
          <w:sz w:val="22"/>
          <w:szCs w:val="22"/>
          <w:b w:val="1"/>
          <w:bCs w:val="1"/>
          <w:i w:val="1"/>
          <w:iCs w:val="1"/>
          <w:color w:val="1E1E1E"/>
        </w:rPr>
        <w:t>Arbitrable Claims</w:t>
      </w:r>
      <w:r>
        <w:rPr>
          <w:rFonts w:ascii="Times New Roman" w:cs="Times New Roman" w:eastAsia="Times New Roman" w:hAnsi="Times New Roman"/>
          <w:sz w:val="22"/>
          <w:szCs w:val="22"/>
          <w:color w:val="1E1E1E"/>
        </w:rPr>
        <w:t>”), governed by the Federal Arbitration Act (the “</w:t>
      </w:r>
      <w:r>
        <w:rPr>
          <w:rFonts w:ascii="Times New Roman" w:cs="Times New Roman" w:eastAsia="Times New Roman" w:hAnsi="Times New Roman"/>
          <w:sz w:val="22"/>
          <w:szCs w:val="22"/>
          <w:b w:val="1"/>
          <w:bCs w:val="1"/>
          <w:i w:val="1"/>
          <w:iCs w:val="1"/>
          <w:color w:val="1E1E1E"/>
        </w:rPr>
        <w:t>FAA</w:t>
      </w:r>
      <w:r>
        <w:rPr>
          <w:rFonts w:ascii="Times New Roman" w:cs="Times New Roman" w:eastAsia="Times New Roman" w:hAnsi="Times New Roman"/>
          <w:sz w:val="22"/>
          <w:szCs w:val="22"/>
          <w:color w:val="1E1E1E"/>
        </w:rPr>
        <w:t>”).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1E1E1E"/>
        </w:rPr>
        <w:t>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20"/>
          </w:cols>
          <w:pgMar w:left="320" w:top="1418" w:right="659" w:bottom="1440" w:gutter="0" w:footer="0" w:header="0"/>
        </w:sectPr>
      </w:pPr>
    </w:p>
    <w:bookmarkStart w:id="64" w:name="page65"/>
    <w:bookmarkEnd w:id="64"/>
    <w:p>
      <w:pPr>
        <w:jc w:val="both"/>
        <w:ind w:right="20"/>
        <w:spacing w:after="0" w:line="250" w:lineRule="auto"/>
        <w:rPr>
          <w:sz w:val="20"/>
          <w:szCs w:val="20"/>
          <w:color w:val="auto"/>
        </w:rPr>
      </w:pPr>
      <w:r>
        <w:rPr>
          <w:rFonts w:ascii="Times New Roman" w:cs="Times New Roman" w:eastAsia="Times New Roman" w:hAnsi="Times New Roman"/>
          <w:sz w:val="22"/>
          <w:szCs w:val="22"/>
          <w:color w:val="1E1E1E"/>
        </w:rPr>
        <w:t xml:space="preserve">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Stamford, Connecticut through JAMS before a single neutral arbitrator, in accordance with the JAMS </w:t>
      </w:r>
      <w:r>
        <w:rPr>
          <w:rFonts w:ascii="Times New Roman" w:cs="Times New Roman" w:eastAsia="Times New Roman" w:hAnsi="Times New Roman"/>
          <w:sz w:val="22"/>
          <w:szCs w:val="22"/>
          <w:color w:val="000000"/>
        </w:rPr>
        <w:t>Comprehensive Arbitration Rules and Procedures</w:t>
      </w:r>
      <w:r>
        <w:rPr>
          <w:rFonts w:ascii="Times New Roman" w:cs="Times New Roman" w:eastAsia="Times New Roman" w:hAnsi="Times New Roman"/>
          <w:sz w:val="22"/>
          <w:szCs w:val="22"/>
          <w:color w:val="1E1E1E"/>
        </w:rPr>
        <w:t xml:space="preserve"> 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r>
        <w:rPr>
          <w:rFonts w:ascii="Times New Roman" w:cs="Times New Roman" w:eastAsia="Times New Roman" w:hAnsi="Times New Roman"/>
          <w:sz w:val="14"/>
          <w:szCs w:val="14"/>
          <w:color w:val="1E1E1E"/>
        </w:rPr>
        <w:t>1</w:t>
      </w:r>
    </w:p>
    <w:p>
      <w:pPr>
        <w:spacing w:after="0" w:line="176" w:lineRule="exact"/>
        <w:rPr>
          <w:sz w:val="20"/>
          <w:szCs w:val="20"/>
          <w:color w:val="auto"/>
        </w:rPr>
      </w:pPr>
    </w:p>
    <w:p>
      <w:pPr>
        <w:ind w:left="660" w:hanging="651"/>
        <w:spacing w:after="0"/>
        <w:tabs>
          <w:tab w:leader="none" w:pos="660" w:val="left"/>
        </w:tabs>
        <w:numPr>
          <w:ilvl w:val="0"/>
          <w:numId w:val="49"/>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Recovery Process; Impracticability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Actions by the Administrator to recover the Recoupment Amount will be reasonably prompt.</w:t>
      </w:r>
    </w:p>
    <w:p>
      <w:pPr>
        <w:spacing w:after="0" w:line="20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1E1E1E"/>
        </w:rPr>
        <w:t>The Administrator must cause the Company to recover the Recoupment Amount unless the Administrator shall have previously determined that recovery is impracticable and one of the following conditions is met:</w:t>
      </w:r>
    </w:p>
    <w:p>
      <w:pPr>
        <w:spacing w:after="0" w:line="158" w:lineRule="exact"/>
        <w:rPr>
          <w:sz w:val="20"/>
          <w:szCs w:val="20"/>
          <w:color w:val="auto"/>
        </w:rPr>
      </w:pPr>
    </w:p>
    <w:p>
      <w:pPr>
        <w:jc w:val="both"/>
        <w:ind w:left="980" w:right="20" w:hanging="639"/>
        <w:spacing w:after="0" w:line="253" w:lineRule="auto"/>
        <w:tabs>
          <w:tab w:leader="none" w:pos="971" w:val="left"/>
        </w:tabs>
        <w:numPr>
          <w:ilvl w:val="0"/>
          <w:numId w:val="5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spacing w:after="0" w:line="219" w:lineRule="exact"/>
        <w:rPr>
          <w:rFonts w:ascii="Times New Roman" w:cs="Times New Roman" w:eastAsia="Times New Roman" w:hAnsi="Times New Roman"/>
          <w:sz w:val="22"/>
          <w:szCs w:val="22"/>
          <w:color w:val="1E1E1E"/>
        </w:rPr>
      </w:pPr>
    </w:p>
    <w:p>
      <w:pPr>
        <w:jc w:val="both"/>
        <w:ind w:left="980" w:right="20" w:hanging="639"/>
        <w:spacing w:after="0" w:line="250" w:lineRule="auto"/>
        <w:tabs>
          <w:tab w:leader="none" w:pos="978" w:val="left"/>
        </w:tabs>
        <w:numPr>
          <w:ilvl w:val="0"/>
          <w:numId w:val="5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w:t>
      </w:r>
    </w:p>
    <w:p>
      <w:pPr>
        <w:spacing w:after="0" w:line="194" w:lineRule="exact"/>
        <w:rPr>
          <w:rFonts w:ascii="Times New Roman" w:cs="Times New Roman" w:eastAsia="Times New Roman" w:hAnsi="Times New Roman"/>
          <w:sz w:val="22"/>
          <w:szCs w:val="22"/>
          <w:color w:val="1E1E1E"/>
        </w:rPr>
      </w:pPr>
    </w:p>
    <w:p>
      <w:pPr>
        <w:jc w:val="both"/>
        <w:ind w:left="980" w:right="20" w:hanging="639"/>
        <w:spacing w:after="0" w:line="257" w:lineRule="auto"/>
        <w:tabs>
          <w:tab w:leader="none" w:pos="970" w:val="left"/>
        </w:tabs>
        <w:numPr>
          <w:ilvl w:val="0"/>
          <w:numId w:val="5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96" w:lineRule="exact"/>
        <w:rPr>
          <w:sz w:val="20"/>
          <w:szCs w:val="20"/>
          <w:color w:val="auto"/>
        </w:rPr>
      </w:pPr>
    </w:p>
    <w:p>
      <w:pPr>
        <w:ind w:left="660" w:hanging="651"/>
        <w:spacing w:after="0"/>
        <w:tabs>
          <w:tab w:leader="none" w:pos="660" w:val="left"/>
        </w:tabs>
        <w:numPr>
          <w:ilvl w:val="0"/>
          <w:numId w:val="51"/>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Non-Exclusivity</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171717"/>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40"/>
          </w:cols>
          <w:pgMar w:left="320" w:top="1422" w:right="639" w:bottom="1440" w:gutter="0" w:footer="0" w:header="0"/>
        </w:sectPr>
      </w:pPr>
    </w:p>
    <w:bookmarkStart w:id="65" w:name="page66"/>
    <w:bookmarkEnd w:id="65"/>
    <w:p>
      <w:pPr>
        <w:jc w:val="both"/>
        <w:spacing w:after="0" w:line="250" w:lineRule="auto"/>
        <w:rPr>
          <w:sz w:val="20"/>
          <w:szCs w:val="20"/>
          <w:color w:val="auto"/>
        </w:rPr>
      </w:pPr>
      <w:r>
        <w:rPr>
          <w:rFonts w:ascii="Times New Roman" w:cs="Times New Roman" w:eastAsia="Times New Roman" w:hAnsi="Times New Roman"/>
          <w:sz w:val="22"/>
          <w:szCs w:val="22"/>
          <w:color w:val="171717"/>
        </w:rPr>
        <w:t>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w:t>
      </w:r>
    </w:p>
    <w:p>
      <w:pPr>
        <w:spacing w:after="0" w:line="169" w:lineRule="exact"/>
        <w:rPr>
          <w:sz w:val="20"/>
          <w:szCs w:val="20"/>
          <w:color w:val="auto"/>
        </w:rPr>
      </w:pPr>
    </w:p>
    <w:p>
      <w:pPr>
        <w:ind w:left="660" w:hanging="651"/>
        <w:spacing w:after="0"/>
        <w:tabs>
          <w:tab w:leader="none" w:pos="660" w:val="left"/>
        </w:tabs>
        <w:numPr>
          <w:ilvl w:val="0"/>
          <w:numId w:val="52"/>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No Indemnification</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1E1E1E"/>
        </w:rPr>
        <w:t xml:space="preserve">The Company shall not indemnify any Covered Persons against (i) the loss of erroneously awarded </w:t>
      </w:r>
      <w:r>
        <w:rPr>
          <w:rFonts w:ascii="Times New Roman" w:cs="Times New Roman" w:eastAsia="Times New Roman" w:hAnsi="Times New Roman"/>
          <w:sz w:val="22"/>
          <w:szCs w:val="22"/>
          <w:color w:val="171717"/>
        </w:rPr>
        <w:t>Incentive-Based</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171717"/>
        </w:rPr>
        <w:t>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171717"/>
        </w:rPr>
        <w:t>Further, the Company shall not enter into any agreement that exempts any Incentive-Based Compensation from the application of this Policy or that waives the Company ’s right to recovery of any erroneously awarded Incentive-Based Compensation and this Policy shall supersede any such agreement (whether entered into before, on or after the Effective Date).</w:t>
      </w:r>
    </w:p>
    <w:p>
      <w:pPr>
        <w:spacing w:after="0" w:line="196" w:lineRule="exact"/>
        <w:rPr>
          <w:sz w:val="20"/>
          <w:szCs w:val="20"/>
          <w:color w:val="auto"/>
        </w:rPr>
      </w:pPr>
    </w:p>
    <w:p>
      <w:pPr>
        <w:ind w:left="660" w:hanging="651"/>
        <w:spacing w:after="0"/>
        <w:tabs>
          <w:tab w:leader="none" w:pos="660" w:val="left"/>
        </w:tabs>
        <w:numPr>
          <w:ilvl w:val="0"/>
          <w:numId w:val="53"/>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Covered Person Acknowledgement and Agreement</w:t>
      </w:r>
    </w:p>
    <w:p>
      <w:pPr>
        <w:spacing w:after="0" w:line="2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171717"/>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21"/>
          <w:szCs w:val="21"/>
          <w:u w:val="single" w:color="auto"/>
          <w:color w:val="171717"/>
        </w:rPr>
        <w:t>Exhibit A</w:t>
      </w:r>
      <w:r>
        <w:rPr>
          <w:rFonts w:ascii="Times New Roman" w:cs="Times New Roman" w:eastAsia="Times New Roman" w:hAnsi="Times New Roman"/>
          <w:sz w:val="21"/>
          <w:szCs w:val="21"/>
          <w:color w:val="171717"/>
        </w:rPr>
        <w:t xml:space="preserve">. </w:t>
      </w:r>
      <w:r>
        <w:rPr>
          <w:rFonts w:ascii="Times New Roman" w:cs="Times New Roman" w:eastAsia="Times New Roman" w:hAnsi="Times New Roman"/>
          <w:sz w:val="21"/>
          <w:szCs w:val="21"/>
          <w:b w:val="1"/>
          <w:bCs w:val="1"/>
          <w:u w:val="single" w:color="auto"/>
          <w:color w:val="171717"/>
        </w:rPr>
        <w:t>Notwithstanding the foregoing, this Policy will apply to</w:t>
      </w:r>
    </w:p>
    <w:p>
      <w:pPr>
        <w:spacing w:after="0"/>
        <w:rPr>
          <w:sz w:val="20"/>
          <w:szCs w:val="20"/>
          <w:color w:val="auto"/>
        </w:rPr>
      </w:pPr>
      <w:r>
        <w:rPr>
          <w:rFonts w:ascii="Times New Roman" w:cs="Times New Roman" w:eastAsia="Times New Roman" w:hAnsi="Times New Roman"/>
          <w:sz w:val="22"/>
          <w:szCs w:val="22"/>
          <w:b w:val="1"/>
          <w:bCs w:val="1"/>
          <w:u w:val="single" w:color="auto"/>
          <w:color w:val="171717"/>
        </w:rPr>
        <w:t>Covered Persons whether or not they execute such certification.</w:t>
      </w:r>
    </w:p>
    <w:p>
      <w:pPr>
        <w:spacing w:after="0" w:line="192" w:lineRule="exact"/>
        <w:rPr>
          <w:sz w:val="20"/>
          <w:szCs w:val="20"/>
          <w:color w:val="auto"/>
        </w:rPr>
      </w:pPr>
    </w:p>
    <w:p>
      <w:pPr>
        <w:ind w:left="640" w:hanging="631"/>
        <w:spacing w:after="0"/>
        <w:tabs>
          <w:tab w:leader="none" w:pos="640" w:val="left"/>
        </w:tabs>
        <w:numPr>
          <w:ilvl w:val="0"/>
          <w:numId w:val="54"/>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Successors</w:t>
      </w:r>
    </w:p>
    <w:p>
      <w:pPr>
        <w:spacing w:after="0" w:line="21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171717"/>
        </w:rPr>
        <w:t>This Policy shall be binding and enforceable against all Covered Persons and their beneficiaries, heirs, executors, administrators or other legal representatives and shall inure to the benefit of any successor to the Company.</w:t>
      </w:r>
    </w:p>
    <w:p>
      <w:pPr>
        <w:spacing w:after="0" w:line="154" w:lineRule="exact"/>
        <w:rPr>
          <w:sz w:val="20"/>
          <w:szCs w:val="20"/>
          <w:color w:val="auto"/>
        </w:rPr>
      </w:pPr>
    </w:p>
    <w:p>
      <w:pPr>
        <w:ind w:left="660" w:hanging="651"/>
        <w:spacing w:after="0"/>
        <w:tabs>
          <w:tab w:leader="none" w:pos="660" w:val="left"/>
        </w:tabs>
        <w:numPr>
          <w:ilvl w:val="0"/>
          <w:numId w:val="55"/>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Interpretation of Policy</w:t>
      </w:r>
    </w:p>
    <w:p>
      <w:pPr>
        <w:spacing w:after="0" w:line="22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171717"/>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40"/>
          </w:cols>
          <w:pgMar w:left="320" w:top="1422" w:right="639" w:bottom="1440" w:gutter="0" w:footer="0" w:header="0"/>
        </w:sectPr>
      </w:pPr>
    </w:p>
    <w:bookmarkStart w:id="66" w:name="page67"/>
    <w:bookmarkEnd w:id="66"/>
    <w:p>
      <w:pPr>
        <w:jc w:val="both"/>
        <w:ind w:right="20"/>
        <w:spacing w:after="0" w:line="271" w:lineRule="auto"/>
        <w:rPr>
          <w:sz w:val="20"/>
          <w:szCs w:val="20"/>
          <w:color w:val="auto"/>
        </w:rPr>
      </w:pPr>
      <w:r>
        <w:rPr>
          <w:rFonts w:ascii="Times New Roman" w:cs="Times New Roman" w:eastAsia="Times New Roman" w:hAnsi="Times New Roman"/>
          <w:sz w:val="22"/>
          <w:szCs w:val="22"/>
          <w:color w:val="171717"/>
        </w:rPr>
        <w:t>In the event any provision of this Policy is inconsistent with any requirement of any Final Rules, the Administrator, in its sole discretion, shall amend and administer this Policy and bring it into compliance with such rules.</w:t>
      </w:r>
    </w:p>
    <w:p>
      <w:pPr>
        <w:spacing w:after="0" w:line="15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1E1E1E"/>
        </w:rPr>
        <w:t>Any determination under this Policy by the Administrator shall be conclusive and binding on the applicable Covered Person. Determinations of the Administrator need not be uniform with respect to Covered Persons or from one payment or grant to another.</w:t>
      </w:r>
    </w:p>
    <w:p>
      <w:pPr>
        <w:spacing w:after="0" w:line="177" w:lineRule="exact"/>
        <w:rPr>
          <w:sz w:val="20"/>
          <w:szCs w:val="20"/>
          <w:color w:val="auto"/>
        </w:rPr>
      </w:pPr>
    </w:p>
    <w:p>
      <w:pPr>
        <w:ind w:left="660" w:hanging="651"/>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Termination</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1E1E1E"/>
        </w:rPr>
        <w:t>The Administrator may make any amendments to this Policy as required under applicable law, rules and regulations, or as otherwise determined by the Administrator in its sole discretion.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The Administrator may terminate this Policy at any time.</w:t>
      </w:r>
    </w:p>
    <w:p>
      <w:pPr>
        <w:spacing w:after="0" w:line="216" w:lineRule="exact"/>
        <w:rPr>
          <w:sz w:val="20"/>
          <w:szCs w:val="20"/>
          <w:color w:val="auto"/>
        </w:rPr>
      </w:pPr>
    </w:p>
    <w:p>
      <w:pPr>
        <w:ind w:left="660" w:hanging="651"/>
        <w:spacing w:after="0"/>
        <w:tabs>
          <w:tab w:leader="none" w:pos="660" w:val="left"/>
        </w:tabs>
        <w:numPr>
          <w:ilvl w:val="0"/>
          <w:numId w:val="57"/>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Definitions</w:t>
      </w:r>
    </w:p>
    <w:p>
      <w:pPr>
        <w:spacing w:after="0" w:line="2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Administrator</w:t>
      </w:r>
      <w:r>
        <w:rPr>
          <w:rFonts w:ascii="Times New Roman" w:cs="Times New Roman" w:eastAsia="Times New Roman" w:hAnsi="Times New Roman"/>
          <w:sz w:val="22"/>
          <w:szCs w:val="22"/>
          <w:color w:val="1E1E1E"/>
        </w:rPr>
        <w:t>” means the Compensation Committee of the Board, or in the absence of a committee of independent directors responsible for executive compensation decisions, a majority of the independent directors serving on the Board.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Board</w:t>
      </w:r>
      <w:r>
        <w:rPr>
          <w:rFonts w:ascii="Times New Roman" w:cs="Times New Roman" w:eastAsia="Times New Roman" w:hAnsi="Times New Roman"/>
          <w:sz w:val="22"/>
          <w:szCs w:val="22"/>
          <w:color w:val="1E1E1E"/>
        </w:rPr>
        <w:t xml:space="preserve">” means the Board of Directors of the Company. </w:t>
      </w: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Clawback Measurement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71717"/>
        </w:rPr>
        <w:t>Date</w:t>
      </w:r>
      <w:r>
        <w:rPr>
          <w:rFonts w:ascii="Times New Roman" w:cs="Times New Roman" w:eastAsia="Times New Roman" w:hAnsi="Times New Roman"/>
          <w:sz w:val="22"/>
          <w:szCs w:val="22"/>
          <w:color w:val="171717"/>
        </w:rPr>
        <w:t>” is the earlier to occur of:</w:t>
      </w:r>
    </w:p>
    <w:p>
      <w:pPr>
        <w:spacing w:after="0" w:line="104" w:lineRule="exact"/>
        <w:rPr>
          <w:sz w:val="20"/>
          <w:szCs w:val="20"/>
          <w:color w:val="auto"/>
        </w:rPr>
      </w:pPr>
    </w:p>
    <w:p>
      <w:pPr>
        <w:ind w:left="640" w:hanging="415"/>
        <w:spacing w:after="0"/>
        <w:tabs>
          <w:tab w:leader="none" w:pos="640" w:val="left"/>
        </w:tabs>
        <w:numPr>
          <w:ilvl w:val="1"/>
          <w:numId w:val="5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date the Board, a committee of the Board, or the officer or officers of the Company</w:t>
      </w:r>
    </w:p>
    <w:p>
      <w:pPr>
        <w:ind w:left="660" w:right="20"/>
        <w:spacing w:after="0" w:line="248" w:lineRule="auto"/>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authorized to take such action if Board action is not required, concludes, or reasonably should have concluded, that the Company is required to prepare an accounting restatement as described in this Policy; or</w:t>
      </w:r>
    </w:p>
    <w:p>
      <w:pPr>
        <w:spacing w:after="0" w:line="195" w:lineRule="exact"/>
        <w:rPr>
          <w:rFonts w:ascii="Times New Roman" w:cs="Times New Roman" w:eastAsia="Times New Roman" w:hAnsi="Times New Roman"/>
          <w:sz w:val="22"/>
          <w:szCs w:val="22"/>
          <w:color w:val="171717"/>
        </w:rPr>
      </w:pPr>
    </w:p>
    <w:p>
      <w:pPr>
        <w:ind w:left="660" w:right="60" w:hanging="506"/>
        <w:spacing w:after="0" w:line="271" w:lineRule="auto"/>
        <w:tabs>
          <w:tab w:leader="none" w:pos="653" w:val="left"/>
        </w:tabs>
        <w:numPr>
          <w:ilvl w:val="0"/>
          <w:numId w:val="59"/>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date a court, regulator, or other legally authorized body directs the Company to prepare an accounting restatement as described in this Policy.</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Clawback Period</w:t>
      </w:r>
      <w:r>
        <w:rPr>
          <w:rFonts w:ascii="Times New Roman" w:cs="Times New Roman" w:eastAsia="Times New Roman" w:hAnsi="Times New Roman"/>
          <w:sz w:val="22"/>
          <w:szCs w:val="22"/>
          <w:color w:val="171717"/>
        </w:rPr>
        <w:t>” 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Company</w:t>
      </w:r>
      <w:r>
        <w:rPr>
          <w:rFonts w:ascii="Times New Roman" w:cs="Times New Roman" w:eastAsia="Times New Roman" w:hAnsi="Times New Roman"/>
          <w:sz w:val="22"/>
          <w:szCs w:val="22"/>
          <w:color w:val="1E1E1E"/>
        </w:rPr>
        <w:t>” means GeneDx Holdings Corp., a Delaware corporation, or any successor corporation.</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Covered Person</w:t>
      </w:r>
      <w:r>
        <w:rPr>
          <w:rFonts w:ascii="Times New Roman" w:cs="Times New Roman" w:eastAsia="Times New Roman" w:hAnsi="Times New Roman"/>
          <w:sz w:val="22"/>
          <w:szCs w:val="22"/>
          <w:color w:val="1E1E1E"/>
        </w:rPr>
        <w:t xml:space="preserve">” means any Executive Officer (as defined in the Final Rules), including, but not limited to, </w:t>
      </w:r>
      <w:r>
        <w:rPr>
          <w:rFonts w:ascii="Times New Roman" w:cs="Times New Roman" w:eastAsia="Times New Roman" w:hAnsi="Times New Roman"/>
          <w:sz w:val="22"/>
          <w:szCs w:val="22"/>
          <w:color w:val="000000"/>
        </w:rPr>
        <w:t>those persons</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000000"/>
        </w:rPr>
        <w:t>who are 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w:t>
      </w: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40"/>
          </w:cols>
          <w:pgMar w:left="320" w:top="1165" w:right="639" w:bottom="1440" w:gutter="0" w:footer="0" w:header="0"/>
        </w:sectPr>
      </w:pPr>
    </w:p>
    <w:bookmarkStart w:id="67" w:name="page68"/>
    <w:bookmarkEnd w:id="6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Act of 1933, as amended</w:t>
      </w:r>
      <w:r>
        <w:rPr>
          <w:rFonts w:ascii="Times New Roman" w:cs="Times New Roman" w:eastAsia="Times New Roman" w:hAnsi="Times New Roman"/>
          <w:sz w:val="22"/>
          <w:szCs w:val="22"/>
          <w:color w:val="1E1E1E"/>
        </w:rPr>
        <w:t>; provided that the Administrator may identify additional employees who shall be treated as 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E1E1E"/>
        </w:rPr>
        <w:t>Persons for the purposes of this Policy with prospective effect, in accordance with the Final Rules</w:t>
      </w:r>
      <w:r>
        <w:rPr>
          <w:rFonts w:ascii="Times New Roman" w:cs="Times New Roman" w:eastAsia="Times New Roman" w:hAnsi="Times New Roman"/>
          <w:sz w:val="22"/>
          <w:szCs w:val="22"/>
          <w:color w:val="000000"/>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Effective Date</w:t>
      </w:r>
      <w:r>
        <w:rPr>
          <w:rFonts w:ascii="Times New Roman" w:cs="Times New Roman" w:eastAsia="Times New Roman" w:hAnsi="Times New Roman"/>
          <w:sz w:val="22"/>
          <w:szCs w:val="22"/>
          <w:color w:val="1E1E1E"/>
        </w:rPr>
        <w:t>” means July 21, 2023, the date the Policy was adopted by the Board.</w:t>
      </w:r>
    </w:p>
    <w:p>
      <w:pPr>
        <w:spacing w:after="0" w:line="20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Exchange</w:t>
      </w:r>
      <w:r>
        <w:rPr>
          <w:rFonts w:ascii="Times New Roman" w:cs="Times New Roman" w:eastAsia="Times New Roman" w:hAnsi="Times New Roman"/>
          <w:sz w:val="22"/>
          <w:szCs w:val="22"/>
          <w:color w:val="1E1E1E"/>
        </w:rPr>
        <w:t>” means the Nasdaq Stock Market, LLC or any other national securities exchange or national securities association in the United States on which the Company has listed its securities for trading.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Exchange Act</w:t>
      </w:r>
      <w:r>
        <w:rPr>
          <w:rFonts w:ascii="Times New Roman" w:cs="Times New Roman" w:eastAsia="Times New Roman" w:hAnsi="Times New Roman"/>
          <w:sz w:val="22"/>
          <w:szCs w:val="22"/>
          <w:color w:val="1E1E1E"/>
        </w:rPr>
        <w:t>” means the Securities Exchange Act of 1934, as amended.</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Final Rules</w:t>
      </w:r>
      <w:r>
        <w:rPr>
          <w:rFonts w:ascii="Times New Roman" w:cs="Times New Roman" w:eastAsia="Times New Roman" w:hAnsi="Times New Roman"/>
          <w:sz w:val="22"/>
          <w:szCs w:val="22"/>
          <w:color w:val="1E1E1E"/>
        </w:rPr>
        <w:t xml:space="preserve">” means the final rules promulgated by the SEC under Section 954 of the Dodd-Frank Act, Rule 10D-1 and </w:t>
      </w:r>
      <w:r>
        <w:rPr>
          <w:rFonts w:ascii="Times New Roman" w:cs="Times New Roman" w:eastAsia="Times New Roman" w:hAnsi="Times New Roman"/>
          <w:sz w:val="22"/>
          <w:szCs w:val="22"/>
          <w:color w:val="171717"/>
        </w:rPr>
        <w:t>Exchange listing standards, as may be amended from time to time</w:t>
      </w:r>
      <w:r>
        <w:rPr>
          <w:rFonts w:ascii="Times New Roman" w:cs="Times New Roman" w:eastAsia="Times New Roman" w:hAnsi="Times New Roman"/>
          <w:sz w:val="22"/>
          <w:szCs w:val="22"/>
          <w:color w:val="1E1E1E"/>
        </w:rPr>
        <w:t>.</w:t>
      </w:r>
    </w:p>
    <w:p>
      <w:pPr>
        <w:spacing w:after="0" w:line="1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Financial Reporting Measure</w:t>
      </w:r>
      <w:r>
        <w:rPr>
          <w:rFonts w:ascii="Times New Roman" w:cs="Times New Roman" w:eastAsia="Times New Roman" w:hAnsi="Times New Roman"/>
          <w:sz w:val="22"/>
          <w:szCs w:val="22"/>
          <w:color w:val="171717"/>
        </w:rPr>
        <w:t>”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p>
    <w:p>
      <w:pPr>
        <w:spacing w:after="0" w:line="168"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compensation that is granted, earned or vested based wholly or in part on the attainment of any Financial Reporting Measure.</w:t>
      </w:r>
    </w:p>
    <w:p>
      <w:pPr>
        <w:spacing w:after="0" w:line="11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Listing Rule Effective Date</w:t>
      </w:r>
      <w:r>
        <w:rPr>
          <w:rFonts w:ascii="Times New Roman" w:cs="Times New Roman" w:eastAsia="Times New Roman" w:hAnsi="Times New Roman"/>
          <w:sz w:val="22"/>
          <w:szCs w:val="22"/>
          <w:color w:val="171717"/>
        </w:rPr>
        <w:t xml:space="preserve">” means the effective date of </w:t>
      </w:r>
      <w:r>
        <w:rPr>
          <w:rFonts w:ascii="Times New Roman" w:cs="Times New Roman" w:eastAsia="Times New Roman" w:hAnsi="Times New Roman"/>
          <w:sz w:val="22"/>
          <w:szCs w:val="22"/>
          <w:color w:val="1E1E1E"/>
        </w:rPr>
        <w:t>the listing standards of the Exchange on which the Company’s</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color w:val="1E1E1E"/>
        </w:rPr>
        <w:t>securities are listed</w:t>
      </w:r>
      <w:r>
        <w:rPr>
          <w:rFonts w:ascii="Times New Roman" w:cs="Times New Roman" w:eastAsia="Times New Roman" w:hAnsi="Times New Roman"/>
          <w:sz w:val="22"/>
          <w:szCs w:val="22"/>
          <w:color w:val="171717"/>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means this Compensation Recovery Policy.</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71717"/>
        </w:rPr>
        <w:t>Incentive-Based Compensation is deemed “</w:t>
      </w:r>
      <w:r>
        <w:rPr>
          <w:rFonts w:ascii="Times New Roman" w:cs="Times New Roman" w:eastAsia="Times New Roman" w:hAnsi="Times New Roman"/>
          <w:sz w:val="22"/>
          <w:szCs w:val="22"/>
          <w:b w:val="1"/>
          <w:bCs w:val="1"/>
          <w:i w:val="1"/>
          <w:iCs w:val="1"/>
          <w:color w:val="171717"/>
        </w:rPr>
        <w:t>Received</w:t>
      </w:r>
      <w:r>
        <w:rPr>
          <w:rFonts w:ascii="Times New Roman" w:cs="Times New Roman" w:eastAsia="Times New Roman" w:hAnsi="Times New Roman"/>
          <w:sz w:val="22"/>
          <w:szCs w:val="22"/>
          <w:color w:val="171717"/>
        </w:rPr>
        <w:t>”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 .</w:t>
      </w:r>
    </w:p>
    <w:p>
      <w:pPr>
        <w:spacing w:after="0" w:line="1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Recoupment Amount</w:t>
      </w:r>
      <w:r>
        <w:rPr>
          <w:rFonts w:ascii="Times New Roman" w:cs="Times New Roman" w:eastAsia="Times New Roman" w:hAnsi="Times New Roman"/>
          <w:sz w:val="22"/>
          <w:szCs w:val="22"/>
          <w:color w:val="171717"/>
        </w:rPr>
        <w: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cs="Times New Roman" w:eastAsia="Times New Roman" w:hAnsi="Times New Roman"/>
          <w:sz w:val="22"/>
          <w:szCs w:val="22"/>
          <w:i w:val="1"/>
          <w:iCs w:val="1"/>
          <w:color w:val="171717"/>
        </w:rPr>
        <w:t>i.e</w:t>
      </w:r>
      <w:r>
        <w:rPr>
          <w:rFonts w:ascii="Times New Roman" w:cs="Times New Roman" w:eastAsia="Times New Roman" w:hAnsi="Times New Roman"/>
          <w:sz w:val="22"/>
          <w:szCs w:val="22"/>
          <w:color w:val="171717"/>
        </w:rPr>
        <w:t>., gross of taxes withheld).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SARs</w:t>
      </w:r>
      <w:r>
        <w:rPr>
          <w:rFonts w:ascii="Times New Roman" w:cs="Times New Roman" w:eastAsia="Times New Roman" w:hAnsi="Times New Roman"/>
          <w:sz w:val="22"/>
          <w:szCs w:val="22"/>
          <w:color w:val="171717"/>
        </w:rPr>
        <w:t>” means stock appreciation rights.</w:t>
      </w:r>
    </w:p>
    <w:p>
      <w:pPr>
        <w:spacing w:after="0" w:line="314" w:lineRule="exact"/>
        <w:rPr>
          <w:sz w:val="20"/>
          <w:szCs w:val="20"/>
          <w:color w:val="auto"/>
        </w:rPr>
      </w:pPr>
    </w:p>
    <w:p>
      <w:pPr>
        <w:ind w:right="2620"/>
        <w:spacing w:after="0" w:line="481"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SEC</w:t>
      </w:r>
      <w:r>
        <w:rPr>
          <w:rFonts w:ascii="Times New Roman" w:cs="Times New Roman" w:eastAsia="Times New Roman" w:hAnsi="Times New Roman"/>
          <w:sz w:val="22"/>
          <w:szCs w:val="22"/>
          <w:color w:val="171717"/>
        </w:rPr>
        <w:t>” means the U.S. Securities and Exchange Commission. “</w:t>
      </w:r>
      <w:r>
        <w:rPr>
          <w:rFonts w:ascii="Times New Roman" w:cs="Times New Roman" w:eastAsia="Times New Roman" w:hAnsi="Times New Roman"/>
          <w:sz w:val="22"/>
          <w:szCs w:val="22"/>
          <w:b w:val="1"/>
          <w:bCs w:val="1"/>
          <w:i w:val="1"/>
          <w:iCs w:val="1"/>
          <w:color w:val="171717"/>
        </w:rPr>
        <w:t>SOX 304</w:t>
      </w:r>
      <w:r>
        <w:rPr>
          <w:rFonts w:ascii="Times New Roman" w:cs="Times New Roman" w:eastAsia="Times New Roman" w:hAnsi="Times New Roman"/>
          <w:sz w:val="22"/>
          <w:szCs w:val="22"/>
          <w:color w:val="171717"/>
        </w:rPr>
        <w:t>” means Section 304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40"/>
          </w:cols>
          <w:pgMar w:left="320" w:top="1408" w:right="6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Triggering Event</w:t>
      </w:r>
      <w:r>
        <w:rPr>
          <w:rFonts w:ascii="Times New Roman" w:cs="Times New Roman" w:eastAsia="Times New Roman" w:hAnsi="Times New Roman"/>
          <w:sz w:val="22"/>
          <w:szCs w:val="22"/>
          <w:color w:val="1E1E1E"/>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TSR</w:t>
      </w:r>
      <w:r>
        <w:rPr>
          <w:rFonts w:ascii="Times New Roman" w:cs="Times New Roman" w:eastAsia="Times New Roman" w:hAnsi="Times New Roman"/>
          <w:sz w:val="22"/>
          <w:szCs w:val="22"/>
          <w:color w:val="171717"/>
        </w:rPr>
        <w:t>” means total stockholder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40"/>
          </w:cols>
          <w:pgMar w:left="320" w:top="1416" w:right="639" w:bottom="1440" w:gutter="0" w:footer="0" w:header="0"/>
        </w:sectPr>
      </w:pPr>
    </w:p>
    <w:bookmarkStart w:id="69" w:name="page70"/>
    <w:bookmarkEnd w:id="69"/>
    <w:p>
      <w:pPr>
        <w:ind w:left="4560"/>
        <w:spacing w:after="0"/>
        <w:rPr>
          <w:sz w:val="20"/>
          <w:szCs w:val="20"/>
          <w:color w:val="auto"/>
        </w:rPr>
      </w:pPr>
      <w:r>
        <w:rPr>
          <w:rFonts w:ascii="Times New Roman" w:cs="Times New Roman" w:eastAsia="Times New Roman" w:hAnsi="Times New Roman"/>
          <w:sz w:val="22"/>
          <w:szCs w:val="22"/>
          <w:b w:val="1"/>
          <w:bCs w:val="1"/>
          <w:color w:val="171717"/>
        </w:rPr>
        <w:t>EXHIBIT A</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171717"/>
        </w:rPr>
        <w:t>Certification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certify that:</w:t>
      </w:r>
    </w:p>
    <w:p>
      <w:pPr>
        <w:spacing w:after="0" w:line="200" w:lineRule="exact"/>
        <w:rPr>
          <w:sz w:val="20"/>
          <w:szCs w:val="20"/>
          <w:color w:val="auto"/>
        </w:rPr>
      </w:pPr>
    </w:p>
    <w:p>
      <w:pPr>
        <w:spacing w:after="0" w:line="311" w:lineRule="exact"/>
        <w:rPr>
          <w:sz w:val="20"/>
          <w:szCs w:val="20"/>
          <w:color w:val="auto"/>
        </w:rPr>
      </w:pPr>
    </w:p>
    <w:p>
      <w:pPr>
        <w:ind w:left="340" w:hanging="331"/>
        <w:spacing w:after="0" w:line="264" w:lineRule="auto"/>
        <w:tabs>
          <w:tab w:leader="none" w:pos="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have read and understand the Company’s Compensation Recovery Policy (the “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 understand that the [Company][General Counsel] is available to answer any questions I have regarding the Policy.</w:t>
      </w:r>
    </w:p>
    <w:p>
      <w:pPr>
        <w:spacing w:after="0" w:line="178" w:lineRule="exact"/>
        <w:rPr>
          <w:rFonts w:ascii="Times New Roman" w:cs="Times New Roman" w:eastAsia="Times New Roman" w:hAnsi="Times New Roman"/>
          <w:sz w:val="22"/>
          <w:szCs w:val="22"/>
          <w:color w:val="auto"/>
        </w:rPr>
      </w:pPr>
    </w:p>
    <w:p>
      <w:pPr>
        <w:ind w:left="340" w:hanging="331"/>
        <w:spacing w:after="0" w:line="258" w:lineRule="auto"/>
        <w:tabs>
          <w:tab w:leader="none" w:pos="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Policy applies to all of my existing and future compensation -related agreements with the Company, whether or not explicitly stated therein.</w:t>
      </w:r>
    </w:p>
    <w:p>
      <w:pPr>
        <w:spacing w:after="0" w:line="158" w:lineRule="exact"/>
        <w:rPr>
          <w:rFonts w:ascii="Times New Roman" w:cs="Times New Roman" w:eastAsia="Times New Roman" w:hAnsi="Times New Roman"/>
          <w:sz w:val="22"/>
          <w:szCs w:val="22"/>
          <w:color w:val="auto"/>
        </w:rPr>
      </w:pPr>
    </w:p>
    <w:p>
      <w:pPr>
        <w:jc w:val="both"/>
        <w:ind w:left="340" w:hanging="331"/>
        <w:spacing w:after="0" w:line="248" w:lineRule="auto"/>
        <w:tabs>
          <w:tab w:leader="none" w:pos="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spacing w:after="0" w:line="182" w:lineRule="exact"/>
        <w:rPr>
          <w:rFonts w:ascii="Times New Roman" w:cs="Times New Roman" w:eastAsia="Times New Roman" w:hAnsi="Times New Roman"/>
          <w:sz w:val="22"/>
          <w:szCs w:val="22"/>
          <w:color w:val="auto"/>
        </w:rPr>
      </w:pPr>
    </w:p>
    <w:p>
      <w:pPr>
        <w:jc w:val="both"/>
        <w:ind w:left="340" w:hanging="331"/>
        <w:spacing w:after="0" w:line="252" w:lineRule="auto"/>
        <w:tabs>
          <w:tab w:leader="none" w:pos="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 </w:t>
      </w:r>
      <w:r>
        <w:rPr>
          <w:rFonts w:ascii="Times New Roman" w:cs="Times New Roman" w:eastAsia="Times New Roman" w:hAnsi="Times New Roman"/>
          <w:sz w:val="22"/>
          <w:szCs w:val="22"/>
          <w:color w:val="171717"/>
        </w:rPr>
        <w:t>remedies or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71717"/>
        </w:rPr>
        <w:t>of recoupment that may be available to the Company.</w:t>
      </w:r>
    </w:p>
    <w:p>
      <w:pPr>
        <w:spacing w:after="0" w:line="165" w:lineRule="exact"/>
        <w:rPr>
          <w:rFonts w:ascii="Times New Roman" w:cs="Times New Roman" w:eastAsia="Times New Roman" w:hAnsi="Times New Roman"/>
          <w:sz w:val="22"/>
          <w:szCs w:val="22"/>
          <w:color w:val="auto"/>
        </w:rPr>
      </w:pPr>
    </w:p>
    <w:p>
      <w:pPr>
        <w:ind w:left="340" w:hanging="331"/>
        <w:spacing w:after="0" w:line="271" w:lineRule="auto"/>
        <w:tabs>
          <w:tab w:leader="none" w:pos="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to abide by the terms of the Policy, including, without limitation, by returning any erroneously awarded Incentive-Based Compensation to the Company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-13970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-13970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-13970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749300</wp:posOffset>
            </wp:positionH>
            <wp:positionV relativeFrom="paragraph">
              <wp:posOffset>-13970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20"/>
          </w:cols>
          <w:pgMar w:left="320" w:top="1364" w:right="659" w:bottom="1440" w:gutter="0" w:footer="0" w:header="0"/>
        </w:sectPr>
      </w:pPr>
    </w:p>
    <w:bookmarkStart w:id="70" w:name="page71"/>
    <w:bookmarkEnd w:id="70"/>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171717"/>
        </w:rPr>
        <w:t>EXHIBIT B</w:t>
      </w:r>
    </w:p>
    <w:p>
      <w:pPr>
        <w:spacing w:after="0" w:line="23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1E1E1E"/>
        </w:rPr>
        <w:t>Calculation Guidelines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For purposes of calculating the Recoupment Amount:</w:t>
      </w:r>
    </w:p>
    <w:p>
      <w:pPr>
        <w:spacing w:after="0" w:line="206" w:lineRule="exact"/>
        <w:rPr>
          <w:sz w:val="20"/>
          <w:szCs w:val="20"/>
          <w:color w:val="auto"/>
        </w:rPr>
      </w:pPr>
    </w:p>
    <w:p>
      <w:pPr>
        <w:jc w:val="both"/>
        <w:ind w:left="980" w:right="20" w:hanging="437"/>
        <w:spacing w:after="0" w:line="250" w:lineRule="auto"/>
        <w:tabs>
          <w:tab w:leader="none" w:pos="971" w:val="left"/>
        </w:tabs>
        <w:numPr>
          <w:ilvl w:val="0"/>
          <w:numId w:val="61"/>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w:t>
      </w:r>
    </w:p>
    <w:p>
      <w:pPr>
        <w:spacing w:after="0" w:line="194" w:lineRule="exact"/>
        <w:rPr>
          <w:rFonts w:ascii="Times New Roman" w:cs="Times New Roman" w:eastAsia="Times New Roman" w:hAnsi="Times New Roman"/>
          <w:sz w:val="22"/>
          <w:szCs w:val="22"/>
          <w:color w:val="171717"/>
        </w:rPr>
      </w:pPr>
    </w:p>
    <w:p>
      <w:pPr>
        <w:jc w:val="both"/>
        <w:ind w:left="980" w:right="40" w:hanging="495"/>
        <w:spacing w:after="0" w:line="257" w:lineRule="auto"/>
        <w:tabs>
          <w:tab w:leader="none" w:pos="973" w:val="left"/>
        </w:tabs>
        <w:numPr>
          <w:ilvl w:val="0"/>
          <w:numId w:val="61"/>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cash awards paid from bonus pools, the erroneously awarded compensation is the pro rata portion of any deficiency that results from the aggregate bonus pool that is reduced based on applying the restated Financial Reporting Measure.</w:t>
      </w:r>
    </w:p>
    <w:p>
      <w:pPr>
        <w:spacing w:after="0" w:line="199" w:lineRule="exact"/>
        <w:rPr>
          <w:rFonts w:ascii="Times New Roman" w:cs="Times New Roman" w:eastAsia="Times New Roman" w:hAnsi="Times New Roman"/>
          <w:sz w:val="22"/>
          <w:szCs w:val="22"/>
          <w:color w:val="171717"/>
        </w:rPr>
      </w:pPr>
    </w:p>
    <w:p>
      <w:pPr>
        <w:jc w:val="both"/>
        <w:ind w:left="980" w:right="20" w:hanging="553"/>
        <w:spacing w:after="0" w:line="251" w:lineRule="auto"/>
        <w:tabs>
          <w:tab w:leader="none" w:pos="975" w:val="left"/>
        </w:tabs>
        <w:numPr>
          <w:ilvl w:val="0"/>
          <w:numId w:val="61"/>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spacing w:after="0" w:line="221" w:lineRule="exact"/>
        <w:rPr>
          <w:rFonts w:ascii="Times New Roman" w:cs="Times New Roman" w:eastAsia="Times New Roman" w:hAnsi="Times New Roman"/>
          <w:sz w:val="22"/>
          <w:szCs w:val="22"/>
          <w:color w:val="171717"/>
        </w:rPr>
      </w:pPr>
    </w:p>
    <w:p>
      <w:pPr>
        <w:jc w:val="both"/>
        <w:ind w:left="980" w:right="40" w:hanging="538"/>
        <w:spacing w:after="0" w:line="244" w:lineRule="auto"/>
        <w:tabs>
          <w:tab w:leader="none" w:pos="964" w:val="left"/>
        </w:tabs>
        <w:numPr>
          <w:ilvl w:val="0"/>
          <w:numId w:val="61"/>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Incentive-Based Compensation based on stock price or TSR, where the amount of erroneously awarded compensation is not subject to mathematical recalculation directly from the information in an accounting restatement:</w:t>
      </w:r>
    </w:p>
    <w:p>
      <w:pPr>
        <w:spacing w:after="0" w:line="213" w:lineRule="exact"/>
        <w:rPr>
          <w:rFonts w:ascii="Times New Roman" w:cs="Times New Roman" w:eastAsia="Times New Roman" w:hAnsi="Times New Roman"/>
          <w:sz w:val="22"/>
          <w:szCs w:val="22"/>
          <w:color w:val="171717"/>
        </w:rPr>
      </w:pPr>
    </w:p>
    <w:p>
      <w:pPr>
        <w:ind w:left="1300" w:hanging="311"/>
        <w:spacing w:after="0" w:line="271" w:lineRule="auto"/>
        <w:tabs>
          <w:tab w:leader="none" w:pos="1294" w:val="left"/>
        </w:tabs>
        <w:numPr>
          <w:ilvl w:val="1"/>
          <w:numId w:val="61"/>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amount must be based on a reasonable estimate of the effect of the accounting restatement on the stock price or TSR upon which the Incentive-Based Compensation was Received; and</w:t>
      </w:r>
    </w:p>
    <w:p>
      <w:pPr>
        <w:spacing w:after="0" w:line="184" w:lineRule="exact"/>
        <w:rPr>
          <w:rFonts w:ascii="Times New Roman" w:cs="Times New Roman" w:eastAsia="Times New Roman" w:hAnsi="Times New Roman"/>
          <w:sz w:val="22"/>
          <w:szCs w:val="22"/>
          <w:color w:val="171717"/>
        </w:rPr>
      </w:pPr>
    </w:p>
    <w:p>
      <w:pPr>
        <w:ind w:left="1300" w:right="20" w:hanging="311"/>
        <w:spacing w:after="0" w:line="258" w:lineRule="auto"/>
        <w:tabs>
          <w:tab w:leader="none" w:pos="129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171717"/>
        </w:rPr>
        <w:t>The Company must maintain documentation of the determination of that reasonable estimate and the Company must provide such documentation to the Exchange in all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9</w:t>
      </w:r>
    </w:p>
    <w:sectPr>
      <w:pgSz w:w="11900" w:h="16838" w:orient="portrait"/>
      <w:cols w:equalWidth="0" w:num="1">
        <w:col w:w="10940"/>
      </w:cols>
      <w:pgMar w:left="32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3"/>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2"/>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5"/>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5"/>
    </w:lvl>
  </w:abstractNum>
  <w:abstractNum w:abstractNumId="31">
    <w:nsid w:val="542289EC"/>
    <w:multiLevelType w:val="hybridMultilevel"/>
    <w:lvl w:ilvl="0">
      <w:lvlJc w:val="left"/>
      <w:lvlText w:val="•"/>
      <w:numFmt w:val="bullet"/>
      <w:start w:val="1"/>
    </w:lvl>
    <w:lvl w:ilvl="1">
      <w:lvlJc w:val="left"/>
      <w:lvlText w:val="•"/>
      <w:numFmt w:val="bullet"/>
      <w:start w:val="1"/>
    </w:lvl>
  </w:abstractNum>
  <w:abstractNum w:abstractNumId="32">
    <w:nsid w:val="6DE91B18"/>
    <w:multiLevelType w:val="hybridMultilevel"/>
    <w:lvl w:ilvl="0">
      <w:lvlJc w:val="left"/>
      <w:lvlText w:val="%1"/>
      <w:numFmt w:val="lowerRoman"/>
      <w:start w:val="1"/>
    </w:lvl>
    <w:lvl w:ilvl="1">
      <w:lvlJc w:val="left"/>
      <w:lvlText w:val="%2."/>
      <w:numFmt w:val="upperLetter"/>
      <w:start w:val="1"/>
    </w:lvl>
  </w:abstractNum>
  <w:abstractNum w:abstractNumId="33">
    <w:nsid w:val="38437FDB"/>
    <w:multiLevelType w:val="hybridMultilevel"/>
    <w:lvl w:ilvl="0">
      <w:lvlJc w:val="left"/>
      <w:lvlText w:val="(%1)"/>
      <w:numFmt w:val="lowerRoman"/>
      <w:start w:val="2"/>
    </w:lvl>
    <w:lvl w:ilvl="1">
      <w:lvlJc w:val="left"/>
      <w:lvlText w:val="%2"/>
      <w:numFmt w:val="upperLetter"/>
      <w:start w:val="1"/>
    </w:lvl>
  </w:abstractNum>
  <w:abstractNum w:abstractNumId="34">
    <w:nsid w:val="7644A45C"/>
    <w:multiLevelType w:val="hybridMultilevel"/>
    <w:lvl w:ilvl="0">
      <w:lvlJc w:val="left"/>
      <w:lvlText w:val="%1."/>
      <w:numFmt w:val="decimal"/>
      <w:start w:val="1"/>
    </w:lvl>
    <w:lvl w:ilvl="1">
      <w:lvlJc w:val="left"/>
      <w:lvlText w:val="%2."/>
      <w:numFmt w:val="lowerLetter"/>
      <w:start w:val="1"/>
    </w:lvl>
  </w:abstractNum>
  <w:abstractNum w:abstractNumId="35">
    <w:nsid w:val="32FFF902"/>
    <w:multiLevelType w:val="hybridMultilevel"/>
    <w:lvl w:ilvl="0">
      <w:lvlJc w:val="left"/>
      <w:lvlText w:val="%1."/>
      <w:numFmt w:val="decimal"/>
      <w:start w:val="1"/>
    </w:lvl>
    <w:lvl w:ilvl="1">
      <w:lvlJc w:val="left"/>
      <w:lvlText w:val="%2."/>
      <w:numFmt w:val="lowerLetter"/>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2"/>
    </w:lvl>
  </w:abstractNum>
  <w:abstractNum w:abstractNumId="40">
    <w:nsid w:val="1BA026FA"/>
    <w:multiLevelType w:val="hybridMultilevel"/>
    <w:lvl w:ilvl="0">
      <w:lvlJc w:val="left"/>
      <w:lvlText w:val="%1"/>
      <w:numFmt w:val="lowerRoman"/>
      <w:start w:val="1"/>
    </w:lvl>
    <w:lvl w:ilvl="1">
      <w:lvlJc w:val="left"/>
      <w:lvlText w:val="%2."/>
      <w:numFmt w:val="lowerRoman"/>
      <w:start w:val="1"/>
    </w:lvl>
  </w:abstractNum>
  <w:abstractNum w:abstractNumId="41">
    <w:nsid w:val="79A1DEAA"/>
    <w:multiLevelType w:val="hybridMultilevel"/>
    <w:lvl w:ilvl="0">
      <w:lvlJc w:val="left"/>
      <w:lvlText w:val="%1."/>
      <w:numFmt w:val="lowerRoman"/>
      <w:start w:val="2"/>
    </w:lvl>
    <w:lvl w:ilvl="1">
      <w:lvlJc w:val="left"/>
      <w:lvlText w:val="%2"/>
      <w:numFmt w:val="lowerRoman"/>
      <w:start w:val="1"/>
    </w:lvl>
  </w:abstractNum>
  <w:abstractNum w:abstractNumId="42">
    <w:nsid w:val="75C6C33A"/>
    <w:multiLevelType w:val="hybridMultilevel"/>
    <w:lvl w:ilvl="0">
      <w:lvlJc w:val="left"/>
      <w:lvlText w:val="%1."/>
      <w:numFmt w:val="decimal"/>
      <w:start w:val="3"/>
    </w:lvl>
  </w:abstractNum>
  <w:abstractNum w:abstractNumId="43">
    <w:nsid w:val="12E685FB"/>
    <w:multiLevelType w:val="hybridMultilevel"/>
    <w:lvl w:ilvl="0">
      <w:lvlJc w:val="left"/>
      <w:lvlText w:val="%1."/>
      <w:numFmt w:val="decimal"/>
      <w:start w:val="4"/>
    </w:lvl>
  </w:abstractNum>
  <w:abstractNum w:abstractNumId="44">
    <w:nsid w:val="70C6A529"/>
    <w:multiLevelType w:val="hybridMultilevel"/>
    <w:lvl w:ilvl="0">
      <w:lvlJc w:val="left"/>
      <w:lvlText w:val="%1."/>
      <w:numFmt w:val="decimal"/>
      <w:start w:val="5"/>
    </w:lvl>
  </w:abstractNum>
  <w:abstractNum w:abstractNumId="45">
    <w:nsid w:val="520EEDD1"/>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46">
    <w:nsid w:val="374A3FE6"/>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47">
    <w:nsid w:val="4F4EF005"/>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48">
    <w:nsid w:val="23F9C13C"/>
    <w:multiLevelType w:val="hybridMultilevel"/>
    <w:lvl w:ilvl="0">
      <w:lvlJc w:val="left"/>
      <w:lvlText w:val="%1."/>
      <w:numFmt w:val="decimal"/>
      <w:start w:val="7"/>
    </w:lvl>
  </w:abstractNum>
  <w:abstractNum w:abstractNumId="49">
    <w:nsid w:val="649BB77C"/>
    <w:multiLevelType w:val="hybridMultilevel"/>
    <w:lvl w:ilvl="0">
      <w:lvlJc w:val="left"/>
      <w:lvlText w:val="%1."/>
      <w:numFmt w:val="lowerRoman"/>
      <w:start w:val="1"/>
    </w:lvl>
  </w:abstractNum>
  <w:abstractNum w:abstractNumId="50">
    <w:nsid w:val="275AC794"/>
    <w:multiLevelType w:val="hybridMultilevel"/>
    <w:lvl w:ilvl="0">
      <w:lvlJc w:val="left"/>
      <w:lvlText w:val="%1."/>
      <w:numFmt w:val="decimal"/>
      <w:start w:val="8"/>
    </w:lvl>
  </w:abstractNum>
  <w:abstractNum w:abstractNumId="51">
    <w:nsid w:val="39386575"/>
    <w:multiLevelType w:val="hybridMultilevel"/>
    <w:lvl w:ilvl="0">
      <w:lvlJc w:val="left"/>
      <w:lvlText w:val="%1."/>
      <w:numFmt w:val="decimal"/>
      <w:start w:val="9"/>
    </w:lvl>
  </w:abstractNum>
  <w:abstractNum w:abstractNumId="52">
    <w:nsid w:val="1CF10FD8"/>
    <w:multiLevelType w:val="hybridMultilevel"/>
    <w:lvl w:ilvl="0">
      <w:lvlJc w:val="left"/>
      <w:lvlText w:val="%1."/>
      <w:numFmt w:val="decimal"/>
      <w:start w:val="10"/>
    </w:lvl>
  </w:abstractNum>
  <w:abstractNum w:abstractNumId="53">
    <w:nsid w:val="180115BE"/>
    <w:multiLevelType w:val="hybridMultilevel"/>
    <w:lvl w:ilvl="0">
      <w:lvlJc w:val="left"/>
      <w:lvlText w:val="%1."/>
      <w:numFmt w:val="decimal"/>
      <w:start w:val="11"/>
    </w:lvl>
  </w:abstractNum>
  <w:abstractNum w:abstractNumId="54">
    <w:nsid w:val="235BA861"/>
    <w:multiLevelType w:val="hybridMultilevel"/>
    <w:lvl w:ilvl="0">
      <w:lvlJc w:val="left"/>
      <w:lvlText w:val="%1."/>
      <w:numFmt w:val="decimal"/>
      <w:start w:val="12"/>
    </w:lvl>
  </w:abstractNum>
  <w:abstractNum w:abstractNumId="55">
    <w:nsid w:val="47398C89"/>
    <w:multiLevelType w:val="hybridMultilevel"/>
    <w:lvl w:ilvl="0">
      <w:lvlJc w:val="left"/>
      <w:lvlText w:val="%1."/>
      <w:numFmt w:val="decimal"/>
      <w:start w:val="13"/>
    </w:lvl>
  </w:abstractNum>
  <w:abstractNum w:abstractNumId="56">
    <w:nsid w:val="354FE9F9"/>
    <w:multiLevelType w:val="hybridMultilevel"/>
    <w:lvl w:ilvl="0">
      <w:lvlJc w:val="left"/>
      <w:lvlText w:val="%1."/>
      <w:numFmt w:val="decimal"/>
      <w:start w:val="14"/>
    </w:lvl>
  </w:abstractNum>
  <w:abstractNum w:abstractNumId="57">
    <w:nsid w:val="15B5AF5C"/>
    <w:multiLevelType w:val="hybridMultilevel"/>
    <w:lvl w:ilvl="0">
      <w:lvlJc w:val="left"/>
      <w:lvlText w:val="%1"/>
      <w:numFmt w:val="lowerRoman"/>
      <w:start w:val="1"/>
    </w:lvl>
    <w:lvl w:ilvl="1">
      <w:lvlJc w:val="left"/>
      <w:lvlText w:val="%2."/>
      <w:numFmt w:val="lowerRoman"/>
      <w:start w:val="1"/>
    </w:lvl>
  </w:abstractNum>
  <w:abstractNum w:abstractNumId="58">
    <w:nsid w:val="741226BB"/>
    <w:multiLevelType w:val="hybridMultilevel"/>
    <w:lvl w:ilvl="0">
      <w:lvlJc w:val="left"/>
      <w:lvlText w:val="%1."/>
      <w:numFmt w:val="lowerRoman"/>
      <w:start w:val="2"/>
    </w:lvl>
    <w:lvl w:ilvl="1">
      <w:lvlJc w:val="left"/>
      <w:lvlText w:val="%2"/>
      <w:numFmt w:val="lowerRoman"/>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lowerRoman"/>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2025-07-29T07:23:53Z</dcterms:created>
  <dcterms:modified xsi:type="dcterms:W3CDTF">2025-07-29T07:23:53Z</dcterms:modified>
</cp:coreProperties>
</file>