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3" w:lineRule="exact"/>
        <w:rPr>
          <w:sz w:val="24"/>
          <w:szCs w:val="24"/>
          <w:color w:val="auto"/>
        </w:rPr>
      </w:pPr>
    </w:p>
    <w:p>
      <w:pPr>
        <w:ind w:left="2260" w:hanging="880"/>
        <w:spacing w:after="0"/>
        <w:tabs>
          <w:tab w:leader="none" w:pos="2260" w:val="left"/>
        </w:tabs>
        <w:numPr>
          <w:ilvl w:val="0"/>
          <w:numId w:val="1"/>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20"/>
          <w:szCs w:val="20"/>
          <w:b w:val="1"/>
          <w:bCs w:val="1"/>
          <w:color w:val="auto"/>
        </w:rPr>
        <w:t>ANNUAL REPORT PURSUANT TO SECTION 13 OR 15(d) OF THE SECURITIES</w:t>
      </w:r>
    </w:p>
    <w:p>
      <w:pPr>
        <w:spacing w:after="0" w:line="32" w:lineRule="exact"/>
        <w:rPr>
          <w:rFonts w:ascii="Wingdings" w:cs="Wingdings" w:eastAsia="Wingdings" w:hAnsi="Wingdings"/>
          <w:sz w:val="16"/>
          <w:szCs w:val="16"/>
          <w:b w:val="1"/>
          <w:bCs w:val="1"/>
          <w:color w:val="auto"/>
          <w:highlight w:val="black"/>
        </w:rPr>
      </w:pPr>
    </w:p>
    <w:p>
      <w:pPr>
        <w:ind w:left="4700"/>
        <w:spacing w:after="0"/>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20"/>
          <w:szCs w:val="20"/>
          <w:b w:val="1"/>
          <w:bCs w:val="1"/>
          <w:color w:val="auto"/>
        </w:rPr>
        <w:t>EXCHANGE ACT OF 1934</w:t>
      </w:r>
    </w:p>
    <w:p>
      <w:pPr>
        <w:spacing w:after="0" w:line="3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3" w:lineRule="exact"/>
        <w:rPr>
          <w:sz w:val="24"/>
          <w:szCs w:val="24"/>
          <w:color w:val="auto"/>
        </w:rPr>
      </w:pPr>
    </w:p>
    <w:p>
      <w:pPr>
        <w:ind w:left="2060" w:hanging="674"/>
        <w:spacing w:after="0"/>
        <w:tabs>
          <w:tab w:leader="none" w:pos="2060" w:val="left"/>
        </w:tabs>
        <w:numPr>
          <w:ilvl w:val="0"/>
          <w:numId w:val="2"/>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w:t>
      </w:r>
    </w:p>
    <w:p>
      <w:pPr>
        <w:spacing w:after="0" w:line="37" w:lineRule="exact"/>
        <w:rPr>
          <w:rFonts w:ascii="Wingdings" w:cs="Wingdings" w:eastAsia="Wingdings" w:hAnsi="Wingdings"/>
          <w:sz w:val="17"/>
          <w:szCs w:val="17"/>
          <w:b w:val="1"/>
          <w:bCs w:val="1"/>
          <w:color w:val="auto"/>
          <w:highlight w:val="black"/>
        </w:rPr>
      </w:pPr>
    </w:p>
    <w:p>
      <w:pPr>
        <w:ind w:left="4700"/>
        <w:spacing w:after="0"/>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20"/>
          <w:szCs w:val="20"/>
          <w:b w:val="1"/>
          <w:bCs w:val="1"/>
          <w:color w:val="auto"/>
        </w:rPr>
        <w:t>EXCHANGE ACT OF 1934</w:t>
      </w:r>
    </w:p>
    <w:p>
      <w:pPr>
        <w:spacing w:after="0" w:line="46"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19685</wp:posOffset>
            </wp:positionV>
            <wp:extent cx="144018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GeneDx Holdings Corp.</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9" w:right="339" w:bottom="0" w:gutter="0" w:footer="0" w:header="0"/>
        </w:sectPr>
      </w:pPr>
    </w:p>
    <w:p>
      <w:pPr>
        <w:spacing w:after="0" w:line="196"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85-1966622</w:t>
      </w:r>
    </w:p>
    <w:p>
      <w:pPr>
        <w:spacing w:after="0" w:line="200" w:lineRule="exact"/>
        <w:rPr>
          <w:sz w:val="24"/>
          <w:szCs w:val="24"/>
          <w:color w:val="auto"/>
        </w:rPr>
      </w:pPr>
    </w:p>
    <w:p>
      <w:pPr>
        <w:sectPr>
          <w:pgSz w:w="11900" w:h="16838" w:orient="portrait"/>
          <w:cols w:equalWidth="0" w:num="2">
            <w:col w:w="7040" w:space="720"/>
            <w:col w:w="3480"/>
          </w:cols>
          <w:pgMar w:left="320" w:top="229" w:right="339" w:bottom="0" w:gutter="0" w:footer="0" w:header="0"/>
          <w:type w:val="continuous"/>
        </w:sectPr>
      </w:pPr>
    </w:p>
    <w:p>
      <w:pPr>
        <w:spacing w:after="0" w:line="83"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100" w:lineRule="exact"/>
        <w:rPr>
          <w:sz w:val="24"/>
          <w:szCs w:val="24"/>
          <w:color w:val="auto"/>
        </w:rPr>
      </w:pPr>
    </w:p>
    <w:p>
      <w:pPr>
        <w:sectPr>
          <w:pgSz w:w="11900" w:h="16838" w:orient="portrait"/>
          <w:cols w:equalWidth="0" w:num="2">
            <w:col w:w="6200" w:space="720"/>
            <w:col w:w="4320"/>
          </w:cols>
          <w:pgMar w:left="320" w:top="229" w:right="339" w:bottom="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333 Ludlow Street, North Tower, 6th Floor</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729-1206</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16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78"/>
        </w:trPr>
        <w:tc>
          <w:tcPr>
            <w:tcW w:w="504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6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1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WGS</w:t>
            </w:r>
          </w:p>
        </w:tc>
        <w:tc>
          <w:tcPr>
            <w:tcW w:w="40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89"/>
        </w:trPr>
        <w:tc>
          <w:tcPr>
            <w:tcW w:w="50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Warrants to purchase one share of Class A common stock,</w:t>
            </w:r>
          </w:p>
        </w:tc>
        <w:tc>
          <w:tcPr>
            <w:tcW w:w="2160" w:type="dxa"/>
            <w:vAlign w:val="bottom"/>
          </w:tcPr>
          <w:p>
            <w:pPr>
              <w:jc w:val="center"/>
              <w:ind w:left="210"/>
              <w:spacing w:after="0" w:line="189" w:lineRule="exact"/>
              <w:rPr>
                <w:sz w:val="20"/>
                <w:szCs w:val="20"/>
                <w:color w:val="auto"/>
              </w:rPr>
            </w:pPr>
            <w:r>
              <w:rPr>
                <w:rFonts w:ascii="Times New Roman" w:cs="Times New Roman" w:eastAsia="Times New Roman" w:hAnsi="Times New Roman"/>
                <w:sz w:val="18"/>
                <w:szCs w:val="18"/>
                <w:color w:val="auto"/>
                <w:w w:val="99"/>
              </w:rPr>
              <w:t>WGSWW</w:t>
            </w:r>
          </w:p>
        </w:tc>
        <w:tc>
          <w:tcPr>
            <w:tcW w:w="404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each at an exercise price of $379.50 per share</w:t>
            </w:r>
          </w:p>
        </w:tc>
        <w:tc>
          <w:tcPr>
            <w:tcW w:w="2160" w:type="dxa"/>
            <w:vAlign w:val="bottom"/>
          </w:tcPr>
          <w:p>
            <w:pPr>
              <w:spacing w:after="0"/>
              <w:rPr>
                <w:sz w:val="20"/>
                <w:szCs w:val="20"/>
                <w:color w:val="auto"/>
              </w:rPr>
            </w:pPr>
          </w:p>
        </w:tc>
        <w:tc>
          <w:tcPr>
            <w:tcW w:w="4040" w:type="dxa"/>
            <w:vAlign w:val="bottom"/>
          </w:tcPr>
          <w:p>
            <w:pPr>
              <w:spacing w:after="0"/>
              <w:rPr>
                <w:sz w:val="20"/>
                <w:szCs w:val="20"/>
                <w:color w:val="auto"/>
              </w:rPr>
            </w:pPr>
          </w:p>
        </w:tc>
      </w:tr>
    </w:tbl>
    <w:p>
      <w:pPr>
        <w:spacing w:after="0" w:line="234"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740"/>
              <w:spacing w:after="0"/>
              <w:rPr>
                <w:sz w:val="20"/>
                <w:szCs w:val="20"/>
                <w:color w:val="auto"/>
              </w:rPr>
            </w:pPr>
            <w:r>
              <w:rPr>
                <w:rFonts w:ascii="Wingdings" w:cs="Wingdings" w:eastAsia="Wingdings" w:hAnsi="Wingdings"/>
                <w:sz w:val="18"/>
                <w:szCs w:val="18"/>
                <w:b w:val="1"/>
                <w:bCs w:val="1"/>
                <w:color w:val="auto"/>
              </w:rPr>
              <w:t>o</w:t>
            </w:r>
          </w:p>
        </w:tc>
        <w:tc>
          <w:tcPr>
            <w:tcW w:w="37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580"/>
              <w:spacing w:after="0"/>
              <w:rPr>
                <w:sz w:val="20"/>
                <w:szCs w:val="20"/>
                <w:color w:val="auto"/>
              </w:rPr>
            </w:pPr>
            <w:r>
              <w:rPr>
                <w:rFonts w:ascii="Wingdings" w:cs="Wingdings" w:eastAsia="Wingdings" w:hAnsi="Wingdings"/>
                <w:sz w:val="18"/>
                <w:szCs w:val="18"/>
                <w:b w:val="1"/>
                <w:bCs w:val="1"/>
                <w:color w:val="auto"/>
                <w:w w:val="94"/>
              </w:rPr>
              <w:t>x</w:t>
            </w: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740"/>
              <w:spacing w:after="0"/>
              <w:rPr>
                <w:sz w:val="20"/>
                <w:szCs w:val="20"/>
                <w:color w:val="auto"/>
              </w:rPr>
            </w:pPr>
            <w:r>
              <w:rPr>
                <w:rFonts w:ascii="Wingdings" w:cs="Wingdings" w:eastAsia="Wingdings" w:hAnsi="Wingdings"/>
                <w:sz w:val="16"/>
                <w:szCs w:val="16"/>
                <w:b w:val="1"/>
                <w:bCs w:val="1"/>
                <w:color w:val="auto"/>
              </w:rPr>
              <w:t>o</w:t>
            </w:r>
          </w:p>
        </w:tc>
        <w:tc>
          <w:tcPr>
            <w:tcW w:w="37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580"/>
              <w:spacing w:after="0"/>
              <w:rPr>
                <w:sz w:val="20"/>
                <w:szCs w:val="20"/>
                <w:color w:val="auto"/>
              </w:rPr>
            </w:pPr>
            <w:r>
              <w:rPr>
                <w:rFonts w:ascii="Wingdings" w:cs="Wingdings" w:eastAsia="Wingdings" w:hAnsi="Wingdings"/>
                <w:sz w:val="16"/>
                <w:szCs w:val="16"/>
                <w:b w:val="1"/>
                <w:bCs w:val="1"/>
                <w:color w:val="auto"/>
              </w:rPr>
              <w:t>x</w:t>
            </w:r>
          </w:p>
        </w:tc>
      </w:tr>
      <w:tr>
        <w:trPr>
          <w:trHeight w:val="270"/>
        </w:trPr>
        <w:tc>
          <w:tcPr>
            <w:tcW w:w="23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7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780" w:type="dxa"/>
            <w:vAlign w:val="bottom"/>
          </w:tcPr>
          <w:p>
            <w:pPr>
              <w:ind w:left="580"/>
              <w:spacing w:after="0"/>
              <w:rPr>
                <w:sz w:val="20"/>
                <w:szCs w:val="20"/>
                <w:color w:val="auto"/>
              </w:rPr>
            </w:pPr>
            <w:r>
              <w:rPr>
                <w:rFonts w:ascii="Wingdings" w:cs="Wingdings" w:eastAsia="Wingdings" w:hAnsi="Wingdings"/>
                <w:sz w:val="16"/>
                <w:szCs w:val="16"/>
                <w:b w:val="1"/>
                <w:bCs w:val="1"/>
                <w:color w:val="auto"/>
              </w:rPr>
              <w:t>x</w:t>
            </w:r>
          </w:p>
        </w:tc>
      </w:tr>
    </w:tbl>
    <w:p>
      <w:pPr>
        <w:spacing w:after="0" w:line="21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7252(b)) by the registered public accounting firm that prepared or issued its audit report. </w:t>
      </w:r>
      <w:r>
        <w:rPr>
          <w:rFonts w:ascii="Wingdings" w:cs="Wingdings" w:eastAsia="Wingdings" w:hAnsi="Wingdings"/>
          <w:sz w:val="18"/>
          <w:szCs w:val="18"/>
          <w:b w:val="1"/>
          <w:bCs w:val="1"/>
          <w:color w:val="auto"/>
        </w:rPr>
        <w:t>o</w:t>
      </w:r>
    </w:p>
    <w:p>
      <w:pPr>
        <w:sectPr>
          <w:pgSz w:w="11900" w:h="16838" w:orient="portrait"/>
          <w:cols w:equalWidth="0" w:num="1">
            <w:col w:w="11240"/>
          </w:cols>
          <w:pgMar w:left="320" w:top="229" w:right="339" w:bottom="0" w:gutter="0" w:footer="0" w:header="0"/>
          <w:type w:val="continuous"/>
        </w:sectPr>
      </w:pPr>
    </w:p>
    <w:bookmarkStart w:id="1" w:name="page2"/>
    <w:bookmarkEnd w:id="1"/>
    <w:p>
      <w:pPr>
        <w:jc w:val="both"/>
        <w:spacing w:after="0" w:line="240"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8"/>
          <w:szCs w:val="18"/>
          <w:color w:val="auto"/>
        </w:rPr>
        <w:t>☐</w:t>
      </w:r>
    </w:p>
    <w:p>
      <w:pPr>
        <w:spacing w:after="0" w:line="116" w:lineRule="exact"/>
        <w:rPr>
          <w:sz w:val="20"/>
          <w:szCs w:val="20"/>
          <w:color w:val="auto"/>
        </w:rPr>
      </w:pPr>
    </w:p>
    <w:p>
      <w:pPr>
        <w:jc w:val="both"/>
        <w:spacing w:after="0" w:line="240" w:lineRule="exact"/>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8"/>
          <w:szCs w:val="18"/>
          <w:color w:val="auto"/>
        </w:rPr>
        <w:t>ﬃ</w:t>
      </w:r>
      <w:r>
        <w:rPr>
          <w:rFonts w:ascii="Times New Roman" w:cs="Times New Roman" w:eastAsia="Times New Roman" w:hAnsi="Times New Roman"/>
          <w:sz w:val="18"/>
          <w:szCs w:val="18"/>
          <w:color w:val="auto"/>
        </w:rPr>
        <w:t xml:space="preserve">cers during the relevant recovery period pursuant to §240.10D-1(b). </w:t>
      </w:r>
      <w:r>
        <w:rPr>
          <w:rFonts w:ascii="Arial Unicode MS" w:cs="Arial Unicode MS" w:eastAsia="Arial Unicode MS" w:hAnsi="Arial Unicode MS"/>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voting common stock held by non-affiliates of the registrant (assuming for purposes of this calculation, without conceding, that all executive officers and directors are “affiliates”) was approximately $96 million as of June 30, 2023, based on the closing sale price of such stock as reported on the Nasdaq Global Select Market.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26,053,551 shares of Class A common stock as of February 20, 2024.</w:t>
      </w:r>
    </w:p>
    <w:p>
      <w:pPr>
        <w:spacing w:after="0" w:line="16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 III incorporates information by reference from the registrant’s definitive proxy statement to be filed with the Securities and Exchange Commission pursuant to Regulation 14A, not later than 120 days after the end of the fiscal year covered by this Annual Report on Form 10-K, in connection with the registrant’s 2024 Annual Meeting of Stockholders (the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813435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20" w:type="dxa"/>
            <w:vAlign w:val="bottom"/>
            <w:gridSpan w:val="9"/>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4"/>
        </w:trPr>
        <w:tc>
          <w:tcPr>
            <w:tcW w:w="20" w:type="dxa"/>
            <w:vAlign w:val="bottom"/>
          </w:tcPr>
          <w:p>
            <w:pPr>
              <w:spacing w:after="0"/>
              <w:rPr>
                <w:sz w:val="16"/>
                <w:szCs w:val="16"/>
                <w:color w:val="auto"/>
              </w:rPr>
            </w:pPr>
          </w:p>
        </w:tc>
        <w:tc>
          <w:tcPr>
            <w:tcW w:w="9840" w:type="dxa"/>
            <w:vAlign w:val="bottom"/>
            <w:gridSpan w:val="29"/>
          </w:tcPr>
          <w:p>
            <w:pPr>
              <w:spacing w:after="0" w:line="194" w:lineRule="exact"/>
              <w:rPr>
                <w:sz w:val="20"/>
                <w:szCs w:val="20"/>
                <w:color w:val="auto"/>
              </w:rPr>
            </w:pPr>
            <w:r>
              <w:rPr>
                <w:rFonts w:ascii="Times New Roman" w:cs="Times New Roman" w:eastAsia="Times New Roman" w:hAnsi="Times New Roman"/>
                <w:sz w:val="18"/>
                <w:szCs w:val="18"/>
                <w:color w:val="0000FF"/>
              </w:rPr>
              <w:t>Cautionary Note Regarding Forward Looking Statements</w:t>
            </w:r>
          </w:p>
        </w:tc>
        <w:tc>
          <w:tcPr>
            <w:tcW w:w="1380" w:type="dxa"/>
            <w:vAlign w:val="bottom"/>
          </w:tcPr>
          <w:p>
            <w:pPr>
              <w:jc w:val="center"/>
              <w:ind w:left="690"/>
              <w:spacing w:after="0" w:line="194" w:lineRule="exact"/>
              <w:rPr>
                <w:sz w:val="20"/>
                <w:szCs w:val="20"/>
                <w:color w:val="auto"/>
              </w:rPr>
            </w:pPr>
            <w:r>
              <w:rPr>
                <w:rFonts w:ascii="Times New Roman" w:cs="Times New Roman" w:eastAsia="Times New Roman" w:hAnsi="Times New Roman"/>
                <w:sz w:val="18"/>
                <w:szCs w:val="18"/>
                <w:color w:val="auto"/>
                <w:w w:val="88"/>
              </w:rPr>
              <w:t>3</w:t>
            </w:r>
          </w:p>
        </w:tc>
      </w:tr>
      <w:tr>
        <w:trPr>
          <w:trHeight w:val="502"/>
        </w:trPr>
        <w:tc>
          <w:tcPr>
            <w:tcW w:w="20" w:type="dxa"/>
            <w:vAlign w:val="bottom"/>
          </w:tcPr>
          <w:p>
            <w:pPr>
              <w:spacing w:after="0"/>
              <w:rPr>
                <w:sz w:val="24"/>
                <w:szCs w:val="24"/>
                <w:color w:val="auto"/>
              </w:rPr>
            </w:pPr>
          </w:p>
        </w:tc>
        <w:tc>
          <w:tcPr>
            <w:tcW w:w="6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Borders>
              <w:bottom w:val="single" w:sz="8" w:color="0000FF"/>
            </w:tcBorders>
          </w:tcPr>
          <w:p>
            <w:pPr>
              <w:ind w:left="20"/>
              <w:spacing w:after="0" w:line="174" w:lineRule="exact"/>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tcPr>
          <w:p>
            <w:pPr>
              <w:ind w:left="20"/>
              <w:spacing w:after="0" w:line="174" w:lineRule="exact"/>
              <w:rPr>
                <w:sz w:val="20"/>
                <w:szCs w:val="20"/>
                <w:color w:val="auto"/>
              </w:rPr>
            </w:pPr>
            <w:r>
              <w:rPr>
                <w:rFonts w:ascii="Times New Roman" w:cs="Times New Roman" w:eastAsia="Times New Roman" w:hAnsi="Times New Roman"/>
                <w:sz w:val="18"/>
                <w:szCs w:val="18"/>
                <w:color w:val="0000FF"/>
              </w:rPr>
              <w:t>1.</w:t>
            </w:r>
          </w:p>
        </w:tc>
        <w:tc>
          <w:tcPr>
            <w:tcW w:w="660" w:type="dxa"/>
            <w:vAlign w:val="bottom"/>
            <w:tcBorders>
              <w:bottom w:val="single" w:sz="8" w:color="0000FF"/>
            </w:tcBorders>
            <w:gridSpan w:val="2"/>
          </w:tcPr>
          <w:p>
            <w:pPr>
              <w:ind w:left="20"/>
              <w:spacing w:after="0" w:line="174" w:lineRule="exact"/>
              <w:rPr>
                <w:sz w:val="20"/>
                <w:szCs w:val="20"/>
                <w:color w:val="auto"/>
              </w:rPr>
            </w:pPr>
            <w:r>
              <w:rPr>
                <w:rFonts w:ascii="Times New Roman" w:cs="Times New Roman" w:eastAsia="Times New Roman" w:hAnsi="Times New Roman"/>
                <w:sz w:val="18"/>
                <w:szCs w:val="18"/>
                <w:color w:val="0000FF"/>
                <w:w w:val="96"/>
              </w:rPr>
              <w:t>Business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80" w:type="dxa"/>
            <w:vAlign w:val="bottom"/>
          </w:tcPr>
          <w:p>
            <w:pPr>
              <w:jc w:val="center"/>
              <w:ind w:left="690"/>
              <w:spacing w:after="0" w:line="188" w:lineRule="exact"/>
              <w:rPr>
                <w:sz w:val="20"/>
                <w:szCs w:val="20"/>
                <w:color w:val="auto"/>
              </w:rPr>
            </w:pPr>
            <w:r>
              <w:rPr>
                <w:rFonts w:ascii="Times New Roman" w:cs="Times New Roman" w:eastAsia="Times New Roman" w:hAnsi="Times New Roman"/>
                <w:sz w:val="18"/>
                <w:szCs w:val="18"/>
                <w:color w:val="auto"/>
                <w:w w:val="88"/>
              </w:rPr>
              <w:t>4</w:t>
            </w: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24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1A. Risk Factors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19</w:t>
            </w: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238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1B. Unresolved Staff Comments</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56</w:t>
            </w: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34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1C. Cybersecurity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56</w:t>
            </w:r>
          </w:p>
        </w:tc>
      </w:tr>
      <w:tr>
        <w:trPr>
          <w:trHeight w:val="236"/>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rPr>
              <w:t>2.</w:t>
            </w:r>
          </w:p>
        </w:tc>
        <w:tc>
          <w:tcPr>
            <w:tcW w:w="76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Properties</w:t>
            </w:r>
          </w:p>
        </w:tc>
        <w:tc>
          <w:tcPr>
            <w:tcW w:w="600" w:type="dxa"/>
            <w:vAlign w:val="bottom"/>
            <w:gridSpan w:val="3"/>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57</w:t>
            </w:r>
          </w:p>
        </w:tc>
      </w:tr>
      <w:tr>
        <w:trPr>
          <w:trHeight w:val="236"/>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136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57</w:t>
            </w: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rPr>
              <w:t>4.</w:t>
            </w:r>
          </w:p>
        </w:tc>
        <w:tc>
          <w:tcPr>
            <w:tcW w:w="180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57</w:t>
            </w:r>
          </w:p>
        </w:tc>
      </w:tr>
      <w:tr>
        <w:trPr>
          <w:trHeight w:val="529"/>
        </w:trPr>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Borders>
              <w:bottom w:val="single" w:sz="8" w:color="0000FF"/>
            </w:tcBorders>
          </w:tcPr>
          <w:p>
            <w:pPr>
              <w:ind w:left="20"/>
              <w:spacing w:after="0" w:line="174" w:lineRule="exact"/>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tcPr>
          <w:p>
            <w:pPr>
              <w:ind w:left="20"/>
              <w:spacing w:after="0" w:line="174" w:lineRule="exact"/>
              <w:rPr>
                <w:sz w:val="20"/>
                <w:szCs w:val="20"/>
                <w:color w:val="auto"/>
              </w:rPr>
            </w:pPr>
            <w:r>
              <w:rPr>
                <w:rFonts w:ascii="Times New Roman" w:cs="Times New Roman" w:eastAsia="Times New Roman" w:hAnsi="Times New Roman"/>
                <w:sz w:val="18"/>
                <w:szCs w:val="18"/>
                <w:color w:val="0000FF"/>
              </w:rPr>
              <w:t>5.</w:t>
            </w:r>
          </w:p>
        </w:tc>
        <w:tc>
          <w:tcPr>
            <w:tcW w:w="8080" w:type="dxa"/>
            <w:vAlign w:val="bottom"/>
            <w:tcBorders>
              <w:bottom w:val="single" w:sz="8" w:color="0000FF"/>
            </w:tcBorders>
            <w:gridSpan w:val="25"/>
          </w:tcPr>
          <w:p>
            <w:pPr>
              <w:ind w:left="20"/>
              <w:spacing w:after="0" w:line="17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900" w:type="dxa"/>
            <w:vAlign w:val="bottom"/>
          </w:tcPr>
          <w:p>
            <w:pPr>
              <w:spacing w:after="0"/>
              <w:rPr>
                <w:sz w:val="16"/>
                <w:szCs w:val="16"/>
                <w:color w:val="auto"/>
              </w:rPr>
            </w:pPr>
          </w:p>
        </w:tc>
        <w:tc>
          <w:tcPr>
            <w:tcW w:w="1380" w:type="dxa"/>
            <w:vAlign w:val="bottom"/>
          </w:tcPr>
          <w:p>
            <w:pPr>
              <w:jc w:val="center"/>
              <w:ind w:left="710"/>
              <w:spacing w:after="0" w:line="194" w:lineRule="exact"/>
              <w:rPr>
                <w:sz w:val="20"/>
                <w:szCs w:val="20"/>
                <w:color w:val="auto"/>
              </w:rPr>
            </w:pPr>
            <w:r>
              <w:rPr>
                <w:rFonts w:ascii="Times New Roman" w:cs="Times New Roman" w:eastAsia="Times New Roman" w:hAnsi="Times New Roman"/>
                <w:sz w:val="18"/>
                <w:szCs w:val="18"/>
                <w:color w:val="auto"/>
                <w:w w:val="99"/>
              </w:rPr>
              <w:t>58</w:t>
            </w: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rPr>
              <w:t>6.</w:t>
            </w:r>
          </w:p>
        </w:tc>
        <w:tc>
          <w:tcPr>
            <w:tcW w:w="70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8"/>
              </w:rPr>
              <w:t>Reserved</w:t>
            </w:r>
          </w:p>
        </w:tc>
        <w:tc>
          <w:tcPr>
            <w:tcW w:w="760" w:type="dxa"/>
            <w:vAlign w:val="bottom"/>
            <w:gridSpan w:val="5"/>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gridSpan w:val="2"/>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58</w:t>
            </w: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rPr>
              <w:t>7.</w:t>
            </w:r>
          </w:p>
        </w:tc>
        <w:tc>
          <w:tcPr>
            <w:tcW w:w="6460" w:type="dxa"/>
            <w:vAlign w:val="bottom"/>
            <w:tcBorders>
              <w:bottom w:val="single" w:sz="8" w:color="0000FF"/>
            </w:tcBorders>
            <w:gridSpan w:val="22"/>
          </w:tcPr>
          <w:p>
            <w:pPr>
              <w:ind w:left="20"/>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gridSpan w:val="2"/>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59</w:t>
            </w:r>
          </w:p>
        </w:tc>
      </w:tr>
      <w:tr>
        <w:trPr>
          <w:trHeight w:val="236"/>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4700" w:type="dxa"/>
            <w:vAlign w:val="bottom"/>
            <w:tcBorders>
              <w:bottom w:val="single" w:sz="8" w:color="0000FF"/>
            </w:tcBorders>
            <w:gridSpan w:val="20"/>
          </w:tcPr>
          <w:p>
            <w:pPr>
              <w:ind w:left="20"/>
              <w:spacing w:after="0"/>
              <w:rPr>
                <w:sz w:val="20"/>
                <w:szCs w:val="20"/>
                <w:color w:val="auto"/>
              </w:rPr>
            </w:pPr>
            <w:r>
              <w:rPr>
                <w:rFonts w:ascii="Times New Roman" w:cs="Times New Roman" w:eastAsia="Times New Roman" w:hAnsi="Times New Roman"/>
                <w:sz w:val="18"/>
                <w:szCs w:val="18"/>
                <w:color w:val="0000FF"/>
                <w:w w:val="99"/>
              </w:rPr>
              <w:t>7A. Quantitative and Qualitative Disclosures About Market Risk</w:t>
            </w: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gridSpan w:val="2"/>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70</w:t>
            </w:r>
          </w:p>
        </w:tc>
      </w:tr>
      <w:tr>
        <w:trPr>
          <w:trHeight w:val="236"/>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rPr>
              <w:t>8.</w:t>
            </w:r>
          </w:p>
        </w:tc>
        <w:tc>
          <w:tcPr>
            <w:tcW w:w="3360" w:type="dxa"/>
            <w:vAlign w:val="bottom"/>
            <w:tcBorders>
              <w:bottom w:val="single" w:sz="8" w:color="0000FF"/>
            </w:tcBorders>
            <w:gridSpan w:val="17"/>
          </w:tcPr>
          <w:p>
            <w:pPr>
              <w:ind w:left="20"/>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84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gridSpan w:val="2"/>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70</w:t>
            </w: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rPr>
              <w:t>9.</w:t>
            </w:r>
          </w:p>
        </w:tc>
        <w:tc>
          <w:tcPr>
            <w:tcW w:w="6600" w:type="dxa"/>
            <w:vAlign w:val="bottom"/>
            <w:tcBorders>
              <w:bottom w:val="single" w:sz="8" w:color="0000FF"/>
            </w:tcBorders>
            <w:gridSpan w:val="23"/>
          </w:tcPr>
          <w:p>
            <w:pPr>
              <w:ind w:left="20"/>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Disclosures</w:t>
            </w:r>
          </w:p>
        </w:tc>
        <w:tc>
          <w:tcPr>
            <w:tcW w:w="800" w:type="dxa"/>
            <w:vAlign w:val="bottom"/>
          </w:tcPr>
          <w:p>
            <w:pPr>
              <w:spacing w:after="0"/>
              <w:rPr>
                <w:sz w:val="20"/>
                <w:szCs w:val="20"/>
                <w:color w:val="auto"/>
              </w:rPr>
            </w:pPr>
          </w:p>
        </w:tc>
        <w:tc>
          <w:tcPr>
            <w:tcW w:w="1580" w:type="dxa"/>
            <w:vAlign w:val="bottom"/>
            <w:gridSpan w:val="2"/>
          </w:tcPr>
          <w:p>
            <w:pPr>
              <w:spacing w:after="0"/>
              <w:rPr>
                <w:sz w:val="20"/>
                <w:szCs w:val="20"/>
                <w:color w:val="auto"/>
              </w:rPr>
            </w:pPr>
          </w:p>
        </w:tc>
        <w:tc>
          <w:tcPr>
            <w:tcW w:w="13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107</w:t>
            </w: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2120" w:type="dxa"/>
            <w:vAlign w:val="bottom"/>
            <w:tcBorders>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w w:val="99"/>
              </w:rPr>
              <w:t>9A. Controls and Procedures</w:t>
            </w:r>
          </w:p>
        </w:tc>
        <w:tc>
          <w:tcPr>
            <w:tcW w:w="10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3"/>
          </w:tcPr>
          <w:p>
            <w:pPr>
              <w:spacing w:after="0"/>
              <w:rPr>
                <w:sz w:val="20"/>
                <w:szCs w:val="20"/>
                <w:color w:val="auto"/>
              </w:rPr>
            </w:pPr>
          </w:p>
        </w:tc>
        <w:tc>
          <w:tcPr>
            <w:tcW w:w="840" w:type="dxa"/>
            <w:vAlign w:val="bottom"/>
            <w:gridSpan w:val="2"/>
          </w:tcPr>
          <w:p>
            <w:pPr>
              <w:spacing w:after="0"/>
              <w:rPr>
                <w:sz w:val="20"/>
                <w:szCs w:val="20"/>
                <w:color w:val="auto"/>
              </w:rPr>
            </w:pPr>
          </w:p>
        </w:tc>
        <w:tc>
          <w:tcPr>
            <w:tcW w:w="520" w:type="dxa"/>
            <w:vAlign w:val="bottom"/>
          </w:tcPr>
          <w:p>
            <w:pPr>
              <w:spacing w:after="0"/>
              <w:rPr>
                <w:sz w:val="20"/>
                <w:szCs w:val="20"/>
                <w:color w:val="auto"/>
              </w:rPr>
            </w:pPr>
          </w:p>
        </w:tc>
        <w:tc>
          <w:tcPr>
            <w:tcW w:w="1840" w:type="dxa"/>
            <w:vAlign w:val="bottom"/>
            <w:gridSpan w:val="3"/>
          </w:tcPr>
          <w:p>
            <w:pPr>
              <w:spacing w:after="0"/>
              <w:rPr>
                <w:sz w:val="20"/>
                <w:szCs w:val="20"/>
                <w:color w:val="auto"/>
              </w:rPr>
            </w:pPr>
          </w:p>
        </w:tc>
        <w:tc>
          <w:tcPr>
            <w:tcW w:w="1580" w:type="dxa"/>
            <w:vAlign w:val="bottom"/>
            <w:gridSpan w:val="2"/>
          </w:tcPr>
          <w:p>
            <w:pPr>
              <w:spacing w:after="0"/>
              <w:rPr>
                <w:sz w:val="20"/>
                <w:szCs w:val="20"/>
                <w:color w:val="auto"/>
              </w:rPr>
            </w:pPr>
          </w:p>
        </w:tc>
        <w:tc>
          <w:tcPr>
            <w:tcW w:w="13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107</w:t>
            </w:r>
          </w:p>
        </w:tc>
      </w:tr>
      <w:tr>
        <w:trPr>
          <w:trHeight w:val="236"/>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64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9B. Other Information</w:t>
            </w:r>
          </w:p>
        </w:tc>
        <w:tc>
          <w:tcPr>
            <w:tcW w:w="20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106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3"/>
          </w:tcPr>
          <w:p>
            <w:pPr>
              <w:spacing w:after="0"/>
              <w:rPr>
                <w:sz w:val="20"/>
                <w:szCs w:val="20"/>
                <w:color w:val="auto"/>
              </w:rPr>
            </w:pPr>
          </w:p>
        </w:tc>
        <w:tc>
          <w:tcPr>
            <w:tcW w:w="840" w:type="dxa"/>
            <w:vAlign w:val="bottom"/>
            <w:gridSpan w:val="2"/>
          </w:tcPr>
          <w:p>
            <w:pPr>
              <w:spacing w:after="0"/>
              <w:rPr>
                <w:sz w:val="20"/>
                <w:szCs w:val="20"/>
                <w:color w:val="auto"/>
              </w:rPr>
            </w:pPr>
          </w:p>
        </w:tc>
        <w:tc>
          <w:tcPr>
            <w:tcW w:w="520" w:type="dxa"/>
            <w:vAlign w:val="bottom"/>
          </w:tcPr>
          <w:p>
            <w:pPr>
              <w:spacing w:after="0"/>
              <w:rPr>
                <w:sz w:val="20"/>
                <w:szCs w:val="20"/>
                <w:color w:val="auto"/>
              </w:rPr>
            </w:pPr>
          </w:p>
        </w:tc>
        <w:tc>
          <w:tcPr>
            <w:tcW w:w="1840" w:type="dxa"/>
            <w:vAlign w:val="bottom"/>
            <w:gridSpan w:val="3"/>
          </w:tcPr>
          <w:p>
            <w:pPr>
              <w:spacing w:after="0"/>
              <w:rPr>
                <w:sz w:val="20"/>
                <w:szCs w:val="20"/>
                <w:color w:val="auto"/>
              </w:rPr>
            </w:pPr>
          </w:p>
        </w:tc>
        <w:tc>
          <w:tcPr>
            <w:tcW w:w="1580" w:type="dxa"/>
            <w:vAlign w:val="bottom"/>
            <w:gridSpan w:val="2"/>
          </w:tcPr>
          <w:p>
            <w:pPr>
              <w:spacing w:after="0"/>
              <w:rPr>
                <w:sz w:val="20"/>
                <w:szCs w:val="20"/>
                <w:color w:val="auto"/>
              </w:rPr>
            </w:pPr>
          </w:p>
        </w:tc>
        <w:tc>
          <w:tcPr>
            <w:tcW w:w="13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109</w:t>
            </w:r>
          </w:p>
        </w:tc>
      </w:tr>
      <w:tr>
        <w:trPr>
          <w:trHeight w:val="236"/>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5220" w:type="dxa"/>
            <w:vAlign w:val="bottom"/>
            <w:tcBorders>
              <w:bottom w:val="single" w:sz="8" w:color="0000FF"/>
            </w:tcBorders>
            <w:gridSpan w:val="21"/>
          </w:tcPr>
          <w:p>
            <w:pPr>
              <w:ind w:left="20"/>
              <w:spacing w:after="0"/>
              <w:rPr>
                <w:sz w:val="20"/>
                <w:szCs w:val="20"/>
                <w:color w:val="auto"/>
              </w:rPr>
            </w:pPr>
            <w:r>
              <w:rPr>
                <w:rFonts w:ascii="Times New Roman" w:cs="Times New Roman" w:eastAsia="Times New Roman" w:hAnsi="Times New Roman"/>
                <w:sz w:val="18"/>
                <w:szCs w:val="18"/>
                <w:color w:val="0000FF"/>
                <w:w w:val="99"/>
              </w:rPr>
              <w:t>9C. Disclosure Regarding Foreign Jurisdictions that Prevent Inspections</w:t>
            </w:r>
          </w:p>
        </w:tc>
        <w:tc>
          <w:tcPr>
            <w:tcW w:w="520" w:type="dxa"/>
            <w:vAlign w:val="bottom"/>
          </w:tcPr>
          <w:p>
            <w:pPr>
              <w:spacing w:after="0"/>
              <w:rPr>
                <w:sz w:val="20"/>
                <w:szCs w:val="20"/>
                <w:color w:val="auto"/>
              </w:rPr>
            </w:pPr>
          </w:p>
        </w:tc>
        <w:tc>
          <w:tcPr>
            <w:tcW w:w="1840" w:type="dxa"/>
            <w:vAlign w:val="bottom"/>
            <w:gridSpan w:val="3"/>
          </w:tcPr>
          <w:p>
            <w:pPr>
              <w:spacing w:after="0"/>
              <w:rPr>
                <w:sz w:val="20"/>
                <w:szCs w:val="20"/>
                <w:color w:val="auto"/>
              </w:rPr>
            </w:pPr>
          </w:p>
        </w:tc>
        <w:tc>
          <w:tcPr>
            <w:tcW w:w="1580" w:type="dxa"/>
            <w:vAlign w:val="bottom"/>
            <w:gridSpan w:val="2"/>
          </w:tcPr>
          <w:p>
            <w:pPr>
              <w:spacing w:after="0"/>
              <w:rPr>
                <w:sz w:val="20"/>
                <w:szCs w:val="20"/>
                <w:color w:val="auto"/>
              </w:rPr>
            </w:pPr>
          </w:p>
        </w:tc>
        <w:tc>
          <w:tcPr>
            <w:tcW w:w="13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109</w:t>
            </w:r>
          </w:p>
        </w:tc>
      </w:tr>
      <w:tr>
        <w:trPr>
          <w:trHeight w:val="529"/>
        </w:trPr>
        <w:tc>
          <w:tcPr>
            <w:tcW w:w="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Borders>
              <w:bottom w:val="single" w:sz="8" w:color="0000FF"/>
            </w:tcBorders>
          </w:tcPr>
          <w:p>
            <w:pPr>
              <w:ind w:left="20"/>
              <w:spacing w:after="0" w:line="174" w:lineRule="exact"/>
              <w:rPr>
                <w:sz w:val="20"/>
                <w:szCs w:val="20"/>
                <w:color w:val="auto"/>
              </w:rPr>
            </w:pPr>
            <w:r>
              <w:rPr>
                <w:rFonts w:ascii="Times New Roman" w:cs="Times New Roman" w:eastAsia="Times New Roman" w:hAnsi="Times New Roman"/>
                <w:sz w:val="18"/>
                <w:szCs w:val="18"/>
                <w:color w:val="0000FF"/>
                <w:w w:val="96"/>
              </w:rPr>
              <w:t>Item</w:t>
            </w:r>
          </w:p>
        </w:tc>
        <w:tc>
          <w:tcPr>
            <w:tcW w:w="4380" w:type="dxa"/>
            <w:vAlign w:val="bottom"/>
            <w:tcBorders>
              <w:bottom w:val="single" w:sz="8" w:color="0000FF"/>
            </w:tcBorders>
            <w:gridSpan w:val="19"/>
          </w:tcPr>
          <w:p>
            <w:pPr>
              <w:ind w:left="20"/>
              <w:spacing w:after="0" w:line="174" w:lineRule="exact"/>
              <w:rPr>
                <w:sz w:val="20"/>
                <w:szCs w:val="20"/>
                <w:color w:val="auto"/>
              </w:rPr>
            </w:pPr>
            <w:r>
              <w:rPr>
                <w:rFonts w:ascii="Times New Roman" w:cs="Times New Roman" w:eastAsia="Times New Roman" w:hAnsi="Times New Roman"/>
                <w:sz w:val="18"/>
                <w:szCs w:val="18"/>
                <w:color w:val="0000FF"/>
                <w:w w:val="99"/>
              </w:rPr>
              <w:t>10. Directors, Executive Officers and Corporate Governance</w:t>
            </w:r>
          </w:p>
        </w:tc>
        <w:tc>
          <w:tcPr>
            <w:tcW w:w="1360" w:type="dxa"/>
            <w:vAlign w:val="bottom"/>
            <w:gridSpan w:val="3"/>
          </w:tcPr>
          <w:p>
            <w:pPr>
              <w:spacing w:after="0"/>
              <w:rPr>
                <w:sz w:val="16"/>
                <w:szCs w:val="16"/>
                <w:color w:val="auto"/>
              </w:rPr>
            </w:pPr>
          </w:p>
        </w:tc>
        <w:tc>
          <w:tcPr>
            <w:tcW w:w="1840" w:type="dxa"/>
            <w:vAlign w:val="bottom"/>
            <w:gridSpan w:val="3"/>
          </w:tcPr>
          <w:p>
            <w:pPr>
              <w:spacing w:after="0"/>
              <w:rPr>
                <w:sz w:val="16"/>
                <w:szCs w:val="16"/>
                <w:color w:val="auto"/>
              </w:rPr>
            </w:pPr>
          </w:p>
        </w:tc>
        <w:tc>
          <w:tcPr>
            <w:tcW w:w="1580" w:type="dxa"/>
            <w:vAlign w:val="bottom"/>
            <w:gridSpan w:val="2"/>
          </w:tcPr>
          <w:p>
            <w:pPr>
              <w:spacing w:after="0"/>
              <w:rPr>
                <w:sz w:val="16"/>
                <w:szCs w:val="16"/>
                <w:color w:val="auto"/>
              </w:rPr>
            </w:pPr>
          </w:p>
        </w:tc>
        <w:tc>
          <w:tcPr>
            <w:tcW w:w="1380" w:type="dxa"/>
            <w:vAlign w:val="bottom"/>
          </w:tcPr>
          <w:p>
            <w:pPr>
              <w:jc w:val="center"/>
              <w:ind w:left="710"/>
              <w:spacing w:after="0" w:line="194" w:lineRule="exact"/>
              <w:rPr>
                <w:sz w:val="20"/>
                <w:szCs w:val="20"/>
                <w:color w:val="auto"/>
              </w:rPr>
            </w:pPr>
            <w:r>
              <w:rPr>
                <w:rFonts w:ascii="Times New Roman" w:cs="Times New Roman" w:eastAsia="Times New Roman" w:hAnsi="Times New Roman"/>
                <w:sz w:val="18"/>
                <w:szCs w:val="18"/>
                <w:color w:val="auto"/>
                <w:w w:val="96"/>
              </w:rPr>
              <w:t>110</w:t>
            </w: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210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11. Executive Compensation</w:t>
            </w:r>
          </w:p>
        </w:tc>
        <w:tc>
          <w:tcPr>
            <w:tcW w:w="106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gridSpan w:val="6"/>
          </w:tcPr>
          <w:p>
            <w:pPr>
              <w:spacing w:after="0"/>
              <w:rPr>
                <w:sz w:val="20"/>
                <w:szCs w:val="20"/>
                <w:color w:val="auto"/>
              </w:rPr>
            </w:pPr>
          </w:p>
        </w:tc>
        <w:tc>
          <w:tcPr>
            <w:tcW w:w="1840" w:type="dxa"/>
            <w:vAlign w:val="bottom"/>
            <w:gridSpan w:val="3"/>
          </w:tcPr>
          <w:p>
            <w:pPr>
              <w:spacing w:after="0"/>
              <w:rPr>
                <w:sz w:val="20"/>
                <w:szCs w:val="20"/>
                <w:color w:val="auto"/>
              </w:rPr>
            </w:pPr>
          </w:p>
        </w:tc>
        <w:tc>
          <w:tcPr>
            <w:tcW w:w="1580" w:type="dxa"/>
            <w:vAlign w:val="bottom"/>
            <w:gridSpan w:val="2"/>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6"/>
              </w:rPr>
              <w:t>110</w:t>
            </w:r>
          </w:p>
        </w:tc>
      </w:tr>
      <w:tr>
        <w:trPr>
          <w:trHeight w:val="236"/>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7580" w:type="dxa"/>
            <w:vAlign w:val="bottom"/>
            <w:tcBorders>
              <w:bottom w:val="single" w:sz="8" w:color="0000FF"/>
            </w:tcBorders>
            <w:gridSpan w:val="25"/>
          </w:tcPr>
          <w:p>
            <w:pPr>
              <w:ind w:left="20"/>
              <w:spacing w:after="0"/>
              <w:rPr>
                <w:sz w:val="20"/>
                <w:szCs w:val="20"/>
                <w:color w:val="auto"/>
              </w:rPr>
            </w:pPr>
            <w:r>
              <w:rPr>
                <w:rFonts w:ascii="Times New Roman" w:cs="Times New Roman" w:eastAsia="Times New Roman" w:hAnsi="Times New Roman"/>
                <w:sz w:val="18"/>
                <w:szCs w:val="18"/>
                <w:color w:val="0000FF"/>
                <w:w w:val="99"/>
              </w:rPr>
              <w:t>12. Security Ownership of Certain Beneficial Owners and Management and Related Stockholder Matters</w:t>
            </w:r>
          </w:p>
        </w:tc>
        <w:tc>
          <w:tcPr>
            <w:tcW w:w="1580" w:type="dxa"/>
            <w:vAlign w:val="bottom"/>
            <w:gridSpan w:val="2"/>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6"/>
              </w:rPr>
              <w:t>110</w:t>
            </w: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5740" w:type="dxa"/>
            <w:vAlign w:val="bottom"/>
            <w:tcBorders>
              <w:bottom w:val="single" w:sz="8" w:color="0000FF"/>
            </w:tcBorders>
            <w:gridSpan w:val="22"/>
          </w:tcPr>
          <w:p>
            <w:pPr>
              <w:ind w:left="20"/>
              <w:spacing w:after="0"/>
              <w:rPr>
                <w:sz w:val="20"/>
                <w:szCs w:val="20"/>
                <w:color w:val="auto"/>
              </w:rPr>
            </w:pPr>
            <w:r>
              <w:rPr>
                <w:rFonts w:ascii="Times New Roman" w:cs="Times New Roman" w:eastAsia="Times New Roman" w:hAnsi="Times New Roman"/>
                <w:sz w:val="18"/>
                <w:szCs w:val="18"/>
                <w:color w:val="0000FF"/>
                <w:w w:val="99"/>
              </w:rPr>
              <w:t>13. Certain Relationships and Related Transactions, and Director Independence</w:t>
            </w:r>
          </w:p>
        </w:tc>
        <w:tc>
          <w:tcPr>
            <w:tcW w:w="3420" w:type="dxa"/>
            <w:vAlign w:val="bottom"/>
            <w:gridSpan w:val="5"/>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6"/>
              </w:rPr>
              <w:t>110</w:t>
            </w:r>
          </w:p>
        </w:tc>
      </w:tr>
      <w:tr>
        <w:trPr>
          <w:trHeight w:val="236"/>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3160" w:type="dxa"/>
            <w:vAlign w:val="bottom"/>
            <w:tcBorders>
              <w:bottom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w w:val="99"/>
              </w:rPr>
              <w:t>14. Principal Accounting Fees and Services</w:t>
            </w:r>
          </w:p>
        </w:tc>
        <w:tc>
          <w:tcPr>
            <w:tcW w:w="40" w:type="dxa"/>
            <w:vAlign w:val="bottom"/>
          </w:tcPr>
          <w:p>
            <w:pPr>
              <w:spacing w:after="0"/>
              <w:rPr>
                <w:sz w:val="20"/>
                <w:szCs w:val="20"/>
                <w:color w:val="auto"/>
              </w:rPr>
            </w:pPr>
          </w:p>
        </w:tc>
        <w:tc>
          <w:tcPr>
            <w:tcW w:w="5960" w:type="dxa"/>
            <w:vAlign w:val="bottom"/>
            <w:gridSpan w:val="11"/>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6"/>
              </w:rPr>
              <w:t>110</w:t>
            </w:r>
          </w:p>
        </w:tc>
      </w:tr>
      <w:tr>
        <w:trPr>
          <w:trHeight w:val="529"/>
        </w:trPr>
        <w:tc>
          <w:tcPr>
            <w:tcW w:w="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Borders>
              <w:bottom w:val="single" w:sz="8" w:color="0000FF"/>
            </w:tcBorders>
          </w:tcPr>
          <w:p>
            <w:pPr>
              <w:ind w:left="20"/>
              <w:spacing w:after="0" w:line="174" w:lineRule="exact"/>
              <w:rPr>
                <w:sz w:val="20"/>
                <w:szCs w:val="20"/>
                <w:color w:val="auto"/>
              </w:rPr>
            </w:pPr>
            <w:r>
              <w:rPr>
                <w:rFonts w:ascii="Times New Roman" w:cs="Times New Roman" w:eastAsia="Times New Roman" w:hAnsi="Times New Roman"/>
                <w:sz w:val="18"/>
                <w:szCs w:val="18"/>
                <w:color w:val="0000FF"/>
                <w:w w:val="96"/>
              </w:rPr>
              <w:t>Item</w:t>
            </w:r>
          </w:p>
        </w:tc>
        <w:tc>
          <w:tcPr>
            <w:tcW w:w="3200" w:type="dxa"/>
            <w:vAlign w:val="bottom"/>
            <w:tcBorders>
              <w:bottom w:val="single" w:sz="8" w:color="0000FF"/>
            </w:tcBorders>
            <w:gridSpan w:val="16"/>
          </w:tcPr>
          <w:p>
            <w:pPr>
              <w:ind w:left="20"/>
              <w:spacing w:after="0" w:line="174" w:lineRule="exact"/>
              <w:rPr>
                <w:sz w:val="20"/>
                <w:szCs w:val="20"/>
                <w:color w:val="auto"/>
              </w:rPr>
            </w:pPr>
            <w:r>
              <w:rPr>
                <w:rFonts w:ascii="Times New Roman" w:cs="Times New Roman" w:eastAsia="Times New Roman" w:hAnsi="Times New Roman"/>
                <w:sz w:val="18"/>
                <w:szCs w:val="18"/>
                <w:color w:val="0000FF"/>
                <w:w w:val="99"/>
              </w:rPr>
              <w:t>15. Exhibits, Financial Statement Schedules</w:t>
            </w:r>
          </w:p>
        </w:tc>
        <w:tc>
          <w:tcPr>
            <w:tcW w:w="5960" w:type="dxa"/>
            <w:vAlign w:val="bottom"/>
            <w:gridSpan w:val="11"/>
          </w:tcPr>
          <w:p>
            <w:pPr>
              <w:spacing w:after="0"/>
              <w:rPr>
                <w:sz w:val="16"/>
                <w:szCs w:val="16"/>
                <w:color w:val="auto"/>
              </w:rPr>
            </w:pPr>
          </w:p>
        </w:tc>
        <w:tc>
          <w:tcPr>
            <w:tcW w:w="1380" w:type="dxa"/>
            <w:vAlign w:val="bottom"/>
          </w:tcPr>
          <w:p>
            <w:pPr>
              <w:jc w:val="center"/>
              <w:ind w:left="710"/>
              <w:spacing w:after="0" w:line="194" w:lineRule="exact"/>
              <w:rPr>
                <w:sz w:val="20"/>
                <w:szCs w:val="20"/>
                <w:color w:val="auto"/>
              </w:rPr>
            </w:pPr>
            <w:r>
              <w:rPr>
                <w:rFonts w:ascii="Times New Roman" w:cs="Times New Roman" w:eastAsia="Times New Roman" w:hAnsi="Times New Roman"/>
                <w:sz w:val="18"/>
                <w:szCs w:val="18"/>
                <w:color w:val="auto"/>
                <w:w w:val="96"/>
              </w:rPr>
              <w:t>111</w:t>
            </w: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84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8"/>
              </w:rPr>
              <w:t>16. Form 10-K Summary</w:t>
            </w:r>
          </w:p>
        </w:tc>
        <w:tc>
          <w:tcPr>
            <w:tcW w:w="7320" w:type="dxa"/>
            <w:vAlign w:val="bottom"/>
            <w:gridSpan w:val="17"/>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6"/>
              </w:rPr>
              <w:t>114</w:t>
            </w:r>
          </w:p>
        </w:tc>
      </w:tr>
      <w:tr>
        <w:trPr>
          <w:trHeight w:val="236"/>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4"/>
              </w:rPr>
              <w:t>Signatures</w:t>
            </w:r>
          </w:p>
        </w:tc>
        <w:tc>
          <w:tcPr>
            <w:tcW w:w="8760" w:type="dxa"/>
            <w:vAlign w:val="bottom"/>
            <w:gridSpan w:val="25"/>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6"/>
              </w:rPr>
              <w:t>115</w:t>
            </w:r>
          </w:p>
        </w:tc>
      </w:tr>
      <w:tr>
        <w:trPr>
          <w:trHeight w:val="1742"/>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38" w:lineRule="exact"/>
        <w:rPr>
          <w:sz w:val="20"/>
          <w:szCs w:val="20"/>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and future capital requirements to finance our operating requirements, and capital expenditures;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incurring losses, and becoming profitable on a sustained basis;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arising from general economic and political conditions such as recessions, rising inflation and interest rates, supply chain interruptions and manufacturing constraints, public health emergencies such as but not limited to the COVID-19 pandemic, natural disasters, acts of terrorism or other uncontrollable events;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scale to profitability, our plans to pursue a new strategic direction, and the cost savings and impact on our gross margins from exiting our reproductive and women’s business and our somatic tumor testing business;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business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service, collaboration and other partnership agreements;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scale, market and sell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or authorizations by the U.S. Food and Drug Administration (the “FDA”), or other regulatory authorities;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governmental regulation and other legal obligations, including privacy, data protection, information security, consumer protection, and anti-corruption and anti-bribery;</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existing and emerging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payor reimbursement and coverage decisions, negotiations and settlements;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service providers for our data programs;</w:t>
      </w:r>
    </w:p>
    <w:p>
      <w:pPr>
        <w:spacing w:after="0" w:line="9"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estimates and judgments, including our expectations regarding the adequacy of our reserves for third party payor claims, our estimates of the fair value of the second Milestone Payment (as defined below) related to the Acquisition (as defined below) and our conclusions regarding the appropriateness of the carrying value of intangible assets;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description of our business and operations below reflect the exits from the somatic tumor testing and the reproductive and women’s health testing businesses during the fourth quarter of 2022 and the first quarter of 2023,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in this Annual Report or the context otherwise requires, references to:</w:t>
      </w:r>
    </w:p>
    <w:p>
      <w:pPr>
        <w:spacing w:after="0" w:line="17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“GeneDx Holdings” refer to GeneDx Holdings Corp., a Delaware corporation (f/k/a Sema4 Holdings Corp. (“Sema4 Holdings”));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GeneDx” refer to GeneDx, LLC, a Delaware limited liability company (formerly, GeneDx, Inc., a New Jersey corporation), which we acquired on April 29, 2022 (the “Acquisition”);</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Sema4” refer to Mount Sinai Genomics, Inc. d/b/a as Sema4, a Delaware corporation, which consummated the business combination with CM Life Sciences, Inc. (“CMLS”) on July 22, 2021 (the “Business Combination”); and</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and “our,” the “Company” and “GeneDx” refer, as the context requires, to:</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Sema4 prior to the Business Combination, and GeneDx Holdings and its consolidated subsidiaries following the consummation of the Business Combination; and</w:t>
      </w:r>
    </w:p>
    <w:p>
      <w:pPr>
        <w:ind w:left="1300" w:hanging="320"/>
        <w:spacing w:after="0" w:line="250" w:lineRule="auto"/>
        <w:tabs>
          <w:tab w:leader="none" w:pos="131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GeneDx prior to the Acquisition, and GeneDx Holdings and its consolidated subsidiaries following the consummation of the Acquisition.</w:t>
      </w:r>
    </w:p>
    <w:p>
      <w:pPr>
        <w:jc w:val="both"/>
        <w:ind w:left="660" w:hanging="328"/>
        <w:spacing w:after="0" w:line="25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or “GeneDx” refer to (i) Legacy Sema4 prior to the consummation of the Business Combination; and (ii) GeneDx Holdings and its subsidiaries following the consummation of the Business Combination (including, following the consummation of the Acquisition, Legacy GeneDx).</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9, 2023, Sema4 Holdings Corp. changed its name to GeneDx Holdings Corp. The Company’s Class A common stock and public warrants are listed on the Nasdaq under the symbols “WGS” and “WGSWW,”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with conviction that what is best for patients must be embedded in every aspect of our work. In support of these beliefs, we value equitability, simplicity and transparency. Through this value system, we aim to deliver personalized and actionable health insights to inform diagnosis, direct treatment and improve drug discovery, bringing better health from genomics to patients around the world.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GeneDx sits at the intersection of diagnostics and data science, pairing decades of genomic expertise with an ability to interpret clinical data at scale. We believe we are well-positioned to accelerate the use of genomics to enable precision medicine as the standard of care. Our initial focus is in pediatric and rare diseases, two areas in which we believe we have competitive advantages and can deliver on our vision today.</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GeneDx was founded in 2000 by scientists from the National Institutes of Health whose mission was making genetic testing accessible for patients with rare diseases. The company quickly became a leader in genomics, creating the foundation for how to provide genomic information at scale and pioneering exome and genome sequencing for rare and ultra-rare genetic pediatric disorders. More than 20 years later, we have amassed one of the world’s largest rare disease data sets and remain a leader in genomics.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Today, we are powered by our industry-leading genomic interpretation platform, and we believe exome and genome testing will become the standard for diagnosis of genetic disease, with the potential to transform healthcare and improve patients’ quality of life.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Targeted genetic tests and panel testing make up the vast majority of diagnostics tests ordered today. While panel testing can be immensely valuable, it has an increasing limitation as we move towards genetic-based healthcare. Panels only allow you to test for insights that physicians predefine based on symptoms, which can lead to inconclusive results and an inefficient process. It is hypothesis-based medicine based on symptoms that may overlap across diseases. We firmly believe that an affordable, scalable and actionable genome is the future of medicine. The barrier to having actionable information from a genomic sequence is significant—and not just due to costs, which are coming down. The less-discussed barrier to having actionable information lies in the ability to process a genome’s worth of information—quickly and scalably—and to deliver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both a result that a clinician can easily act upon to help a patient and a robust dataset that enables clinicians to drive precise diagnosis and researchers to develop and advance therapeutics.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companies in today’s genetics industry are taking a test-by-test approach to cross the chasm from genetics early adopters to genome-guided healthcare in the mainstream market. We believe that driving clinician and patient awareness and influencing policy decisions may facilitate uptake within the industry. In addition, making genetics part of mainstream medicine requires advancing the technology to provide personalized and actionable health insights. It also requires having a robust, well-characterized dataset that can maximize answers and minimize unknowns to drive a new era of discovery.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Exome and whole genome sequencing provide the broadest view into the genomic variant—we are looking comprehensively into over 20,000 genes, while panels look at anywhere from two to a few hundred genes. While most of the industry has focused on panels, we have focused on exome and whole genome developing structured gene-disease knowledge curated by our team of experts to power automated interpretation and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One Test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genome is composed of 3 billion “letters”, or base pairs, of DNA. The exome is a portion of the genome that encodes proteins, which are involved in many different types of cellular functions. Changes in a genome or exome can change the way proteins are formed or utilized by the cell, potentially causing disease.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patients present with complex issues, a genetic diagnosis may be available, but a traditional genetic panel test may be too narrow to identify the cause. Some genetic disorders present with very specific symptoms, so tests that read the “letters” of a single gene or a small panel of genes, may make sense for physicians to use in diagnosis. But for many other genetic diseases, patients can present with overlapping symptoms so finding the correct diagnosis is not always straightforward and may require multiple tests, costly evaluations, invasive procedures, and long hospital stays. Exome and genome sequencing can find different genetic alterations, or variants, that more targeted tests miss and are especially useful when the timing is critical to directing or altering medical management.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over 20 years of operation, GeneDx has a proven track record of expertise in genetic testing. We launched the industry’s first commercially available next generation sequencing panels in 2008, pioneered exome sequencing in 2012 and have sequenced over 500,000 exomes to date. We have performed over a million genetic tests and worked tirelessly to develop:</w:t>
      </w:r>
    </w:p>
    <w:p>
      <w:pPr>
        <w:spacing w:after="0" w:line="12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curated database of disease-associated genomic variants;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bioinformatics and variant interpretation pipelines;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exome and whole genome sequencing testing options.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status quo of genetic testing requires repeated and fragmented testing which, in many cases, is conducted too late for physicians to use in treatment of patients. Targeted genetic tests and panels have been largely commoditized leaving physicians, healthcare partners and patients searching for deeper answers and enhanced utility. The scalable exome and whole genome interpretation that we can deliver at speed do not require a long, complex, expensive, expert-guided search and may make most other genetic tests obsolete. In addition, using whole genome testing is incredibly simple: it’s designed to be Just One Test.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Advanced Technology with a Human Touch</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team includes approximately 250 genetic counselors, physicians, scientists, and clinical and molecular genomics specialists. We believe we are one of the industry’s leading genetic testing experts. We share the same goal as healthcare providers, patients, and families: to provide personalized and actionable health insights.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years of exome and genome sequencing experience have provided us with a substantial dataset, including over 2.7 million structured phenotypes with nearly 60% of all exomes to date processed as parent-child trios. We have invested resources over time to annotate the phenotypes and sequence the parents of patients, because their genetic sequences can often provide additional diagnostic information, potentially improving the precision of genetic analysis. In addition, the data from more families allows us to continually improve interpretation of genetic code and variants that may cause disease. We believe we have more expertly annotated disease-causing variants than the largest public archive.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Internally developed with over one million sequenced specimens, our database is designed to lead to increasingly reliable diagnostic test results. The structured gene-disease knowledge curated by our team of experts is powering automated interpretation and reporting built to handle genomic data at scale. Combined with our proprietary, state-of-the-art variant identification software, our ability to deliver highly accurate test results makes finding definitive diagnoses, even in complex cases, possible. Implemented with expert oversight, our advanced interpretation methods incorporate automation,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bioinformatics, and cloud-based machine learning, enabling efficient discovery of genetic differences at previously undetectable levels.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number of new patients we test grows, so does our database, as new data increases the potential for greater insights. As we capture more genomic and phenotypic data, we hope to fuel a positive feedback cycle of discovery that continuously delivers more value for patients, providers and healthcare partners.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growth engine in the short term will be expanding our current market-leading exome sequencing capabilities in the outpatient setting, including geneticists, pediatric development specialists, and other pediatric specialists, as well as the in-patient setting, also referred to as Neonatal Intensive Care Units (“NICU”). As we plan for longer-term growth, we believe there is a large data partnership opportunity with biopharmaceutical (“biopharma”) companies, international testing opportunities, as well as a market to provide interpretation and information services for customers that sequence locally but look to GeneDx for analysis and interpretation.</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we are particularly well-suited for helping rare disease and pediatric developmental disorder patients, their care teams and biopharma companies today. This is a large market with immense unmet medical need. There are nearly 7,000 individual diseases affecting nearly 10% of the total population in the United States, of which 50% are children. As a result, there are over 700 medicines in development for these diseases, with a regulatory pathway facilitated by the Orphan Drug Act of 1983. By providing the precise genetic diagnosis of patients with rare disease, our expertise and technology may provide researchers and biopharma companies with the information needed to develop and commercialize a new treatment for the disease.</w:t>
      </w:r>
    </w:p>
    <w:p>
      <w:pPr>
        <w:spacing w:after="0" w:line="1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longer-term growth strategy is the expansion into whole genome testing for Adult Disorders and Newborn Screening, supported with the launch of a new customer experience platform for non-geneticists, patients and caregivers, and evidence generation to establish the clinical and economic benefits of screening.</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unlocking the value of the products, our knowledge base, network of relationships, and expertise, our team is well positioned to lead what we believe is a nearly $30 billion global market opportunity.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span and depth of our experience and dataset allows us to return more positive findings and thus clinical utility both immediately and over time through reanalysis. Importantly, we believe that we return fewer uncertain findings compared to public data sets, which makes our analysis easier to interpret outside of the medical genetics community.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same time, we have improved quality and speed to delivery of exome and genome tests and have significantly lowered exome sequencing costs since 2013. Much of this decline was driven by reduced sequencing costs shared across the industry; however, we have reduced costs in the interpretation layer through accumulating data and experience, and we expect further decline in costs going forward.</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Leveraging these capabilities, we aim to be the global market leader in the development and delivery of reliable, actionable, scalable exome and genome sequencing and interpretation and information services. Our strategy focuses on the following objectives:</w:t>
      </w:r>
    </w:p>
    <w:p>
      <w:pPr>
        <w:spacing w:after="0" w:line="108" w:lineRule="exact"/>
        <w:rPr>
          <w:sz w:val="20"/>
          <w:szCs w:val="20"/>
          <w:color w:val="auto"/>
        </w:rPr>
      </w:pPr>
    </w:p>
    <w:p>
      <w:pPr>
        <w:ind w:left="660" w:right="2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utilization of exome and genome sequencing as the first- or second-tier test over most other genetically targeted tests by leveraging decades of earned trust amongst expert geneticists; and</w:t>
      </w:r>
    </w:p>
    <w:p>
      <w:pPr>
        <w:jc w:val="both"/>
        <w:ind w:left="660" w:hanging="328"/>
        <w:spacing w:after="0" w:line="25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utilization of industry-leading exome and genome sequencing beyond the genetic experts into the non-expert setting, potentially creating a new standard of care which enables faster diagnoses, reduces suffering, and helps healthcare systems save money. In the near term, our principal target markets will be settings with the most vulnerable patients who can benefit the most including, but not limited to, NICU and patients with Pediatric Developmental Disorders.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achieve these objectives, we:</w:t>
      </w:r>
    </w:p>
    <w:p>
      <w:pPr>
        <w:spacing w:after="0" w:line="158" w:lineRule="exact"/>
        <w:rPr>
          <w:sz w:val="20"/>
          <w:szCs w:val="20"/>
          <w:color w:val="auto"/>
        </w:rPr>
      </w:pPr>
    </w:p>
    <w:p>
      <w:pPr>
        <w:ind w:left="660" w:right="20" w:hanging="328"/>
        <w:spacing w:after="0" w:line="25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 our team of approximately 70 field-based sales representatives and medical science liaisons, and plan to construct an industry-leading brand, product, marketing, communications and market access platform by leveraging decades of earned trust across the genetics community.</w:t>
      </w:r>
    </w:p>
    <w:p>
      <w:pPr>
        <w:ind w:left="66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with leaders across health systems, manufacturers, commercial and governmental payors and advocacy groups. We aim to collaborate on programs to establish definitive clinical and economic case for broad use of genomic-guided medicine. Such programs will focus 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rapid whole genome sequencing in the NICU and Pediatric Developmental Disorder settings;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diagnosis of disease and prevention of chronic conditions in adults;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rapid whole genome sequencing for broad newborn screening.</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to open new markets and geographies and unlock the value of our dataset with independently scalable cloud-based interpretation and information service offerings. This will enable healthcare partners to incorporate genetics into clinical care by accessing our analysis and interpretation capabilities remotely while sequencing locally to reduce complexity, logistics cost and wait times, and align to local restrictions where applicable;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to launch a new provider and patient experience with the eventual goal of providing lifelong access and portability of genomic information. At initial sequence, rapid results provide clinicians simple, actionable, easy to understand results for non-geneticists and tailored resources for patients and caregivers. On an ongoing basis, reanalysis unlocks a renewable source of insight, replacing any future germline screening. We will sequence once, and analyze for life.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to optimize our services to become a solutions provider of choice for biopharma. Such solutions will focus on three value-added services: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Finding rare disease patients for clinical trial recruitment and/or delivery of targeted therapeutics.</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2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 Supporting research and development for targeted therapies with analytic reports leveraging clinicogenomics data across multiple therapeutic areas with an initial emphasis in rare disease.</w:t>
      </w:r>
    </w:p>
    <w:p>
      <w:pPr>
        <w:ind w:left="1300" w:right="20" w:hanging="320"/>
        <w:spacing w:after="0" w:line="260" w:lineRule="auto"/>
        <w:tabs>
          <w:tab w:leader="none" w:pos="13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In the long term, providing a therapeutic area agnostic platform to access to data, patients and insights for real world evidence and data to support end-to-end drug discovery pipeline.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include information technology, product development, customer experience, medical affairs, collaborations and research. These activities are principally focused on our efforts to develop and improve the software we use to analyze data, process genomic test orders, deliver reports, and improve customer experience.</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participating in certain collaborative studies aimed to provide evidence of the clinical and economic benefit for exome and whole genome sequencing. Two such studies currently underway include the SeqFirst study—in collaboration with Seattle Children’s Hospital and University of Washington—which is designed to demonstrate the broad utility of rapid whole genome sequencing for critically ill newborns and, the Genomic Uniform-Screening Against Rare Diseases In All Newborns (“GUARDIAN”) study—in collaboration with New York-Presbyterian, Columbia University, New York State Department of Health and Illumina—which is designed to assess whole genome sequencing to screen newborns for more conditions than those currently included in standard newborn screening in the United States. The goals of these studies are to drive earlier diagnosis and treatment to improve the health of the newborns who participate in such studies, generate evidence to support the expansion of newborn screening through genomic sequencing, and characterize the prevalence and natural history of rare genetic conditions.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competitors include companies that offer molecular genetic testing and consulting services, including specialty and reference laboratories that offer traditional single- and multi-gene tests and biopharmaceutical companies. In addition, there are a large number of new entrants into the market for genetic information ranging from informatics and analysis pipeline developers to focused, integrated providers of genetic tools and services for health and wellness, including Illumina, Inc., which is also one of our suppliers. In addition to the companies that currently offer traditional genetic testing services and research centers, other established and emerging healthcare, information technology and service companies may commercialize competitive products including informatics, analysis, integrated genetic tools and services for health and wellness. Principal competitors include companies such as Baylor, Centogene, Exact Sciences, Rady Children’s Hospital as well as other commercial and academic labs.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Seasonality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receive payment for our products and services from third-party payors, patients, business-to-business clients, and from other healthcare partners. Substantially all of our revenue for the year ended December 31, 2023 has been primarily derived from diagnostic test reports and we expect this trend to continue in the near-term. We expect over time to achieve a mix of revenue from diagnostic tests, data and information solutions, newborn screening products and information and interpretation services.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Less than 5% of our revenues today are derived from referral sources outside of the United States. We expect over time to increase rest of world revenue as knowledge and understanding of the benefits of exome and whole genome sequencing continue to expand.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historically experienced higher revenue in our fourth quarter compared to other quarters in our fiscal year due in part to seasonal demand of our tests from patients who have met their annual insurance deductible. However, changes in our product and payor mix might cause these historical seasonal patterns to be different than future patterns of revenue or financial performance.</w:t>
      </w:r>
    </w:p>
    <w:p>
      <w:pPr>
        <w:spacing w:after="0" w:line="1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information regarding our customer concentration in relation to certain of the Company’s third-party payors, see Note 2,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in the notes to our consolidated financial statements. We have experienced incrementally less concentration among third-party payors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exits from reproductive health and somatic tumor testing in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Suppliers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a limited number of suppliers, including Illumina, Inc., Integrated DNA Technologies Incorporated, Agilent Technologies, Roche Holdings Ltd., QIAGEN, Inc. and Twist Biosciences, for certain laboratory reagents, as well as sequencers and other equipment and materials, which we use in our laboratory operations. Our operations could be interrupted if we encounter delays or difficulties in securing reagents, sequencers or other equipment or materials, and if we cannot obtain an acceptable substitute. Any such interruption could significantly affect our business, financial condition, results of operations and reputation. We believe that there are only a few other manufacturers that are currently capable of supplying and servicing the equipment necessary for our operations, including sequencers and various associated reagents and enzymes. The use of equipment or materials provided by these replacement suppliers would require us to alter our operations. Transitioning to a new supplier would be time consuming and expensive, may result in interruptions in operations, could affect the performance specifications of our laboratory operations or could require that we revalidate our tests. We cannot be certain that we will be able to secure alternative equipment, reagents and other materials, or bring such equipment, reagents and materials online and revalidate them without experiencing interruptions in our workflow. If we encounter delays or difficulties in securing, reconfiguring or revalidating equipment and materials, our business and reputation could be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rely on a combination of intellectual property rights, including trade secrets, copyrights, trademarks, customary contractual protections to protect our core technology and intellectual property.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fields of genomic and health information analysis present limited opportunities for patent protection, based on current legal precedents. Our patent protection strategy has focused on seeking protection for certain of our non-gene specific technology and our specific biomarkers. In this regard, we have three pending U.S. non-provisional utility patent applications and one patent application pending in the European Patent Office. The utility patent applications include a U.S. patent application related to identifying cancer diagnosis from electronic health records using a cancer diagnosis analysis system, a U.S. patent application related to providing a homologous recombination DNA repair deficiency score for a cancer patient, and U.S. and European patent applications related to therapeutic treatment for subjects having certain polymorphic markers associated with specific human leukocyte antigen alleles. If patents are issued from the currently pending applications, the earliest patents will begin expiring in the early 2040s, subject to potential extensions of the patent term that will be calculated based on the length of the patent examination process. The claim scope of any potentially issued patents stemming from the present applications may be narrowed from initial filings due to any amendments that may arise throughout their prosecution.</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presently have any patents or patent applications directed to the sequences of specific genes or variants of such genes, nor do we currently rely on any in-licensed gene patent rights of any third party. We may, in time, seek additional patent protection to protect technology that is not gene-specific and that provides us with a potential competitive advantage as we focus on making comprehensive genetic information less expensive and more broadly available to our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trade secrets, including unpatented know-how, technology and other proprietary information, to maintain and develop our competitive position. We have a trade secrecy program to prevent disclosure of our trade secrets to others, except under stringent conditions of confidentiality when disclosure is critical to our business. We protect trade secrets and know-how by establishing confidentiality agreements and invention assignment agreements with our employees, consultants, scientific advisors, contractors, and collaborators. These agreements also provide that all inventions resulting from work performed for us or relating to our business and conceived or completed during the period of employment or assignment, as applicable, will be our exclusive property. In addition, we take other appropriate precautions, such as physical and technological security measures, to guard against misappropriation of our proprietary information by third parties.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valuable trade secrets relate to proprietary bioinformatic tools such as:</w:t>
      </w:r>
    </w:p>
    <w:p>
      <w:pPr>
        <w:spacing w:after="0" w:line="171" w:lineRule="exact"/>
        <w:rPr>
          <w:sz w:val="20"/>
          <w:szCs w:val="20"/>
          <w:color w:val="auto"/>
        </w:rPr>
      </w:pPr>
    </w:p>
    <w:p>
      <w:pPr>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data processing methods and analytical pipelines for NGS, aCGH, MLPA, Sanger, and other genomic data, optimized and validated to the highest performance standards;</w:t>
      </w:r>
    </w:p>
    <w:p>
      <w:pPr>
        <w:ind w:left="660" w:right="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novel detection method to uncover notoriously difficult to detect sequence variants called mobile element insertions and partial-exon deletions; and</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variant analysis platforms built from the ground up for exome and genome-scale data interpretation.</w:t>
      </w:r>
    </w:p>
    <w:p>
      <w:pPr>
        <w:spacing w:after="0" w:line="1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Although we take steps to protect our proprietary information and trade secrets, including through contractual means with our employees and consultants, these steps may be circumvented, or third parties may independently develop substantially equivalent proprietary information and techniques or otherwise gain access to our trade secrets or disclose our technology. Accordingly, we may not be able to meaningfully protect our trade secrets.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own or are applying for various trademarks, service marks, trade names, and product service names in the U.S and other commercially important markets. We intend to invest significant resources in the growth and protection of our reputation and trademarks. Our trademark portfolio is designed to protect the brands for our products and services, both current and in the pipeline.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aim to recruit, develop, and retain diverse, high-quality talent and are committed to creating a workplace that supports the success of its people by investing in their personal development and career growth. Our team of nearly 1,000 individuals are champions of not only our organization, but our patients, providers and partners.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values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values guide our interactions. Our model represents the interconnectedness of sometimes opposing values, where both are required to accomplish our mission. These values are:</w:t>
      </w:r>
    </w:p>
    <w:p>
      <w:pPr>
        <w:spacing w:after="0" w:line="10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Bravery &amp; Humility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Openness &amp; Accountability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Equitability &amp; Integrity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Rigorous &amp; Efficient Development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Simplicity &amp; Curiosity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committed to developing our workforce. Our talent development programs provide employees with the resources they need to achieve their career goals, build management skills and lead their teams. Managers coach and hold conversations with employees’ regarding their career and development plans, thereby staying true to our belief in accountability and openness.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Rewards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competitive compensation to attract and retain high quality talent, and we care for our people so they can focus on our mission. Our employees' total compensation package includes competitive salary, bonuses or sales incentives, equity and a 401(K) plan with matching opportunities. Equity participation is provided for certain positions because ownership in the company drives commitment to our long-term success. We provide programs including healthcare and insurance benefits, health savings and flexible spending accounts, paid time off, family leave, flexible work schedules, fertility, adoption and surrogacy assistance, employee assistance and wellness support, among many others.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and the services (both current and in the pipeline) we provide are subject to and impacted by extensive and frequently changing laws and regulations in the United States (at both the federal and state levels) and internationally. Failure to comply with the applicable laws and regulations can subject us to repayment of amounts previously paid to us, significant civil and criminal penalties, loss of licensure, certification, or accreditation, or exclusion from state and federal health care programs. The significant areas of regulation are summarized below:</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Laboratory Improvement Amendments of 1988 and State Regulation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clinical laboratories must hold certain federal</w:t>
      </w:r>
      <w:r>
        <w:rPr>
          <w:rFonts w:ascii="Times New Roman" w:cs="Times New Roman" w:eastAsia="Times New Roman" w:hAnsi="Times New Roman"/>
          <w:sz w:val="18"/>
          <w:szCs w:val="18"/>
          <w:color w:val="008080"/>
        </w:rPr>
        <w:t>,</w:t>
      </w:r>
      <w:r>
        <w:rPr>
          <w:rFonts w:ascii="Times New Roman" w:cs="Times New Roman" w:eastAsia="Times New Roman" w:hAnsi="Times New Roman"/>
          <w:sz w:val="18"/>
          <w:szCs w:val="18"/>
          <w:color w:val="auto"/>
        </w:rPr>
        <w:t xml:space="preserve"> state and local licenses, certifications and permits to conduct our business. Laboratories in the United States that perform testing on human specimens for the purpose of providing information for the diagnosis, prevention, or treatment of disease or impairment, or the assessment of health are subject to the Clinical Laboratory Improvement Amendments of 1988, as amended, and its implementing regulations (“CLIA”). CLIA requires such laboratories to be certified by the federal government and mandates compliance with various operational, personnel, facilities administration, inspections, quality control, quality assessment and proficiency testing requirements intended to ensure that testing services are accurate, reliable and timely. CLIA certification also is a prerequisite to be eligible to bill state and federal health care programs, as well as many commercial third-party payors, for laboratory testing services. Our laboratory located in Gaithersburg, Maryland is CLIA certified to perform high complexity tests. Laboratories performing high complexity testing are required to meet more stringent requirements than laboratories performing less complex tests. The regulatory and compliance standards applicable to the testing we perform may change over time, and any such changes could have a material effect on our business.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condition of CLIA certification, our laboratory is subject to survey and inspection every two years to assess compliance with program standards, in addition to being subject to additional random inspections. The biennial survey is conducted by the Centers for Medicare &amp; Medicaid Services (“CMS”), a CMS agent (typically a state agency), or a CMS-approved accreditation organization. Our Gaithersburg laboratory has been accredited by the College of American Pathologists (“CAP”), which means that our laboratory has been certified as following CAP guidelines in operating the laboratory and in performing tests that ensure the quality of our results. Because our laboratory is accredited by CAP, which is a CMS-approved accreditation organization, CMS does not perform these biennial surveys and inspections and relies on our CAP surveys and inspections. We may also be subject to additional unannounced inspections.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CLIA provides that a state may adopt laboratory regulations that are not inconsistent with those under federal law, and a number of states have implemented their own (sometimes more stringent) laboratory regulatory requirements. CLIA does not preempt state laws that have established laboratory quality standards that are at least as stringent as the federal law requirements under CLIA. State laws may require that nonresident laboratories, or out-of-state laboratories, maintain a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 We maintain state laboratory licenses for our Gaithersburg facility in Maryland, New York, California, Pennsylvania and Rhode Island. In addition to having a laboratory license in New York, our laboratory is also required to obtain approval on a test-specific basis for the tests it runs as laboratory developed tests (“LDTs”) by the New York Department of Health before specific testing is performed on samples from New York. If any states currently have or adopt similar licensure requirements in the future, we may be required to modify, delay or stop our operations in those states.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laboratory is out of compliance with state laws or regulations governing licensed laboratories or with CLIA, penalties may include suspension, limitation or revocation of the license or CLIA certificate, assessment of civil monetary penalties or fines, civil injunctive suit or criminal penalties. Failure to comply with CLIA could also result in a directed plan of correction and state on-site monitoring. Loss of a laboratory’s CLIA certificate or state license may also result in the inability to receive payments from state and federal health care programs as well as private third-party payors. We believe that we are in material compliance with CLIA and all applicable licensing laws and regulations.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CLIA and state laws and regulations, operating together, sometimes limit the ability of laboratories to offer consumer-initiated testing (also known as “direct access testing”). CLIA certified laboratories are permitted to perform testing only upon the order of an “authorized person,” defined as an individual authorized under state law to order tests or receive test results, or both. Many states do not permit persons other than licensed healthcare providers to order tests. We currently do not offer direct access testing and our CLIA tests may only be ordered by authorized healthcare providers.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Diagnostic Products and FDA Oversight of Laboratory Developed Tests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Oversight of Laboratory Developed Tests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our tests as LDTs. Under the FDA’s regulatory framework, in vitro diagnostic devices (IVDs) are a type of medical device, including tests that can be used in the diagnosis or detection of diseases, such as cancer, or other conditions. The FDA considers LDTs to be a subset of IVDs that are intended for clinical use and are designed, manufactured, and used within a single laboratory that is certified under CLIA. Such LDT testing is primarily under the purview of CMS and state agencies that provide oversight over clinical laboratory operations. Although the FDA has taken the position that it has statutory authority to assure that medical devices, including certain LDTs, are safe and effective for their intended use, the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FDA has historically exercised enforcement discretion with respect to most LDTs and has not required laboratories that furnish LDTs to comply with the agency's requirements for medical devices (e.g., establishment registration, device listing, premarket clearance or approval, quality systems regulations, and post-market controls). In recent years, the FDA has stated it intends to end its policy of general enforcement discretion and regulate certain LDTs as medical devices. For example, in 2014 the FDA issued two draft guidance documents that set forth a proposed risk-based regulatory framework that would apply varying levels of FDA oversight to LDTs. These documents have not been finalized to date. Subsequently, in August 2020, the U.S. Department of Health and Human Services – the parent agency of the FDA – announced that the FDA will not require premarket review of LDTs absent notice-and-comment rulemaking, as opposed to through guidance documents and other informal issuances. In November 2021, the Biden Administration rescinded this policy. At this time, it is unclear when, or if, the FDA will finalize its plans to end enforcement discretion, and even then, the new regulatory requirements are expected to be phased-in over time. Nevertheless, the FDA may decide to regulate certain LDTs on a case-by-case basis at any time.</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Legislative proposals addressing the FDA's oversight of LDTs have also been introduced in previous Congresses, and we expect that new legislative proposals will be introduced from time- to- time. For example, versions of the Verifying Accurate Leading-edge IVCT Development (“VALID”) Act have been introduced in Congress several times in recent years, but the VALID Act has not been enacted. The VALID Act, as most recently proposed, would create a new category of medical products separate from medical devices called “in vitro clinical tests,” or IVCTs. As most recently proposed, the VALID Act would modify the Federal Food, Drug, and Cosmetic Act (the “FDCA”) and establish a risk-based approach to imposing requirements related to premarket review, quality systems, and labeling requirements on all IVCTs, including LDTs, but a grandfathering provision would create exemptions from certain requirements for certain LDTs offered for clinical use within 45 days of enactment of the bill. The likelihood that Congress will pass such legislation and the extent to which such legislation may affect the FDA's plans to regulate certain LDTs as medical devices is difficult to predict at this time.</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FDA ultimately regulates certain LDTs as medical devices, whether via final guidance, final regulation, or as instructed by Congress, our tests may be subject to certain additional regulatory requirements. Complying with the FDA's requirements for medical devices can be expensive, time-consuming, and subject us to significant or unanticipated delays. Insofar as we may be required to obtain premarket clearance or approval to perform or continue performing an LDT, we cannot be sure that we will be able to obtain such authorization. Even if we obtain regulatory clearance or approval where required, such authorization may not be for the intended uses that we believe are commercially attractive or are critical to the commercial success of our tests. As a result, the application of the FDA's oversight to our tests could materially and adversely affect our business, financial condition, and results of operations.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continue to monitor changes to all LDT regulatory policy so as to ensure compliance with the current regulatory scheme. The FDA in the course of enforcing the FDCA may subject a company to various sanctions for violating FDA regulations or provisions of the FDCA, including requiring recalls, issuing Warning Letters, seeking to impose civil money penalties, seizing devices that the agency believes are non-compliant, seeking to enjoin distribution of a specific device, seeking to revoke a clearance or approval, seeking disgorgement of profits and/or seeking to criminally prosecute a company and its officers and other responsible parties.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certain of our diagnostic products in development may be subject to regulation by the FDA and similar international health authorities. For these products, we would have an obligation to adhere to the FDA’s current Good Manufacturing Practices (“cGMP”) and diagnostic product regulations, including providing for an establishment and product listing with the FDA. Additionally, we would be subject to periodic FDA inspections, quality control procedures, and other detailed validation procedures. If the FDA finds deficiencies in the validation of our manufacturing and quality control practices, it may impose restrictions on marketing specific products until corrected. Regulation by governmental authorities in the U.S. and other countries may be a significant factor in how we develop, test, produce and market our diagnostic test products.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of Medicine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Numerous states prohibit business organizations from practicing medicine or employing or engaging physicians to practice medicine, which prohibitions are generally referred to as the prohibition against the corporate practice of medicine. These laws are intended to prevent interference in the medical decision-making process by anyone who is not a licensed physician. For example, California's Medical Board has indicated that determining what diagnostic tests are appropriate for a particular condition and taking responsibility for the ultimate overall care of the patient, including providing treatment options available to the patient, would constitute the unlicensed practice of medicine if performed by an unlicensed person. Violation of these corporate practice of medicine prohibitions may result in civil or criminal fines, as well as sanctions imposed against us and/or the professional through licensure proceedings.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Requirements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laws and regulations related to the protection of the environment, the health and safety of employees and the handling, transportation and disposal of regulated medical waste, hazardous waste and biohazardous waste, including chemical, biological agents and compounds, blood and bone marrow samples and other human tissue, and radioactive materials. For example, the U.S. Occupational Safety and Health Administration (“OSHA”) has established extensive requirements relating specifically to workplace safety for healthcare employers in the United States. For purposes of transportation, some biological materials and laboratory supplies are classified as hazardous materials and are subject to regulation by one or more of the following: the U.S. Department of Transportation, the U.S. Public Health Service, the U.S. Postal Service, the Office of Foreign Assets Control and the International Air Transport Association. We generally use third-party vendors to dispose of regulated medical waste, hazardous waste and radioactive materials and contractually require them to comply with applicable laws and regulations. These vendors are licensed or otherwise qualified to handle and dispose of such wastes.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Healthcare Fraud &amp; Abuse Laws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and State Physician Self-Referral Prohibitions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the federal physician self-referral prohibitions, commonly known as the Stark Law. These restrictions generally prohibit a physician who has (or whose immediate family member has) a financial relationship, such as an ownership or investment interest in or compensation arrangement with us, from making referrals for “designated health services”, including clinical laboratory services, if payment for the services may be made under Medicare. If such a financial relationship exists, referrals are prohibited unless a statutory or regulatory exception applies. The Stark Law also prohibits us from billing for any such prohibited referral. These prohibitions apply regardless of any intent by the parties to induce or reward referrals or the reasons for the financial relationship and the referral. Several Stark Law exceptions are relevant to many common financial relationships involving clinical laboratories and referring physicians and may be relied upon if all of the elements of the applicable exception are satisfied. Penalties for violating the Stark Law include the return of funds received for all prohibited referrals, fines, civil monetary penalties and possible exclusion from federal health care programs. In addition, violations of the Stark Law may also serve as the basis for liability under the federal False Claims Act (the “FCA”), which can result in additional civil and criminal penalties. Several states have enacted comparable self-referral laws which may be broader in scope and apply regardless of payor.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and State Anti-Kickback Laws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federal Anti-Kickback Statute (the “AKS”), makes it a felony for a person or entity, including a clinical laboratory, to, among other things, knowingly and willfully offer, pay, solicit or receive any remuneration, directly or indirectly, overtly or covertly, in cash or in kind, in order to induce or reward either the referral of an individual for, or the purchase, order or recommendation of, any good or service, for which payment may be made under federal health care programs. The government may also assert that a claim that includes items or services resulting from a violation of the AKS constitutes a false or fraudulent claim under the FCA, which is discussed in greater detail below. Additionally, a person or entity does not need to have actual knowledge of the statute or specific intent to violate it in order to have committed a violation. Although the AKS applies only to items and services reimbursable under any federal health care program, a number of states have passed statutes substantially similar to the AKS that apply to all payors or to state program payors. Penalties for violations of such laws include imprisonment and significant monetary fines and, in the case of the AKS, exclusion from federal health care programs. 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AKS, holding that the statute may be violated if merely one purpose of a payment arrangement is to induce referrals or purchases. In addition to statutory exceptions to the AKS, regulations provide for a number of safe harbors. If an arrangement meets the conditions of an applicable exception or safe harbor, it is deemed not to violate the AKS. An arrangement must fully meet each condition of an applicable exception or safe harbor in order to qualify for protection. Failure to meet the conditions of a safe harbor, however, does not render an arrangement illegal. Rather, the government may evaluate such arrangements on a case-by-case basis, taking into account all facts and circumstances.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federal Eliminating Kickbacks in Recovery Act (the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and certain other entities or in exchange for an individual using the services of such entities. The EKRA applies to all payors including commercial payors and government payors, and EKRA violations result in significant fines and/or up</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10 years in jail, separate and apart from existing AKS liability. Several EKRA exceptions are relevant to many common financial relationships involving clinical laboratories and may be relied upon if all of the elements of the applicable exception are satisfied. Failure to meet the requirements of an exception, however, does not render an arrangement illegal. Rather, the government may evaluate such arrangements on a case-by-case basis, taking into account all facts and circumstances.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Federal and State Fraud &amp; Abuse Healthcare Laws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requirements discussed above, several other health care fraud and abuse laws could have an effect on our business.</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FCA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retaining an overpayment by the federal government. Under the FCA, a person acts knowingly if he or she has actual knowledge of the information or acts in deliberate ignorance or in reckless disregard of the truth or falsity of the information. Specific intent to defraud is not required. FCA violations can result in penalties of up to three times the actual damages sustained by the government, plus civil penalties for each false claim.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Several states have enacted comparable false claims laws which may be broader in scope and apply regardless of payor.</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Social Security Act includes civil monetary penalty provisions that impose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Several states have enacted comparable laws which may be broader in scope and apply regardless of payor. In addition,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under the civil monetary penalties law. Moreover, in certain cases, providers who routinely waive copayments and deductibles for Medicare and Medicaid beneficiaries, can also be held liable under the civil monetary penalty provisions and certain other laws, such as the AKS and FCA. One of the statutory exceptions to the civil monetary penalty prohibition is non-routine, unadvertised waivers of copayments or deductible amounts based on individualized determinations of financial need or exhaustion of reasonable collection efforts. The Office of Inspector General of the U.S. Department of Health and Human Services (“HHS”), emphasizes, however, that this exception should only be used occasionally to address special financial needs of a particular patient. States may have similar prohibitions.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Federal and State Healthcare Laws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fraud and abuse laws discussed above, our business potentially is subject to the following additional healthcare regulatory laws: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Laws Governing Genetic Counseling Services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genetic counseling partner may provide services via electronic means that could subject it to various federal, state and local certification and licensing laws, regulations and approvals, relating to, among other things, the adequacy of health care, the practice of medicine and other health professions (including the provision of remote care and cross-coverage practice), equipment, personnel, operating policies and procedures and the prerequisites for ordering laboratory tests. Some states have enacted regulations specific to providing services to patients via telehealth. Such regulations include, among other things, informed consent requirements that some states require providers to obtain from their patients before providing telehealth services. Health professionals who provide professional services using telehealth modalities must, in most instances, hold a valid license to practice the applicable health profession in the state in which the patient is located. In addition, certain states require a physician providing telehealth to be physically located in the same state as the patient. Any failure to comply with these laws and regulations could result in civil or criminal penalties against telehealth providers.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and Human Subjects Research Regulations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collaborate or support ongoing clinical or other human subjects research that could subject us to a number of laws and regulations pertaining to such research, including, but not limited to the Federal Policy for Protection of Human Subjects (as set forth in the implementing regulations of any signatory federal department or agency), the FDCA and its applicable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implementing regulations at 21 C.F.R. Parts 11, 50, 54, 56, 58 and 812 and all equivalent legal requirements in other jurisdictions.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Security Laws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Insurance Portability and Accountability Act</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Health Insurance Portability and Accountability Act of 1996 (“HIPAA”), as amended by the Health Information Technology for Economic and Clinical Health Act (“HITECH”), HHS has issued regulations to protect the privacy and provide for the security of protected health information (“PHI”) used or disclosed by covered entities, including most health care providers and their respective business associates, as well as the business associates’ subcontractors. HIPAA also regulates standardization of data content, codes, and formats used in certain health care transactions and standardization of identifiers for health plans and providers. Four principal regulations with which we are required to comply have been issued in final form under HIPAA and HITECH: privacy regulations, security regulations, breach notification regulations, and standards for electronic transactions, which establish standards for common healthcare transactions.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privacy regulations cover the use and disclosure of PHI by covered entities as well as business associates, which are persons or entities that perform certain functions for or on behalf of a covered entity that involve the creation, receipt, maintenance, or transmission of PHI. Business associates are defined to include a subcontractor to whom a business associate delegates a function, activity, or service, other than in the capacity of the business associate’s workforce. As a general rule, a covered entity or business associate may not use or disclose PHI except as permitted or required under the privacy regulations. The privacy regulations also set forth certain rights that an individual has with respect to his or her PHI maintained by a covered entity or business associate, including the right to access or amend certain records containing his, her or their PHI, request restrictions on the use or disclosure of his, her or their PHI, or request an accounting of disclosures of his or her PHI.</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Covered entities and business associates also must comply with the security regulations, which establish requirements for safeguarding the confidentiality, integrity, and availability of PHI that is electronically transmitted or electronically stored. In addition, HITECH, among other things, established certain PHI breach notification requirements with which covered entities and business associates must comply. In particular, a covered entity must notify any individual whose unsecured PHI is breached according to the specifications set forth in the breach notification rule. A covered entity must also notify the Secretary of HHS and, under certain circumstances, the media of a breach of unsecured PHI.</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HIPAA privacy, security, and breach notification regulations establish a uniform federal “floor” and do not preempt state laws that are more stringent or provide individuals with greater rights with respect to the privacy or security of, and access to, their records containing PHI or insofar as such state laws apply to personal information that is broader in scope than PHI. In addition, individuals (or their personal representatives, as applicable) generally have the right to access test reports directly from laboratories and to direct that copies of those reports be transmitted to persons or entities designated by the individual.</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HIPAA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 In addition, violations of HIPAA could result in significant penalties imposed by the HHS’s Office for Civil Rights. HIPAA also mandates that the Secretary of HHS conduct periodic compliance audits of HIPAA covered entities, such as us, and their business associates for compliance with the HIPAA privacy and security standards. It also tasks HHS with establishing a methodology whereby harmed individuals who were the victims of breaches of unsecured PHI may receive a percentage of the civil monetary penalty paid by the violator.</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there are a number of state laws regarding the privacy and security of health information and personal data that are applicable to our clinical laboratories. We believe that we have taken the steps required of us to comply with health information privacy and security statutes and regulations in all jurisdictions, both state and federal, and we intend to continue to comprehensively protect all personal information and to comply with all applicable laws regarding the protection of such information. However, these laws constantly change, and we may not be able to maintain compliance in all jurisdictions where we do business. Failure to maintain compliance, including in connection with changes in state or federal laws regarding privacy or security, could result in civil and/or criminal penalties as well as significant reputational damage and could also have a material adverse effect on our business.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Consumer Privacy Act</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California Consumer Privacy Act, as amended by the California Privacy Rights Act (“CPRA,” and together with the California Consumer Privacy Act, the “CCPA”), confers to California consumers, among other things, the right to receive notice of the categories of personal information that will be collected by a business, how the business will use and share the personal information, and the categories of third parties who will receive the personal information. The CCPA also confers rights to access, delete, correct, or request a portable data set, the right to limit processing of “sensitive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allows California consumers to opt out of the “sharing” of information, which restricts a company’s use of personal information for cross-context behavioral advertising. The CCPA also requires a business to implement reasonable security procedures to safeguard personal information against unauthorized access, use, or disclosure and imposes purpose limitation, data minimization, data retention and other security compliance obligations on regulated businesses. The CCPA requires businesses to include specific provisions in contracts with third parties that process data on a business’s behalf regarding the third party’s processing and management of such data.</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CCPA does not apply to personal information that is PHI under HIPAA and that is collected by a business associate or covered entity under HIPAA. The CCPA also exempts patient information that is processed by a covered entity and maintained in the same manner as PHI. Accordingly, the CCPA will not apply to much of the genetic testing and patient information we collect and process. However, we are required to comply with the CCPA insofar as we collect other categories of California consumers’ personal information, such as information about California-based employees, contractors, business contacts and website visitors.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CCPA is enforceable through administrative fines of up to $2,500 for each violation, or $7,500 for intentional violations or where we have actual knowledge that the personal information relates to an individual under 16 years of age.</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CCPA, four new state privacy laws went into effect in 2023, including the Virginia Consumer Data Protection Act, the Utah Consumer Privacy Act, the Colorado Privacy Act, and the Connecticut Personal Data Privacy and Online Monitoring Act. In 2023, seven other states passed comprehensive consumer data privacy laws, and many others have introduced similar consumer privacy laws. These new state privacy laws and any potential federal consumer privacy law will and would impose additional data protection obligations on covered businesses, including additional consumer rights, limitations on data uses, new audit requirements for higher risk data and opt outs for certain uses of sensitive data. The new and proposed privacy laws may result in further uncertainty and may require us to incur additional expenditures to comply. These regulations and legislative developments have potentially far-reaching consequences and may require us to modify our data management and data use practices and incur substantial compliance expense. Our failure to comply with applicable laws and regulations or other obligations to which we may be subject relating to personal data, or to protect personal data from unauthorized access, use, or other processing, could result in enforcement actions and regulatory investigations against us, claims for damages by customers and other affected individuals, fines, damage to our reputation, and loss of goodwill, any of which could have a material adverse effect on our operations, financial performance, and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Genetic Privacy and Testing Laws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myriad laws that require us to establish safeguards for the conduct of genomic testing and analysis and to protect against the misuse of genetic information and human biological specimens (“samples”) from which genetic information can be derived. These laws vary in their scope and in the nature of their requirements and restrictions. For example, certain genetic privacy laws prohibit the retention of samples after performing a genomic analysis and prohibit the collection, use or disclosure of genetic information or samples for certain purposes, such as research, without appropriate informed consent from the individual or unless the genetic information or samples are appropriately de-identified. Other laws may impose additional requirements, including requirements regarding institutional review board review and approval for certain research uses of genetic information or samples or requirements to implement certain security controls in connection with the transfer of genetic information. We must comply with such genetic privacy and testing laws in our collection, use, disclosure and retention of genetic information and samples.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Data Protection Laws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a growing number of jurisdictions around the globe that have privacy and data protection laws that may apply to us as we enter or expand our business in jurisdictions outside of the U.S. These laws are typically triggered by a company’s establishment or physical location in the jurisdiction, data processing activities that take place in the jurisdiction, and/or the processing of personal information about individuals located in that jurisdiction that are targeted, for example, by an offer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goods or services. Certain data protection laws, such as those in the European Union, (the “EU”) and United Kingdom, are comprehensive in nature and include significant requirements around the processing of personal information, while other jurisdictions may have laws less restrictive or prescriptive than those in the U.S. Enforcement of these laws varies from jurisdiction to jurisdiction, with a variety of consequences, including civil or criminal penalties, litigation private rights of action, or damage to our reputation.</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example, the EU’s General Data Protection Regulation (“GDPR”), including as implemented and amended through the UK Data Protection Act 2018 (“UK GDPR”), applies to any data collection, use and sharing in the context of an establishment in the EU or UK as well as extraterritorially to any entity outside the EU and UK when they process personal information related to an offer of goods or services to, or monitoring the behavior of, individuals who are located in the EU or UK. The GDPR and UK GDPR impose requirements on controllers and processors of personal data, including when personal information is transferred outside of the EU or the UK to another country and enhanced protections for “special categories” of personal data, which include sensitive information such as health and genetic information of data subjects. The GDPR and UK GDPR also grant individuals various rights in relation to their personal data including the rights of access, rectification, objection to certain processing and deletion. The GDPR and UK GDPR provide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or a failure to comply with the UK GDPR may result in significant administrative fines issued by EU or UK regulators.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Blocking Prohibition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 2020, the Office of the National Coordinator for Health Information Technology promulgated final regulations under the authority of the 21st Century Cures Act to impose new conditions to obtain and maintain certification of certified health information technology and prohibit certain covered actors, including developers of certified health information technology, health information networks/health information exchanges, and health care providers, from engaging in activities that are likely to interfere with the access, exchange, or use of electronic health information (information blocking). The final regulations further defined exceptions for activities that are permissible, even though they may have the effect of interfering with the access, exchange, or use of electronic health information. The information blocking regulations became effective on April 5, 2021. Under the 21st Century Cures Act, health care providers that violate the information blocking prohibition will be subject to appropriate disincentives, which the HHS has yet to establish through required rulemaking. Developers of certified information technology and health information networks/health information exchanges, however, may be subject to civil monetary penalties of up to $1 million per violation. The HHS Office of Inspector General has the authority to impose such penalties and on April 24, 2020, published a proposed rule to codify new authority in regulation, which the agency proposed would be effective 60 days after it issues a final rule but in no event before November 2, 2020. The HHS Office of Inspector General has not yet issued a final rule.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Consumer Protection Laws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Federal Trade Commission (the “FTC”) is an independent U.S. law enforcement agency charged with protecting consumers and enhancing competition across broad sectors of the economy. The FTC’s primary legal authority with respect to data privacy and security comes from Section 5 of the FTC Act, which prohibits unfair or deceptive acts or practices in the marketplace. The FTC has increasingly used this broad authority to police data privacy and security, using its powers to investigate and bring lawsuits. Where appropriate, the FTC can seek a variety of remedies, such as but not limited to requiring the implementation of comprehensive privacy and security programs, biennial assessments by independent experts, monetary redress to consumers, and provision of robust notice and choice mechanisms to consumers. In addition to its enforcement mechanisms, the FTC uses a variety of tools to protect consumers’ privacy and personal information, including pursuing enforcement actions to stop violations of law, conducting studies and issuing reports, hosting public workshops, developing educational materials and testifying before the U.S. Congress on issues that affect consumer privacy. Recently, the FTC has issued guidance emphasizing that their authority to prevent unfair or deceptive acts or practices extends to advertising and marketing claims for health care and health-related products.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data privacy cases brought by the FTC fall under the “deceptive” acts prong of Section 5. These cases often involve a failure on the part of a company to adhere to its own privacy and data protection principles set forth in its policies or other statements made to consumers. To avoid Section 5 violations, the FTC encourages companies to build privacy protections and safeguards into relevant portions of their business, and to consider privacy and data protection as the company grows and evolves. In addition, privacy notices should clearly and accurately disclose the type(s) of personal information the company collects, how the company uses and shares that information, and the security measures used by the company to protect that information.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recent years, the FTC’s enforcement under Section 5 related to data security has included alleged violations of the “unfairness” prong. Many of these cases have alleged that companies were unfair to consumers because they failed to take reasonable and necessary measures to protect consumer data. The FTC has not provided bright line rules defining what constitutes “reasonable and necessary measures” for implementing a cybersecurity program, but it has provided guidance, tips and advice for companies. The FTC has also published past complaints and consent orders, which it urges companies use as guidance to help avoid an FTC enforcement action, even if a data breach or loss occurs.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FTC Act, most U.S. states have unfair and deceptive acts and practices statutes, known as Unfair Deceptive Acts and Practices ("UDAP") statutes, that substantially mirror the FTC Act and have been applied in the privacy and data security context. These vary in substance and strength from state to state. Many have broad prohibitions against unfair and deceptive acts and practices. These statutes generally allow for private rights of action and are enforced by the states’ Attorneys General.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 and Billing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2014, Congress passed the Protecting Access to Medicare Act of 2014 (“PAMA”), which included substantial changes to the way in which clinical laboratory services are paid under Medicare. Under PAMA (as amended) and its implementing regulations, laboratories that realize at least $12,500 in Medicare Clinical Laboratory Fee Schedule (“CLFS”) revenues during the six month reporting period and that receive the majority of their Medicare revenue from payments made under the CLFS or the Physician Fee Schedule must report, beginning in 2017, and then in 2024 and every three years thereafter (or annually for “advanced diagnostic laboratory tests”), private payor payment rates and volumes for their tests. None of our tests meet the current definition of advanced diagnostic laboratory tests, and therefore we believe we are required to report private payor rates for our tests on an every-three-years basis, starting next in 2024. CMS uses the rates and volumes reported by laboratories to develop Medicare payment rates for the tests equal to the volume-weighted median of the private payor payment rates for the tests. Laboratories that fail to report the required payment information may be subject to substantial civil money penalties.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set forth under the regulations implementing PAMA, for tests furnished on or after January 1, 2018, Medicare payments for clinical diagnostic laboratory tests are paid based upon these reported private payor rates. For clinical diagnostic laboratory tests that are assigned a new or substantially revised code, initial payment rates for clinical diagnostic laboratory tests that are not advanced diagnostic laboratory tests will be assigned by the cross-walk or gap-fill methodology, as under prior law. Initial payment rates for new advanced diagnostic laboratory tests will be based on the actual list charge for the laboratory test.</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payment rates calculated under PAMA went into effect starting January 1, 2018. Where applicable, reductions to payment rates resulting from the new methodology were limited to 10% per test per year in each of the years 2018 through 2020. Rates were held at 2020 levels during 2021 and 2022 and will continue to be held at such levels in 2023. Then, where applicable based upon median private payor rates reported in 2017 or 2024, reduced by up to 15% per test per year in each of 2024 through 2026 (with a second round of private payor rate reporting in 2024 to establish rates for 2025 through 2027).</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PAMA codified Medicare coverage rules for laboratory tests by requiring any local coverage determination to be made following the local coverage determination process. PAMA also authorizes CMS to consolidate coverage policies for clinical laboratory tests among one to four laboratory-specific Medicare Administrative Contractors (“MACs”). These same contractors may also be designated to process claims if CMS determines that such a model is appropriate. It is unclear whether CMS will proceed with contractor consolidation under this authorization.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PAMA also authorized the adoption of new, temporary billing codes and/or unique test identifiers for FDA-cleared or approved tests as well as advanced diagnostic laboratory tests. The American Medical Association has created a section of billing codes, Proprietary Laboratory Analyses (“PLA”), to facilitate implementation of this section of PAMA. These codes may apply to one or more of our tests if we apply for PLA coding.</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Reimbursement and billing for diagnostic services is highly complex, and errors in billing potentially can result denied claims and/or in substantial obligations to repay overpayments to payors. Laboratories must bill various payors, such as private third-party payors, including managed care organizations (“MCO”), and state and federal health care programs, such as Medicare and Medicaid, and each may have different billing requirements. Additionally, the audit requirements we must meet to ensure compliance with applicable laws and regulations, as well as our internal compliance policies and procedures, add further complexity to the billing process. Other factors that complicate billing include:</w:t>
      </w:r>
    </w:p>
    <w:p>
      <w:pPr>
        <w:spacing w:after="0" w:line="12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coverage and information requirements among various payors;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financial assistance programs;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missing, incomplete or inaccurate billing information provided by ordering physicians;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billings to payors with whom we do not have contracts;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payors as to which party is responsible for payment;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payors as to the appropriate level of reimbursement.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Depending on the reimbursement arrangement and applicable law, the party that reimburses us for our services may be:</w:t>
      </w:r>
    </w:p>
    <w:p>
      <w:pPr>
        <w:spacing w:after="0" w:line="17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who provides coverage to the patient, such as an insurance company or MCO;</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 or federal healthcare program;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make our annual reports on Form 10-K, quarterly reports on Form 10-Q, current reports on Form 8-K and amendments to these reports, as well as our other SEC filings, available on our website, free of charge, as soon as reasonably practicable after they are electronically filed with or furnished to the SEC. Our website address is www.genedx.com. The information contained on our website is not incorporated by reference in this document.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You should carefully review and consider the following risk factors and the other information contained in this Annual Report on Form 10-K as well as in our other filings with the SEC before deciding whether to invest in our securities.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net revenue and future prospects. In such event, the trading price of our securities could decline, and you could lose all or part of your investment. This discussion does not address all of the risks that we face, and we may face additional risks and uncertainties that are not presently known to us, or that we currently deem immaterial, which may also impair our business or financial condition. The following discussion should be read in conjunction with the consolidated financial statements and notes thereto included herein.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 length below. These risks include, among others, the following:</w:t>
      </w:r>
    </w:p>
    <w:p>
      <w:pPr>
        <w:spacing w:after="0" w:line="108" w:lineRule="exact"/>
        <w:rPr>
          <w:sz w:val="20"/>
          <w:szCs w:val="20"/>
          <w:color w:val="auto"/>
        </w:rPr>
      </w:pPr>
    </w:p>
    <w:p>
      <w:pPr>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If we do not continue to innovate and provide products and services that are useful to customers, including providers and patients, and partners, we may not remain competitive, which could harm our business and operating results.</w:t>
      </w: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with the development and commercialization of our databases and our health information and genomic platforms.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our existing operations, develop additional products and services, commercialize new products and services or expand our operations.</w:t>
      </w:r>
    </w:p>
    <w:p>
      <w:pPr>
        <w:ind w:left="660" w:right="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federal and state laboratory licensing requirements or standards, we could lose the ability to perform our tests or experience disruptions to our business.</w:t>
      </w:r>
    </w:p>
    <w:p>
      <w:pPr>
        <w:ind w:left="660" w:right="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development and commercialization of our enhanced or new tests or services could materially adversely affect our business, financial condition and results of operations.</w:t>
      </w: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could be subject to significant fluctuation, which could increase the volatility of our stock and warrant prices and cause losses to our stockholders.</w:t>
      </w: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realize the level of the anticipated benefits that we expect from exiting businesses and restructuring our operations, which may adversely impact our business and results of operations.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in FDA enforcement discretion for LDTs could subject our operations to much more significant regulatory requirements.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HIPAA security, privacy and breach notification regulations may increase our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uncertainty related to healthcare reform, pricing, coverage and reimbursement, which could reduce our revenue.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protect our proprietary products, processes, and technologies, including the confidentiality of our trade secrets, could harm our competitive position.</w:t>
      </w:r>
    </w:p>
    <w:p>
      <w:pPr>
        <w:jc w:val="both"/>
        <w:ind w:left="660" w:hanging="328"/>
        <w:spacing w:after="0" w:line="25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Industry and Operations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need to scale our infrastructure in advance of demand for our tests, and our failure to generate sufficient demand for our tests would have a negative impact on our business and our ability to attain profitability.</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in large part on our ability to extend our market position, to provide customers with high-quality test reports quickly and at a lower price than our competitors, and to achieve sufficient test volume to realize economies of scale. In addition, we regularly evaluate and refine our testing process, often significantly updating our workflows, including with respect to exome sequencing and whole genome sequencing. In order to execute our business model, we intend to continue to invest heavily in order to significantly scale our infrastructure, including our testing capacity, particularly with respect to exome sequencing and whole genome sequencing to supplement our panel testing capabilities and information systems, expand our commercial operations, customer service, billing and systems processes and enhance our internal quality assurance program. We expect that much of this growth will be in advance of demand for our tests. Our current and future expense levels are to a large extent fixed and are largely based on investment plans and estimates of future revenue. Because the timing and amount of revenue from our tests is difficult to forecast, when revenue does not meet expectations, we may not be able to adjust our spending promptly or reduce spending to levels commensurate with our revenue. Even if we successfully scale our infrastructure and operations, there can be no assurance that tests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continue to generate substantial demand for our tests, our commercial success will be negatively affected.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model assumes that we will be able to generate significant test volume, particularly with respect to exome sequencing and whole genome sequencing in addition to our panel testing offerings, and we may not succeed in continuing to drive adoption of our tests to achieve sufficient volumes. Inasmuch as detailed genetic data from exome and whole genome sequencing has only recently become available at relatively affordable prices, the continued pace and degree of clinical acceptance of the utility of such testing is uncertain. Specifically, it is uncertain how much genetic data will be accepted as necessary or useful, as well as how detailed that data should be, particularly since medical practitioners may have become accustomed to genetic testing that is specific to one or a few genes and may not embrace the utility of exome sequencing and whole genome sequencing. Given the substantial amount of additional information available from a broad-based testing panel such as ours, there may be distrust as to the reliability of such information when compared with more limited and focused genetic tests. To generate further demand for our tests, we will need to continue to make clinicians aware of the benefits of our tests, including the price, the breadth of our testing options, and the benefits of having additional genetic data available from which to make treatment decisions. A lack of or delay in clinical acceptance of our exome sequencing and whole genome sequencing testing, or our legacy broad-based panels testing, would negatively impact sales and market acceptance of our tests and limit our revenue growth and potential profitability. Genetic testing is expensive, and many potential customers may be sensitive to pricing. In addition, potential customers may not adopt our tests if adequate reimbursement is not available, or if we are not able to maintain low prices relative to our competitors.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not able to generate demand for our tests at sufficient volume, or if it takes significantly more time to generate this demand than we anticipate, our business, prospects, financial condition and results of operations could be materially harmed.</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laboratories become inoperable due to disasters, health epidemics or for any other reasons, we will be unable to perform tests and our business will be harmed.</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perform all of our exome sequencing and whole genome sequencing tests at our production facilities in Gaithersburg, Maryland. Our laboratories and the equipment we use to perform our tests would be costly to replace and could require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 lead time to replace and qualify for use. Our laboratories may be harmed or rendered inoperable by natural or man-made disasters, including flooding, fire and power outages, or by health epidemics, which may render it difficult or impossible for us to perform our tests for some period of time. The inability to perform our tests or the backlog that could develop if our laboratories are inoperable for even a short period of time may result in the loss of customers or harm our reputation. Although we maintain insurance for damage to our property and the disruption of our business, this insurance may not be sufficient to cover all potential losses and may not continue to be available to us on acceptable terms, if at all.</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companies or institutions may develop and market novel or improved technologies, which may make our technologies less competitive or obsolete.</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we do. As the fields of exome and genome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testing and screening products, including exome and whole genome sequencing products, health information services, and analytics, and data science services, and other diagnostic products. These competitors include:</w:t>
      </w:r>
    </w:p>
    <w:p>
      <w:pPr>
        <w:spacing w:after="0" w:line="135" w:lineRule="exact"/>
        <w:rPr>
          <w:sz w:val="20"/>
          <w:szCs w:val="20"/>
          <w:color w:val="auto"/>
        </w:rPr>
      </w:pPr>
    </w:p>
    <w:p>
      <w:pPr>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academic and scientific institutions;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agencies;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and private research organizations.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compete successfully in our existing markets, including exome and whole genome sequencing, but also in any new markets we expand into. Even if we successfully develop new marketable products or services, our current and future competitors may develop products and services that are more commercially attractive than ours, and they may bring those products and services to market earlier or more effectively than we are able to. If we are unable to compete successfully against current or future competitors, we may be unable to increase market acceptance for and sales of our tests and services, which could prevent us from increasing or sustaining our revenues or achieving sustained profitability.</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If we do not continue to innovate and provide products and services that are useful to customers, including providers and patients, and partners, we may not remain competitive, which could harm our business and operating results.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joint ventures and partnerships, in order to enhance our current diagnostics and health information and data science technologies, and existing and new products and services based off these technologies.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than our Company in various sectors. They can use their experience and resources in ways that could affect our competitive position, including by making acquisitions, continuing to invest heavily in research and development and in talent, initiating intellectual property claims (whether or not meritorious), and continuing to compete aggressively for our customers and partners in the market for genetic testing and screening, health information and data science products and services. Our competitors may be able to innovate and provide products and services faster than we can or may foresee the need for products and services before we do.</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operating results may also suffer if our products and services are not responsive to the needs of our customers and partners. As technologies continue to develop, our competitors may be able to offer products and services that are, or that are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seen to be, substantially similar to or better than our current products and services. This may force us to compete in different ways and expend significant resources in order to remain competitive. If our competitors are more successful than us in developing compelling products and services for or in attracting and retaining customers or partners in the market for genetic testing and screening, health information and data science products and services, our operating results could be harmed.</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increase the number of billable tests and our revenue therefrom will depend on our success in achieving reimbursement for our tests from third-party payors. Reimbursement by a payor may depend on a number of factors, including a payor’s determination that a test is appropriate, medically necessary, cost-effective, correctly billed, and has received prior authorization. The commercial success of our current and future products, if approved, will depend on the extent to which our customers receive coverage and adequate reimbursement from third-party payors, including managed care organizations and government payors (e.g., Medicare and Medicaid).</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each payor makes its own decision as to whether to establish a policy or enter into a contract to cover our tests, as well as the amount it will reimburse for a test, seeking these approvals is a time-consuming and costly process. In addition, the determination by a payor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U.S., and the Centers for Medicare &amp; Medicaid Services (“CMS”). We believe that establishing adequate reimbursement from Medicare is an important factor in gaining adoption from healthcare providers. Our claims for reimbursement from third-party payors may be denied upon submission, and we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the payments for our tests are paid or reimbursed under insurance programs with third-party payors. Billing and reimbursement for diagnostic tests is highly complex and closely scrutinized by payors. In particular, billing and reimbursement for multi-gene panel tests and other complex diagnostic tests continues to pose a particular risk of payor audit and potential overpayment obligations. Accurate billing requires sophisticated internal procedures and systems controls and ongoing oversight to ensure compliance with payor requirements.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on a regular basis, and we have needed additional time and resources to comply with them. We have also experienced, and may continue to experience, delays in or denials of coverage if we do not adequately comply with these requirements. Our third-party payors have also requested, and in the future may request, audits of the amounts paid to us. We have been required to repay certain amounts to payors as a result of such audits, including but not limited to the remaining $22 million of the $42 million settlement regarding certain overpayments to Legacy Sema4 allegedly received from a payor, and may be required to repay other payors for alleged overpayments due to lack of compliance with their reimbursement policies. For more information regarding this matter, see Note 4,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to our consolidated financial statements included within this Annual Report. In addition to potential repayment obligations, failure to comply with payor reimbursement policies could result in government enforcement actions and, potentially, exclusion from certain payor programs, which could have a material adverse effect on our business.</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experience with the development and commercialization of our databases and our health information and genomic platforms.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limited experience with the development or commercialization of clinical or research products in connection with the databases we manage and to which we have access, including our Centrellis® platform. Our partners’ usage of an advanced machine learning engine for therapeutic decision-making are at an early stage of development and usage under current and proposed collaborations, and we are continuing to develop new processes that may support the development of new therapeutics applications such as the delivery of personalized clinically actionable insights into clinical reports, clinical trial matching, real-world evidence trials, and clinical decision support, via an advanced programmable interface layer. Although our partners have invested significant financial resources to develop and utilize new technologies to support preclinical studies and other early research and development activities, and provide general and administrative support for these operations, our future success is dependent on our current and future partners’ ability to successfully derive actionable insights from the database and our platform, and our partners’ ability, where applicable, to obtain regulatory approval for new therapeutic solutions based off existing models or to obtain regulatory approval and marketing for, and to successfully commercialize, new therapeutics.</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in our business, and challenges with properly managing its use could result in reputational harm, competitive harm, and legal liability, and adversely affect our results of operations.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incorporate artificial intelligence (“AI”) solutions into our Centrellis® platform to access, combine, curate and analyze health information, including longitudinal patient medical history data, and these applications may become important in our operations over time. Our competitors or other third parties may incorporate AI into their products and offerings more quickly or more successfully than us, which could impair our ability to compete effectively and adversely affect our results of operations. Additionally, if the content, analyses, or recommendations that AI applications assist in producing are or are alleged to be inaccurate, deficient, or biased, our business, financial condition and results of operations may be adversely affected. The use of AI applications has resulted in, and may in the future result in, cybersecurity incidents that implicate the personal medical and genetic data of patients analyzed within such applications. Any such cybersecurity incidents related to our use of AI applications to analyze personal data could adversely affect our reputation and results of operations. AI also presents emerging ethical issues and if our use of AI becomes controversial, we may experience brand or reputational harm, competitive harm, or legal liability. The rapid evolution of AI, including potential government regulation of AI and its various uses, will require significant resources to develop, test and maintain our Centrellis® platform, offerings, services, and features to help us implement AI ethically in order to minimize unintended, harmful impact.</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existing operations, develop additional products and services, commercialize new products and services or expand our operations.</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incurred net losses and negative cash flows from operations since its inception, with an accumulated deficit of $1.3 billion as of December 31, 2023. We expect to continue to generate significant operating losses for the foreseeable future.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seek to sell common or preferred equity or convertible debt securities, enter into a credit facility or another form of third-party funding or seek other debt financing. For example, we have an effective shelf registration statement that we filed with the SEC in August of 2022, registering $300 million shares of our Class A common stock and other securities. As of December 31, 2023, approximately $150 million of securities remained available under this registration statement.</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also consider raising additional capital in the future to expand our business, to pursue strategic investments, to take advantage of financing opportunities or for other reasons, including to:</w:t>
      </w:r>
    </w:p>
    <w:p>
      <w:pPr>
        <w:spacing w:after="0" w:line="10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our current and future products and services;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efforts for our current and future products and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products and services into other disease indications and clinical applications;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payor coverage and reimbursement arrangements with commercial third-party payors and government payors;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offerings, including our sales and marketing efforts;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the sales and marketing activities associated with, establishing adoption of our services for biopharma partners;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products and services in research and early development;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product and market developments;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international expansion;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of and delays in product development as a result of any regulatory oversight applicable to our products and services.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dilution to our stockholders could result. Any preferred equity securities issued also could provide for rights, preferences or privileges senior to those of holders of our Class A common stock.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credit agreement contains operating and financial restrictions that may limit our business and financing activities.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credit agreement with Perceptive Credit Holdings IV, LP (“Perceptive”) contains operating and financial restrictions that may limit our business and financing activities. In particular, our credit agreement includes customary affirmative and negative covenants and events of default, including negative covenants that restrict, among other things, our ability to incur indebtedness and liens, dispose of property and make investments. In addition, the credit agreement requires us to maintain aggregate unrestricted cash of not less than $5.0 million and minimum levels of quarterly core revenue through the third quarter of 2028. The operating and financial restrictions in the credit agreement, as well as any other financing arrangements that we may enter into, may limit our ability to finance our operations, or engage in, expand, or otherwise pursue our business activities and strategies. Our ability to comply with these or other covenants may be affected by events beyond our control, and future breaches of these or other covenants could result in a default under the credit agreement or any other financing arrangement. If not waived, future defaults could cause all of the outstanding indebtedness under our credit agreement or other financing arrangement to become immediately due and payable and terminate all commitments to extend further credit, if any. Furthermore, if we were unable to repay our credit agreement or other indebtedness then due and payable, secured lenders could proceed against the assets, if any, securing such indebtedness. A default would also likely significantly diminish the market price of our securities.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do not have or are unable to generate sufficient cash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as a going concern.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Ethical, legal and social concerns related to the use of genomic medicine and health information analysis could reduce demand for our tests.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 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laboratory licensing requirements or standards, we could lose the ability to perform our tests or experience disruptions to our business.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Clinical Laboratory Improvement Amendments of 1988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us to be eligible to bill state and federal healthcare programs, as well as many private third-party payors, for our tests. We have current CLIA, College of American Pathologists ("CAP"), and other certifications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conduct our tests at our laboratory in Maryland. To renew these certifications, we are subject to survey and inspection on a regular basis and at the request of the certifying bodies. Moreover, CLIA inspectors may make random inspections of our clinical reference laboratory.</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would also be required to maintain in-state licenses if we were to conduct testing in other states. Several states require the licensure of out-of-state laboratories that accept specimens from certain states.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having a laboratory license in New York, our clinical reference laboratory is approved on test-specific bases for the tests it runs as laboratory-developed tests (“LDTs”), by the New York State Department of Health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U.S. Complying with licensure requirements in new jurisdictions may be expensive, time-consuming, and subject us to significant and unanticipated delays.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 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U.S. require CAP accreditation as a condition to permitting clinical laboratories to test samples taken from their citizens. We have a CAP accreditations for our laboratory. Failure to maintain CAP accreditation could have a material adverse effect on the sales of our tests and the results of our operations.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 distributed by the U.S. Department of Health and Human Services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2020, we received $5.4 million as part of the stimulus, comprised of $2.6 million received under the PRF and $2.8 million received under the ERC. In 2021, we received an additional $5.6 million under the PRF distribution. Funds provided under the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Funds provided under the ERC distributions are refundable tax credits for 50% of qualified wages paid to employees during the pandemic. A company is eligible for the ERC if (1) its operations have been fully or partially suspended because of COVID-19, or (2) its gross receipts in a calendar quarter in 2020 declined by more than 50% from the same period in 2019. At the time of applying for the ERC, we concluded that the eligibility requirements were met. However, due to a change in circumstances, we have re-evaluated our position and concluded that the funds received under the ERC</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needed to be repaid. Therefore, in July 2023, we remitted $2.7 million of payment and reduced a liability initially recorded in other current liabilities on our balance sheets.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high degree of uncertainty regarding the implementation of the CARES Act, the Consolidated Appropriations Act, 2021, other stimulus legislation and our revenue revisions, there can be no assurance that the terms and conditions of the PRF or other relief programs will not change or be interpreted in ways that affect our ability to comply with such terms and conditions in the future, which could affect our ability to retain such assistance. We will continue to monitor our compliance with the terms and conditions of the PRF, including demonstrating that the distributions received have been used for healthcare-related expenses or lost revenue attributable to COVID-19. If we are unable to comply with current or future terms and conditions, our ability to retain some or all of the distributions received may be impacted, and we may be subject to actions including payment recoupment, audits and inquiries by governmental authorities, and criminal, civil or administrative penalties.</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affected and any similar public health emergency in the future may materially and adversely affect our business and financial results.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pandemic, together with related precautionary measures in response to the pandemic, materially disrupted our business during certain periods in 2021. Although our test volumes improved to what would be considered normalized market conditions during 2022 and we maintained normalized volumes during 2023, the COVID-19 pandemic, or other similar public health emergencies in the future, may disrupt our business in the future and materially and adversely affect our business and financial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Model</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performance, including our research and development programs and laboratory operations, largely depends on our continuing ability to identify, hire, develop, motivate and retain highly skilled personnel for all areas of our 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geographies in which we operate. Further, we may be unable to obtain the necessary visas for foreign personnel to work in the U.S. In addition, our compensation arrangements, such as our equity award programs, may not always be successful in attracting new employees and retaining and motivating our 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member or change in structure of our senior management team could adversely affect our business.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in large part upon the skills, experience and performance of key members of our executive management team and others in key leadership positions. The efforts of these persons will be critical to us as we continue to develop our technologies and test processes and focus on scaling our business. If we were to lose one or more key executives, including our Chief Executive Officer, Katherine Stueland,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In addition, we do not have long-term retention agreements in place with our executive officers.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future growth effectively, which could make it difficult to execute our business strategy.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we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 business and financial operations.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could expose us to business, regulatory, political, operational, financial and economic risks associated with doing business outside of the U.S. and Canada.</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cleared, authorized or approved, we and our collaborators may market, sell, and distribute our products and services outside of the U.S., and our business would be subject to risks associated with doing business outside of the U.S., including an increase in our expenses and diversion of our management’s attention from the development of future products and services. Accordingly, our business and financial results in the future could be adversely affected due to a variety of factors, including:</w:t>
      </w:r>
    </w:p>
    <w:p>
      <w:pPr>
        <w:spacing w:after="0" w:line="126" w:lineRule="exact"/>
        <w:rPr>
          <w:sz w:val="20"/>
          <w:szCs w:val="20"/>
          <w:color w:val="auto"/>
        </w:rPr>
      </w:pPr>
    </w:p>
    <w:p>
      <w:pPr>
        <w:jc w:val="both"/>
        <w:ind w:left="660" w:hanging="328"/>
        <w:spacing w:after="0" w:line="25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payor regimes and other governmental approvals, permits and licenses;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collaborators or our distributors to obtain regulatory clearance, authorization or approval for the use of our products and services in various countries;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relevant third-party patent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and enforcing our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including repatriating foreign earned profits;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negotiating favorable reimbursement negotiations with governmental authorities;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samples, including infrastructure conditions and transportation delays;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 if we are not able to conduct our clinical diagnostic services locally;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 and services and exposure to foreign currency exchange rate fluctuations;</w:t>
      </w:r>
    </w:p>
    <w:p>
      <w:pPr>
        <w:ind w:left="660" w:right="2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regulations and license requirements that may restrict foreign investment in and operation of the internet, IT infrastructure, data centers and other sectors, and international transfers of data;</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and outbreak of disease;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boycotts, curtailment of trade and other business restrictions;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distributors’ activities that may fall within the purview of the Foreign Corrupt Practices Act of 1977 (the “FCPA”), its books and records provisions, or its anti-bribery provisions, Canada’s Corruption of Foreign Public Officials Act, or laws similar to the FCPA in other jurisdictions in which we may in the future operate, such as the United Kingdom’s Bribery Act of 2010 and anti-bribery requirements of member states in the European Union (the “EU”).</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revenue and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U.S. or global economic conditions could adversely affect our business, financial condition or results of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financial markets. A severe or prolonged economic downturn or increase in inflation and interest rates could result in a variety of risks to our business, including weakened demand for our products and services, increased costs and expenses and a reduced ability to raise additional capital when needed on favorable terms, if at all. A weak declining or inflationary economy could also strain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collaborators and suppliers, resulting in supply disruption, or cause delays in their payments to us. For example, we have experienced and may continue to experience interruptions in the supply of the diagnostic testing materials necessary for our testing products and material and shipping cost increases. We also have significant supply contracts that are short-term and, as we enter into the renewal cycles for these contracts, we may face material price increases upon renewal.</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particular, challenging macroeconomic conditions, including cost inflation, decreases in per capita income and levels of disposable income, increased and/or prolonged unemployment or a decline in consumer confidence, as well as limited or significantly reduced points of access of our tests, could have a material adverse effect on the demand for our tests. Under difficult economic conditions, consumers may seek to reduce discretionary spending by forgoing our tests. Decreased demand for our tests, could negatively affect our overall financial performance.</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of the foregoing could harm our business and we cannot anticipate all of the ways in which the current economic climate and financial market conditions could adversely impact our business, financial condition, or results of operations.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sourced and will continue to source components of our diagnostic testing workflow, including sequencers and other laboratory equipment, reagents, lab supplies and other laboratory services and materials and related services, from third parties.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a viable alternative sequencing platform on which our testing could be run in a commercially viable manner. These efforts 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we face.</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require that we re-validate our affected tests using replacement equipment and supplies, which could delay the performance of our tests, impact diagnostic solutions and heath information derived from such tests, and result in increased costs. Any of these occurrences could have a material adverse effect on our business, financial condition and results of operations.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currently rely upon third-party services for data storage and workflow management, including cloud storage solution providers, such as Microsoft Azure (“Azure”), Amazon Web Services (“AWS”), and Google Cloud Platform (“GCP”). We rely on each of these providers to complete several vital workflows in our health information and data science service delivery. To varying degrees some of those services are proprietary to how each platform performs in connection with our current usage of the services.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Nearly all of our data storage and analytics are conducted on, and the data and content we generate on our platforms are processed through, servers hosted by these providers, particularly Azure, AWS and GCP.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Azure, AWS or GCP, and if such agreements are terminated, we may not be able to enter into similar relationships in the future on reasonable terms or at all.</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and future products and services may never achieve significant commercial market acceptance.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depends on the market’s confidence that we can provide data-driven research and diagnostic products and services that improve clinical outcomes, lower healthcare costs and enable better product development by biopharma companies. Failure of our products and services, or those jointly developed with our collaborators, to perform as expected or to be updated to meet market demands could significantly impair our operating 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services in general.</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and our collaborators may not succeed in achieving significant commercial market acceptance for our current or future products and services due to a number of factors, including:</w:t>
      </w:r>
    </w:p>
    <w:p>
      <w:pPr>
        <w:spacing w:after="0" w:line="108" w:lineRule="exact"/>
        <w:rPr>
          <w:sz w:val="20"/>
          <w:szCs w:val="20"/>
          <w:color w:val="auto"/>
        </w:rPr>
      </w:pPr>
    </w:p>
    <w:p>
      <w:pPr>
        <w:jc w:val="both"/>
        <w:ind w:left="660" w:hanging="328"/>
        <w:spacing w:after="0" w:line="25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the utility of our platforms and related products and services and their potential advantages over existing clinical AI technology, life sciences research, clinical diagnostic and drug discovery technologies to academic institutions, biopharma companies and the medical community;</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our platforms and related products and services by academic institutions, clinicians, patients, key opinion leaders, advocacy groups and biopharma companies; and</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product and services, and technological innovation and commercial growth.</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our customers and collaborators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estimated the global market opportunity for our current and future products and services, and these markets may be smaller than we estimate.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estimates of the global market opportunity for our current products and services and those under development are based on a number of internal and third-party estimates, including, the market opportunity for rare disease and pediatric developmental disorders, adult disorders and newborn screening. The estimates also depend on whether we or 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 addressable market for our products or services is smaller than we have estimated, it may impair our sales growth and have an adverse impact on our business.</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Uncertainty in the development and commercialization of our enhanced or new tests or services could materially adversely affect our business, financial condition and results of operations.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will depend in part on our ability to effectively introduce enhanced or new offerings, with a focus on expanding the clinical utility and application of exome and whole genome sequencing and developing solutions our health information platform can provide to partners.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relatively limited experience developing and commercializing products and services outside of the diagnostics business, and we may not be successful in our current or future efforts to 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Class A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 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provide assurance that we can successfully complete the development of any new or enhanced product, or that we can establish or maintain the collaborative relationships that may be essential to our collaborators’ goals, including clinical development or commercialization efforts. For example,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 lack of compelling data from, clinical studies, as well as delays in the review, acceptance and publication process. If our diagnostic solutions or the technology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underlying our current and future diagnostic solutions do not receive sufficient favorable exposure in peer-reviewed publications, the rate of clinician adoption of our diagnostic solutions and positive reimbursement coverage determinations for our diagnostic solutions could be negatively affected.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2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Accessing, combining, curating, and analyzing health information, including longitudinal patient medical history data and genetic data, are core features of the Centrellis</w:t>
      </w:r>
      <w:r>
        <w:rPr>
          <w:rFonts w:ascii="Times New Roman" w:cs="Times New Roman" w:eastAsia="Times New Roman" w:hAnsi="Times New Roman"/>
          <w:sz w:val="23"/>
          <w:szCs w:val="23"/>
          <w:color w:val="008080"/>
          <w:vertAlign w:val="superscript"/>
        </w:rPr>
        <w:t>®</w:t>
      </w:r>
      <w:r>
        <w:rPr>
          <w:rFonts w:ascii="Times New Roman" w:cs="Times New Roman" w:eastAsia="Times New Roman" w:hAnsi="Times New Roman"/>
          <w:sz w:val="18"/>
          <w:szCs w:val="18"/>
          <w:color w:val="auto"/>
        </w:rPr>
        <w:t xml:space="preserve"> platform. The regulatory landscape around the storage, processing and deidentification of genetic data is evolving globally and greatly impacts the ability of us, our strategic partners and collaborators to process and use the data in connection with our products and services.</w:t>
      </w:r>
    </w:p>
    <w:p>
      <w:pPr>
        <w:spacing w:after="0" w:line="1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limited resources to conduct our health information services, data analysis, life sciences research, clinical diagnostics and drug discovery operations and have not yet fully established infrastructure for sales, marketing or distribution in connection with our products and services. Our future success depends in part on our ability to maintain and grow our existing relationships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products and services do not perform as expected, we may not realize the expected benefits of such products and services.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of our products depends on the market’s confidence that we can provide reliable products and services that enable high quality diagnostic testing and health information services with high sensitivity and specificity and short turnaround times. There is no guarantee that the accuracy and reproducibility we have demonstrated to date will continue as our product deliveries increase and our product and service portfolio expands.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 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 substantial effort in areas such as integrations for testing workflow, electronic medical record,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 As is typical for companies in our industry, we are continually evaluating and pursuing various strategic or commercial relationships, some of which may involve the sale and issuance of our Class A common stock, which could result in additional dilution of the percentage ownership of our stockholders and could cause the price of our Class A common stock and warrants to decline.</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our relationships are not successful, our ability to develop and improve of products, services and technologies, and to successfully execute our commercial strategy regarding such products, services and technologies, could be compromised.</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deploy and maintain effective sales, marketing and medical affairs capabilities, we will have difficulty achieving market awareness and selling our products and services.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achieve commercial success for our tests and our future products and services, we must continue to develop and grow our sales, marketing and medical affairs organizations to effectively explain to healthcare providers the reliability, effectiveness and benefits of our current and future products and services as compared to alternatives. We may not be able to successfully manage our dispersed or inside sales forces or our sales force may not be effective. Because of the competition for their services, we may be unable to hire, partner with or retain additional qualified sales representatives or marketing or medical affairs personnel, either as our employees or independent contractors or through independent sales or other third-party organizations. Market competition for commercial, marketing and medical affairs talent is significant, and we may not be able to hire or retain such talent on commercially reasonable terms, if at all.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never become profitable.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incurred losses since our formation and we expect to continue to generate significant operating losses for the foreseeable future. We expect to continue investing significantly toward development and commercialization of our products and services and expect to continue efforts to reduce operating costs. If our revenue does not grow significantly, or if we are unable to achieve planned cost reductions, we will not be profitable. We cannot be certain that the revenue from the sale of any products or services based on our technologies will be sufficient to make us profitable.</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could be subject to significant fluctuation, which could increase the volatility of our stock and warrant prices and cause losses to our stockholders.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and results of operations may fluctuate significantly, depending on a variety of factors, including the following:</w:t>
      </w:r>
    </w:p>
    <w:p>
      <w:pPr>
        <w:spacing w:after="0" w:line="17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marketing and selling, and changes in demand for, our tests, and the level of reimbursement and collection obtained for such tests;</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and environmental variations affecting healthcare provider recommendations for our tests and patient compliance with healthcare provider recommendations, including without limitation holidays, weather events, and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circumstances such as the outbreak of coronavirus or influenza that may limit patient access to medical practices for diagnostic tests and preventive services;</w:t>
      </w: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collecting payments from third-party payors, patients and collaborative partners, variation in the timing of these payments and recognition of these payments as revenues;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tests, including potential changes in CMS or other reimbursement rates;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circumstances affecting our ability to provide our tests, including weather events, supply shortages, or regulatory or other circumstances that adversely affect our ability to manufacture our tests or process tests in our clinical laboratories;</w:t>
      </w: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amount and timing of our selling and marketing costs and our ability to manage costs and expenses and effectively implement our business;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activities;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use, and commercialize data in a changing regulatory environment at a time when the public is growing increasingly concerned about privacy.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growth rate could decline over time, and it may experience downward pressure on our operating margins in the future.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 may also experience a decline in our revenue growth rate as our revenues increase to higher levels, if there is a decrease in the rate of adoption of our products, services, and technologies, among other factors.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 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may affect our operating margins.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these factors and the evolving nature of our business, our historical revenue growth rate and historical gross operating margins may not be indicative of our future performance.</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course of preparing Legacy Sema4’s financial statements as of December 31, 2020, we previously identified material weaknesses in our internal control over financial reporting. Certain of these material weaknesses remain unremediated as of December 31, 2023. For a discussion of these material weaknesses, see “Item 9A. Controls and Procedures.”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is actively engaged and committed to taking the steps necessary to remediate the control deficiencies that constituted the material weaknesses. However, we cannot guarantee that the steps we have taken or may subsequently take have been or will be sufficient to remediate the material weaknesses or ensure that our internal controls are effective. For a discussion of our remediation plan and actions, see “Item 9A. Controls and Procedures.”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as a public company, we are required to comply with certain rules and requirements related to our disclosure controls and procedures and our internal control over financial reporting. Any failure to develop or maintain effective controls as a public company, any deficiencies found in the technology system we use to support our controls, or any difficulties encountered in their implementation or improvement, could harm our operating results or cause us to fail to meet our reporting obligations and may result in a restatement of our financial statements for prior periods. For more information, see “</w:t>
      </w:r>
      <w:r>
        <w:rPr>
          <w:rFonts w:ascii="Times New Roman" w:cs="Times New Roman" w:eastAsia="Times New Roman" w:hAnsi="Times New Roman"/>
          <w:sz w:val="18"/>
          <w:szCs w:val="18"/>
          <w:i w:val="1"/>
          <w:iCs w:val="1"/>
          <w:color w:val="auto"/>
        </w:rPr>
        <w:t>Risks Related to Being a Public Company—Our internal controls over financial reporting may not be effective and our independent registered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firm may not be able to certify as to their effectiveness, which could have a significant and adverse effect on our business and reputation.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 forwards and certain other tax attributes may be limited.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our total gross deferred tax assets were approximately $326 million. Future realization of the tax benefits of existing temporary differences and carryforwards ultimately depends on the existence of sufficient taxable income within the carryforward period. As of December 31, 2023 and December 31, 2022, the Company performed an evaluation to determine whether a valuation allowance was needed. Based on the Company’s analysis, which considered all available evidence, both positive and negative, the Company determined that it is more likely than not that a significant portion of its deferred tax assets will not be realized. Accordingly, the Company maintained a full valuation allowance as of December 31, 2023 and December 31, 2022.</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under Section 382 of the Internal Revenue Code of 1986, as amended (the “Internal Revenue Code”), if a corporation undergoes an “ownership change,” the corporation’s ability to use its pre-change net operating loss carryforwards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 Combination or the Acquisition, or future transactions in our stock, our ability to utilize NOLs and tax credit carryovers could be further limited by Section 382 of the Internal Revenue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Key Relationships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commercial delivery services to transport samples to our facilities in a timely and cost-efficient manner and if these delivery services are disrupted, our business could be harmed.</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core business depends on our ability to quickly and reliably deliver test results to our customers. We typically receive blood and saliva samples for analysis at our laboratory facilities within days of collection from the patient. Disruptions and errors in these delivery service and accessioning errors and breaches, whether due to error by the delivery service, labor disruptions, bad weather, natural disaster, terrorist acts or threats, outbreaks of disease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Acquisitions and Other Strategic Transactions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realize the level of the anticipated benefits that we expect from exiting businesses and restructuring our operations, which may adversely impact our business and results of operations.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may decide to exit certain businesses or otherwise undertake restructuring, reorganization, or other strategic initiatives and business transformation plans to realign our resources with our growth strategies, operate more efficiently and control costs. The successful implementation of our restructuring activities may from time to time require us to effect business and asset dispositions, workforce reductions, management restructurings, decisions to limit investments in or otherwise exit businesses, facility consolidations and closures, and other actions, each of which may depend on a number of factors that may not be within our control. For example, as described in more detail elsewhere in this Annual Report, we enacted a plan to reduce our operating expenses during the fourth quarter of 2023, we exited our reproductive and women’s health testing business during the first quarter of 2023, and we exited our somatic tumor testing business during the fourth quarter of 2022.</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such effort to realign or streamline our organization may result in the recording of restructuring or other charges, such as asset impairment charges, contract and lease termination costs, exit costs, termination benefits and other restructuring costs. Further, as a result of restructuring initiatives, we may experience a loss of continuity, loss of accumulated knowledge and proficiency, adverse effects on employee morale, loss of key employees and/or other retention issues during transitional periods. Reorganization and restructuring can impact a significant amount of management and other employees’ time and focus, which may divert attention from operating and growing our business. Further, upon completion of any restructuring initiatives, our business may not be more efficient or effective than prior to the implementation of the plan and we may be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unable to achieve anticipated operating enhancements or cost reductions, which would adversely affect our business, competitive position, operating results and financial condition.</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to grow our business through additional acquisitions of complementary products or technologies and we may from time to time dispose of businesses or assets, and the failure to manage these acquisitions or dispositions, or the failure to integrate acquired businesses with our existing business, could have a material adverse effect on our business, financial condition and operating results.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consider additional opportunities to acquire other products or technologies that may enhance our product platform or technology, expand the breadth of our markets or customer base, or advance our business strategies. In addition, we exited both our reproductive and women's health testing business and our somatic tumor testing business, which involves the divestiture of these businesses, and we may consider disposing other assets or businesses in the future.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acquisitions involve numerous risks, including:</w:t>
      </w:r>
    </w:p>
    <w:p>
      <w:pPr>
        <w:spacing w:after="0" w:line="17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assimilating the acquired products or technologies;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maintaining uniform standards, procedures, controls and policies;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associated with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existing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new markets in which we have limited or no experience;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and accounting costs relating to the acquisitions or compliance with regulatory matters.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know if we will be able to identify any other acquisitions we deem suitable, whether we will be able to successfully complete any acquisitions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Dispositions may similarly involve </w:t>
      </w:r>
      <w:r>
        <w:rPr>
          <w:rFonts w:ascii="Times New Roman" w:cs="Times New Roman" w:eastAsia="Times New Roman" w:hAnsi="Times New Roman"/>
          <w:sz w:val="18"/>
          <w:szCs w:val="18"/>
          <w:color w:val="212529"/>
        </w:rPr>
        <w:t>risks associated with the potential disruption of our ongoing business and distraction of our management team,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anticipated benefits and cost savings of these transactions may not be realized fully, or at all, or take longer to realize than anticipated. In addition, dispositions </w:t>
      </w:r>
      <w:r>
        <w:rPr>
          <w:rFonts w:ascii="Times New Roman" w:cs="Times New Roman" w:eastAsia="Times New Roman" w:hAnsi="Times New Roman"/>
          <w:sz w:val="18"/>
          <w:szCs w:val="18"/>
          <w:color w:val="000000"/>
        </w:rPr>
        <w:t>may involve our continued financial involvement in a divested business, such as through continuing equity ownership, transition service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agreements, guarantees, indemnities or other current or contingent financial obligations. Under these arrangements, performance by the acquired or divested business, or other conditions outside our control, could affect our future financial results.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Regulatory and Compliance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increased compliance risks as a result of our rapid growth, including our dependence on our sales, marketing and billing efforts.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had to expand our training and compliance efforts in line with our increasing reliance on personnel in our sales, marketing and billing functions, and our expansion of these functions in line with the overall growth in our business. 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 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 consumers, who may seek actual or statutory damages, which could be material in the aggregate. As we continue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use hazardous materials in a manner that causes injury, we could be liable for resulting damages.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activities currently require the use of hazardous chemicals and biological material. We cannot eliminate the risk of accidental contamination or injury to employees or third parties from the use, storage, handling or disposal of these materials.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contamination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changes in FDA enforcement discretion for LDTs could subject our operations to much more significant regulatory requirements.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currently offer an LDT version of certain tests. The FDA has a policy of enforcement discretion with respect to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(“CDRH”) have expressed significant concerns regarding disparities between some LDTs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that have been reviewed, cleared, authorized or approved by the FDA. If the FDA were to determine that certain tests offered by us as LDTs are not within the policy for LDTs for any reason, including new rules, policies or guidance, or due to changes in statute, our tests may become subject to extensive FDA requirements or our business may otherwise be adversely affected. If the FDA were to disagree with our LDT status or modify its approach to regulating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or approval of a premarket approval. Furthermore, pending legislative proposals, if passed,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or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Recently, the FDA has also taken a more active role in certain diagnostic areas, including the oversight of pharmacogenetic (“PGx”)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various complex laws and regulations applicable to clinical diagnostics. We could be subject to significant fines and penalties if we or our partners fail to comply with these laws and regulations.</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provider of clinical diagnostic products and services, we and our partners are subject to extensive and frequently changing federal, state, local and foreign laws and regulations governing various aspects of our business.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particular, the clinical laboratory and healthcare industry is subject to significant governmental certification and licensing regulations, as well as federal, state and foreign laws regarding:</w:t>
      </w:r>
    </w:p>
    <w:p>
      <w:pPr>
        <w:spacing w:after="0" w:line="108"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ordering and billing practices;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sales and pricing practices;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information privacy and security, including HIPAA and comparable state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anti-markup legislation;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and abuse;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protection.</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also required to comply with FDA regulations, including with respect to our labeling and promotion activities. In addition, advertising and marketing of our clinical products are subject to regulation by the Federal Trade Commission (the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 we could experience under FDA, FTC and state regulation. We incur various costs in complying and overseeing compliance with these laws and regulations. The growth of our business and sales organization, the acquisition of additional businesses or products and services and our expansion outside of the U.S. may increase the potential of violating these laws, regulations or our internal policies and procedures.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 cannot predict what additional changes, if any, will be proposed or adopted or the effect that such proposals or adoption may have on our business, financial condition and results of operations.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or our partners, fail to comply with these laws and regulations, it could incur significant fines and penalties and our reputation and prospects could suffer. Additionally, any such partners could be forced to cease offering our products 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the HIPAA security, privacy and breach notification regulations may increase our costs.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HIPAA privacy, security and breach notification regulations, which include requirements implemented under the HITECH Act, establish federal standards with respect to the uses and disclosures of protected health information (“PHI”), by health plans, healthcare providers and healthcare clearinghouses. The HIPAA regulations generally prohibit the use and disclosure of PHI without patient authorization, unless the use or disclosure is for payment, treatment or healthcare operations purposes. In setting standards to protect the confidentiality, integrity and security of PHI, the regulations establish a regulatory framework that addresses a variety of subjects, including:</w:t>
      </w:r>
    </w:p>
    <w:p>
      <w:pPr>
        <w:spacing w:after="0" w:line="129" w:lineRule="exact"/>
        <w:rPr>
          <w:sz w:val="20"/>
          <w:szCs w:val="20"/>
          <w:color w:val="auto"/>
        </w:rPr>
      </w:pPr>
    </w:p>
    <w:p>
      <w:pPr>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under which uses and disclosures of PHI are permitted or required without a written authorization from the patient, including but not limited to treatment purposes, activities to obtain payments for our services, and our healthcare operations activities;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patient’s rights to access, amend and receive an accounting of certain disclosures of PHI;</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notify individuals if there is a breach of their PHI;</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contents of notices of privacy practices related to the use and disclosure of PHI;</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technical and physical safeguards required of entities that use or receive PHI;</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criteria related to the deidentification and aggregation of PHI;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and protection of electronic PHI.</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required to comply with applicable state privacy, security and breach notification laws and regulations, which may be more stringent than federal HIPAA requirements. In addition, for healthcare data transfers from other countries relating to citizens and/or residents of those countries, we are also required to comply with the laws of those countries. Furthermore, on December 1, 2022, the U.S. Department of Health and Human Services, Office for Civil Rights (“OCR”) issued a Bulletin highlighting the obligations of HIPAA covered entities and business associates with respect to the use of online tracking technologies. To the extent that a covered entity or business associate permits a tracking technology vendor to collect PHI of its customers, the parties must enter into a business associate agreement. In addition, the PHI collected may only be used for treatment or health care operation purposes, in accordance with HIPAA. The PHI cannot be used for marketing purposes that are not connected with treatment or health care operations absent a HIPAA compliant authorization from each customer whose information is being shared.</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HIPAA does not provide for private rights of action, HIPAA gives OCR and the Department of Justice the authority to assess significant fines and other penalties for wrongful use or disclosure of PHI, including potential civil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criminal fines and penalties. OCR may require an entity to enter into a settlement agreement which may include ongoing oversight and auditing of a company’s HIPAA compliance program.</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Despite such protections, unauthorized persons may also be able to gain access to PHI stored in such third parties’ computer networks. Any wrongful use or disclosure of PHI by us or such third-parties, including disclosure due to data theft or unauthorized access to us or such third-parties’ computer networks, could subject us to fines or penalties that could adversely affect our business and results of operations. In addition, we distribute PHI to patients in physical form (e.g., test materials and/or test results), which introduces additional risk that human error will result in unauthorized disclosures of PHI. Although HIPAA does not expressly provide for a private right of action for damages, we could also be liable for damages under state privacy laws to private parties for the wrongful use or disclosure of confidential health information or other private personal information.</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implemented practices intended to meet the requirements of the HIPAA privacy, security and breach notification regulations, as required by law, but cannot guarantee that such practices fully satisfy all applicable requirements under HIPAA. In addition, the Company has experienced a number of “security incidents” (as defined under HIPAA) that involved the unauthorized disclosure of PHI. A subset of these incidents was determined to be reportable breaches requiring disclosure to OCR, as well as to the affected patients. Moreover, we cannot confirm that we have identified all previous incidents that could constitute reportable breaches, or that the mitigation steps undertaken in response to known breaches are adequate to satisfy applicable regulatory requirements and prevent any future unauthorized disclosures.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noted above, in addition to HIPAA, we are subject to myriad federal, state, and local requirements pertaining to the collection, retention, and disclosure of genetic material. While we endeavor to remain current with such requirements, we can provide no assurance that we are, or will remain, in compliance with all applicable requirements. Failure to comply with privacy and data security requirements could result in a variety of consequences, including significant fines and penalties as well as damage to our reputation, any of which could have a material adverse effect on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activities may subject the Company to risks under federal and state laws prohibiting ‘kickbacks’ and false or fraudulent claims.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among others, a federal law commonly known as the federal Anti-Kickback Statute, the federal False Claims Act, the federal physician self-referral law, known as the Stark Law, and corollary state laws. These laws constrain, among other things, the sales, marketing and other promotional activities of manufacturers of medical devices and providers of laboratory services by limiting the kinds of financial arrangements, including sales programs, free goods and services, consulting arrangements, speaker programs, compensated service arrangements (including specimen collection and processing), and other non-monetary compensation (e.g., meals, gifts and other business courtesies), that may be used with hospitals, healthcare providers, laboratories and other potential purchasers or prescribers of medical devices and laboratory services. The federal and state fraud and abuse laws prescribe civil and, in some cases, criminal penalties (including fines) for noncompliance that can be substantial. In addition, various states have enacted false claim laws analogous to the federal laws that apply where a claim is submitted to any third-party payor and not only a governmental payor program. Moreover, any claim for reimbursement that is predicated on a violation of the Anti-Kickback Statute may constitute a “false claim” under the False Claims Act (discussed in further detail below).</w:t>
      </w:r>
    </w:p>
    <w:p>
      <w:pPr>
        <w:spacing w:after="0" w:line="1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2018, Congress passed the Eliminating Kickbacks in Recovery Act (“EKRA”), as part of the Substance Use-Disorder Prevention that Promotes Opioid Recovery and Treatment for Patients and Communities Act. Similar to the Anti-Kickback Statute,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Anti-Kickback Statute,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Anti-Kickback Statute, includes certain exceptions that are widely relied upon in the healthcare industry, including safe harbors applicable to certain employees and personal service contracts, and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a relatively new law, there is no agency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guidance and only two courts have addressed the application of EKRA and those courts reached opposite conclusions. One Court ruled that the commission-based compensation provisions of a laboratory employee’s contract did not violate EKRA while the other court expressly disagreed. Given the conflicting opinions, we cannot be assured that courts in our jurisdiction will reach the same conclusion or that the decision will not be overturned if there is an appeal. We cannot assure you that our relationships with healthcare providers, hospitals, customers, our own sales representatives, or any other party will not be subject to scrutiny or will survive regulatory challenge under EKRA or other anti-kickback laws.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False Claims Act prohibits knowingly presenting (or causing the presentation of) a false claim for reimbursement by a federal health care program. Violation of the False Claims Act can result in substantial penalties, including treble damages. Moreover, the False Claims Act permits enforcement by qui tam relators (i.e., whistleblowers), such as competitors, customers, or current/former employees, who will receive a portion of any settlement. As discussed above, violations of the Anti-Kickback statute can serve as the basis for enforcement under the False Claims Act. In addition, inaccurate or otherwise improper claims for reimbursement could constitute a false claim, meaning that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 (“CERT”), program, and payments may be recouped by CMS if it is determined that they were improperly made. Currently, a small percentage of our revenues are generated by payments from Medicare.</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In addition, while we have and will continue to enter into certain financial arrangements with referral sources, and we endeavor to ensure that such arrangements are designed to comply with applicable rules, laws and regulations, we can offer no assurance that such arrangements will not result in regulatory or enforcement scrutiny.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 investigations conducted in one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markets.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and services will be unrealized.</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currently include, among others:</w:t>
      </w:r>
    </w:p>
    <w:p>
      <w:pPr>
        <w:spacing w:after="0" w:line="108" w:lineRule="exact"/>
        <w:rPr>
          <w:sz w:val="20"/>
          <w:szCs w:val="20"/>
          <w:color w:val="auto"/>
        </w:rPr>
      </w:pPr>
    </w:p>
    <w:p>
      <w:pPr>
        <w:ind w:left="6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establishes comprehensive federal standards with respect to the privacy and security of protected health information and requirements for the use of certain standardized electronic transactions;</w:t>
      </w:r>
    </w:p>
    <w:p>
      <w:pPr>
        <w:jc w:val="both"/>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Data Protection Regulation (“GDPR”) and UK Data Protection Act 2018 (“UK GDPR”),, which imposes strict privacy and security requirements on controllers and processors of European and UK personal data, including enhanced protections for “special categories” of personal data, including sensitive information such as health and genetic information of data subjects;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CCPA , and similar consumer privacy laws in Colorado, Connecticut, Utah, and Virginia, which, among other things, regulate how subject businesses may collect, use, disclose and/or sell the personal information of consumers who reside in each state, affords rights to consumers that they may exercise against businesses that collect their information, and requires implementation of reasonable security measures to safeguard personal information of consumers;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governing genetic counseling services, relating to, among other things, the adequacy of health care, the practice of medicine and other health professions (including the provision of remote care and cross-coverage practice), equipment, personnel, operating policies and procedures and the prerequisites for ordering laboratory tests. Some states have enacted regulations specific to providing services to patients via telehealth. Such regulations include, among other things, informed consent requirements that some states require providers to obtain from their patients before providing telehealth services. Health professionals who provide professional services using telehealth modalities must, in most instances, hold a valid license to practice the applicable health profession in the state in which the patient is located. In addition, certain states require a healthcare professional providing telehealth to be physically located in the same state as the patient. Any failure to comply with these laws and regulations could result in civil or criminal penalties against telehealth providers.</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human subjects research regulations, including but not limited to the federal Policy for Protection of Human Subjects (45 C.F.R. Part 46), the FDCA and its applicable implementing regulations at 21 C.F.R. Parts 11, 50, 54, 56, 58 and 812, and all equivalent legal requirements in other jurisdictions.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item or service for which payment may be made, in whole or in part, under a federal healthcare program;</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EKRA, which prohibits payments for referrals to recovery homes, clinical treatment facilities, and laboratories and reaches beyond federal health care programs, to include private insurance;</w:t>
      </w:r>
    </w:p>
    <w:p>
      <w:pPr>
        <w:jc w:val="both"/>
        <w:ind w:left="660" w:hanging="328"/>
        <w:spacing w:after="0" w:line="255"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an exception applies, and prohibits an entity from billing for designated health services furnished pursuant to a prohibited referral;</w:t>
      </w:r>
    </w:p>
    <w:p>
      <w:pPr>
        <w:spacing w:after="0" w:line="27" w:lineRule="exact"/>
        <w:rPr>
          <w:sz w:val="20"/>
          <w:szCs w:val="20"/>
          <w:color w:val="auto"/>
        </w:rPr>
      </w:pPr>
    </w:p>
    <w:p>
      <w:pPr>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liability on any person or entity that, among other things, knowingly presents, or causes to be presented, a false or fraudulent claim for payment to the federal government;</w:t>
      </w:r>
    </w:p>
    <w:p>
      <w:pPr>
        <w:jc w:val="both"/>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payor, including private insurers;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21st Century Cures Act information blocking prohibition, which prohibits covered actors from engaging in certain practices that are likely to interfere with the access, exchange, or use of electronic health information;</w:t>
      </w:r>
    </w:p>
    <w:p>
      <w:pPr>
        <w:jc w:val="both"/>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of medicine, osteopathy, dentists, optometrists, podiatrists and chiropractors), physician assistants, nurse practitioners, clinical nurse specialists, certified registered nurse anesthetists, anesthesiologist assistants, certified nurse midwives and teaching hospitals as well as ownership and investment interests held by physicians and their immediate family members;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limit or prohibit the provision of certain payments and other transfers of value to certain covered healthcare providers;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reassignment of Medicare claims, which, subject to certain exceptions, precludes the reassignment of Medicare claims to any other party;</w:t>
      </w:r>
    </w:p>
    <w:p>
      <w:pPr>
        <w:jc w:val="both"/>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payors;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that may apply to us in the countries in which we operate or may operate in the future;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relate to maintaining accurate information and control over activities that may fall within the purview of the U.S. Foreign Corrupt Practices Act, its books and records provisions, or anti-bribery provisions.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policies and procedures designed to comply with these laws and regulations. While the Company continues to develop and improve its compliance program, we acknowledge that further development will be necessary to help mitigate enforcement risk. Our compliance may also be subject to governmental review and, in the event of a violation of certain legal requirements, any deficiencies in our policies, procedures, and controls may subject us to increased sanctions that could materially affect our business.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growth of our business and our expansion outside of the U.S.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and curtailment or cessation of our operations, which may impact existing contracts with key payors, collaborators, health systems, and commercial partners. Any of the foregoing consequences could seriously harm our business and our financial results.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uncertainty related to healthcare reform, pricing, coverage and reimbursement, which could reduce our revenue.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Healthcare reform laws, including the Patient Protection and Affordable Care Act (“ACA,”) and the Protecting Access to Medicare Act of 2014 (“PAMA,”) are significantly affecting the U.S. healthcare and medical services industry. Existing legislation, and possible future legal and regulatory changes, including potential repeal or modification of the ACA,</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and if the plaintiffs in any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unless delayed by an act of Congress,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payor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payors that provide reimbursement for our tests may suspend, revoke or discontinue coverage at any time, may require co-payments from patients, or may reduce the reimbursement rates payable to us. Any such action could have a negative impact on our revenues.</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and professional liability suits against us could result in expensive and time-consuming litigation, payment of substantial damages and increases in our insurance rates.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Errors, defects, or mistakes in our products or services, and operations could harm our reputation, decrease market acceptance of our products or services.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creating new products and services, many of which are initially based on largely untested technologies. As all of our products and services progress, we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 initially result in unanticipated issues that reduce the efficiency or increase variability. In particular, sequencing, which is a key component of these processes, could be inefficient with higher-than-expected variability thereby increasing total sequencing costs and reducing the number of samples we can process in a given time period. Therefore, inefficient or variable processes can cause variability in our operating results and damage our reputation.</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we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may falsely indicate a patient has a disease or genetic variant, fail to assess a patient’s risk of getting a disease or having a child with a disease, or fail to detect disease or variant in a patient who requires or could benefit from treatment or intervention. 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 warranty and liability claims for damages related to errors or defects in our products or services. Any of these developments could harm our business and operating results.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increasingly complex taxation rules and practices, which may affect how we conduct our business and our results of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we conduct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 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effectively protect our proprietary products, processes, and technologies, could harm our competitive position.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rely upon trade secret protection and copyright, as well as non-disclosure agreements and confidentiality and intellectual property ownership provisions in agreements with our consultants collaborators, vendors and other third parties, confidentiality and proprietary rights agreements, including invention assignment provisions, with our employees, and, to a limited extent, patent protection, to protect our confidential and proprietary information. As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by our methods and databases relative to our competitors. If we do not protect our intellectual property adequately, competitors may be able to use our methods and databases and thereby erode any competitive advantages we may have.</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we deem appropriate. However, we expect that potential patent coverage we may obtain will not be sufficient to prevent substantial competition. In this regard, we believe it is probable that others will independently develop similar or alternative technologies or design around those technologies for which we may obtain patent protection. In addition, any patent applications we file may be rejected during examination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It would be expensive, if we initiate lawsuits to protect or enforce our patents or trade secrets, or defend against third-party IP claims, and if we lose, we may lose some of our intellectual property rights. Furthermore, these lawsuits may divert the attention of our management and technical personnel.</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to continue relying substantially upon trade secrets and proprietary know-how protection for our confidential and proprietary information, and we have taken security measures to maintain such protection for this information. These measures, however, may not provide adequate protection for our trade secrets, know-how or other confidential information. Among 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 that our trade secrets will not become known. Enforcing a claim that a party illegally disclosed or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inability to effectively protect our proprietary technologies under certain jurisdictions and legal regimes could harm our competitive position.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and ability to compete in certain jurisdictions and under certain legal regimes depend to a large extent on our ability to develop proprietary products and technologies and to maintain adequate protection of our intellectual property in the U.S. and other countries; this becomes increasingly important as we expand our operations and enter into strategic collaborations with partners to develop and commercialize products outside of the U.S. The laws of some foreign countries do not protect proprietary rights to the same extent as the laws of the U.S., and we may encounter difficulties in establishing and enforcing its proprietary rights in some jurisdictions.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issues arising under patents and patent applications owned or controlled by our collaborators and licensors.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factors could adversely affect our ability to obtain commercially relevant or competitively advantageous patent protection for our products.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patent regulations or standards are modified, such changes could have a negative impact on our business.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the U.S. Supreme Court, other federal courts, the U.S. Congress or the U.S. Patent &amp; Trademark Office (“USPTO”) may change the standards of patentability and validity of patents within the screening and diagnostics space, and any such changes could have a negative impact on our business.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There have been several cases involving “gene patents” and diagnostic claims that have been considered by the U.S. Supreme Court. In March 2012, the Supreme Court </w:t>
      </w:r>
      <w:r>
        <w:rPr>
          <w:rFonts w:ascii="Times New Roman" w:cs="Times New Roman" w:eastAsia="Times New Roman" w:hAnsi="Times New Roman"/>
          <w:sz w:val="18"/>
          <w:szCs w:val="18"/>
          <w:i w:val="1"/>
          <w:iCs w:val="1"/>
          <w:color w:val="auto"/>
        </w:rPr>
        <w:t>in Mayo Collaborative Services v. Prometheus Laboratories, Inc,</w:t>
      </w:r>
      <w:r>
        <w:rPr>
          <w:rFonts w:ascii="Times New Roman" w:cs="Times New Roman" w:eastAsia="Times New Roman" w:hAnsi="Times New Roman"/>
          <w:sz w:val="18"/>
          <w:szCs w:val="18"/>
          <w:color w:val="auto"/>
        </w:rPr>
        <w:t xml:space="preserve"> found a patented diagnostic method claim unpatentable because the relationship between a metabolite concentration and optimized dosage was a patent-ineligible “law of nature.” In June 2013, the Supreme Court ruled in </w:t>
      </w:r>
      <w:r>
        <w:rPr>
          <w:rFonts w:ascii="Times New Roman" w:cs="Times New Roman" w:eastAsia="Times New Roman" w:hAnsi="Times New Roman"/>
          <w:sz w:val="18"/>
          <w:szCs w:val="18"/>
          <w:i w:val="1"/>
          <w:iCs w:val="1"/>
          <w:color w:val="auto"/>
        </w:rPr>
        <w:t xml:space="preserve">ACLU v. Myriad Genetics, Inc, </w:t>
      </w:r>
      <w:r>
        <w:rPr>
          <w:rFonts w:ascii="Times New Roman" w:cs="Times New Roman" w:eastAsia="Times New Roman" w:hAnsi="Times New Roman"/>
          <w:sz w:val="18"/>
          <w:szCs w:val="18"/>
          <w:color w:val="auto"/>
        </w:rPr>
        <w:t>that an isolated genomic DNA sequence is not patent eligible, but complimentary DNA, or “cDNA,” is eligible. The</w:t>
      </w:r>
      <w:r>
        <w:rPr>
          <w:rFonts w:ascii="Times New Roman" w:cs="Times New Roman" w:eastAsia="Times New Roman" w:hAnsi="Times New Roman"/>
          <w:sz w:val="18"/>
          <w:szCs w:val="18"/>
          <w:i w:val="1"/>
          <w:iCs w:val="1"/>
          <w:color w:val="auto"/>
        </w:rPr>
        <w:t xml:space="preserve"> Prometheus and Myriad </w:t>
      </w:r>
      <w:r>
        <w:rPr>
          <w:rFonts w:ascii="Times New Roman" w:cs="Times New Roman" w:eastAsia="Times New Roman" w:hAnsi="Times New Roman"/>
          <w:sz w:val="18"/>
          <w:szCs w:val="18"/>
          <w:color w:val="auto"/>
        </w:rPr>
        <w:t>decisions, as well as subsequent case law, affect the legal concept of subject matter eligibility by seemingly narrowing the scope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statute defining patentable inventions.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December 2014 and again in 2019, the USPTO published revised guidelines for patent examiners to apply when examining process claims for patent eligibility in view of several recent Supreme Court decisions, including </w:t>
      </w:r>
      <w:r>
        <w:rPr>
          <w:rFonts w:ascii="Times New Roman" w:cs="Times New Roman" w:eastAsia="Times New Roman" w:hAnsi="Times New Roman"/>
          <w:sz w:val="18"/>
          <w:szCs w:val="18"/>
          <w:i w:val="1"/>
          <w:iCs w:val="1"/>
          <w:color w:val="auto"/>
        </w:rPr>
        <w:t>Mayo, Association for Molecular Pathology v. Myriad Genetics, Inc.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Alice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 Pty. Ltd. v. CLS Bank International</w:t>
      </w:r>
      <w:r>
        <w:rPr>
          <w:rFonts w:ascii="Times New Roman" w:cs="Times New Roman" w:eastAsia="Times New Roman" w:hAnsi="Times New Roman"/>
          <w:sz w:val="18"/>
          <w:szCs w:val="18"/>
          <w:color w:val="auto"/>
        </w:rPr>
        <w:t>, and others. The guidance indicates that claims directed to a law of nature, a natural phenomenon, 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abstract idea that do 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 substantive changes to patent law, whether new or associated with the America Invents Act which substantially revised the U.S. patent system,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adequately protect our trade secrets and other proprietary information, including the databases we manage and to which we have access, the value of our technology and products could be significantly diminished.</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non-disclosure agreements and our employees to enter into confidentiality and proprietary rights and, in certain cases non-compete agreements. However, breaches of our physical or electronic security systems, or breaches caused by our 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remedy may not adequately compensate us for the harm caused by the breach. These risks are heightened in countries where laws or law enforcement practices may not protect proprietary rights as fully as in the U.S. or Europe. Any unauthorized use or disclosure of, or access to, our trade secrets, know-how or other proprietary information, whether accidentally or through willful misconduct, could have a material adverse effect on our programs and our strategy, and on our ability to compete effectively.</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 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pending trademark applications in the U.S.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we may not be able to compete effectively, and our business may be adversely affected.</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or other proceedings resulting from either third-party claims of patent infringement, or asserting infringement by third parties of our technology, could be costly, time-consuming, and could limit our ability to commercialize our products or services.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the USPTO maintains patent applications in secrecy until a patent application publishes or the patent is issued, we have no way of knowing if others may have filed patent applications covering technologies used by it or our partners. Additionally, there may be third-party patents, and other intellectual property rights relevant to our technologies that may block us from commercializing our technologies. From time-to-time, we have received correspondence from third parties alleging to hold intellectual property rights that could block our development or commercialization of products. While none of these inquiries to date have had any material effect on us, we may receive inquiries in the future that could have a material effect on our business. Even if third-party claims are without merit, defending a lawsuit may result in substantial expense to us and may divert the attention of management and key personnel. In addition, we cannot provide assurance that we would prevail in any such suits to the extent necessary to conduct our business according to our strategic plan or that the damages or other remedies, if any, awarded against us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predict whether, or offer any assurance that, the patent infringement claims may initiate in the future will be successful. We are and may become subject to counterclaims by patent infringement defendants. Our patents may be declared invalid or unenforceable, or narrowed in scope. Even if we prevail in an infringement action, we cannot assure you that it would be adequately compensated for the harm to our business. If we are unable to enjoin third-party infringement, our revenues may be adversely impacted and we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and other entities with whom we do business require us to defend or indemnify these parties to the extent they become involved in patent infringement claims, including the types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open-source software could subject our business to possible litigation or cause us to subject our platform to unwanted open-source license conditions that could negatively impact our sales.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limited but meaningful portion of our platforms and products incorporate open-source software, and we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 that we had not complied with 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 software, which could substantially help our competitors develop products that are similar to or better than our products.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strategic collaborative and licensing arrangements with third parties to develop intellectual property. We may not be able to successfully establish and maintain such intellectual property.</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 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Cybersecurity, Privacy and Information Technology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 interference with, or failure of our information technology and communications systems could hurt our ability to effectively provide our products and services, which could harm our reputation, financial condition, and operating results.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 problems experienced by facility operators. Some of our systems are not fully redundant, and disaster recovery planning cannot account for all eventualities.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occurrence of a natural disaster, closure of a facility, or other unanticipated problems at our data centers could result in lengthy interruptions in our service. In addition, our products and services are highly technical and complex and may contain errors or vulnerabilities, which could result in interruptions in or failure of our services or systems.</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privacy issues, loss of data and other incidents could continue to compromise sensitive, protected, or personal information related to our business, could prevent it from accessing critical information, and could expose it to regulatory liability, which could adversely affect our business.</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our collection and storing of PHI also includes more sensitive data, such as genetic information, as well as personally identifiable information, genetic information, credit card information, financial information, intellectual property and proprietary business information owned or controlled by us or our customers, payors and other parties. We manage and maintain our applications and data utilizing a combination of on-site systems, managed data center systems and cloud-based systems. We also communicate PHI and other sensitive patient data through our various customer tools and platforms, and in physical form.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continue to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lost or stolen technology, or other disruptions. Any such breach or interruption could compromise our networks and the information stored therein could be accessed by unauthorized parties, altered, publicly disclosed, lost or stolen.</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payors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For example, as noted above, pursuant to guidance recently issued by OCR, HIPAA covered entities and business associates who permit tracking technology vendors to collect PHI from their patients must enter into a HIPAA compliant business associate agreement with that vendor or obtain advance consent. We have utilized, and may continue to utilize, tracking technologies on one or more of our websites, and may not be able to do so in a manner that is consistent with what HIPAA requires. Should we actually violate, or be perceived to have violated, any privacy promises our business makes to patients or consumers, we could be subject to a complaint from an affected individual or interested privacy regulator, such as OCR, the FTC, a state Attorney General, an EU Member State Data Protection Authority, or a data protection authority in another international jurisdiction. This risk is heightened given the sensitivity of the data we collect.</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malicious harm. Penalties for unfair or deceptive acts or practices under the FTC Act or state UDAP, statutes may also vary significantly.</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has been unprecedented activity in the development of data protection regulation around the world. As a result, the interpretation and application of consumer, health-related and data protection laws in the U.S., Europe and elsewhere are often uncertain, contradictory and in flux.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(“CPRA,”) that went into effect on January 1, 2023. The CPRA among other things, amends the CCPA to give California residents the ability to limit the use of their sensitive information provides for penalties for CPRA violations concerning California residents under the age of 16, and establishes a new California Privacy Protection Agency to implement and enforce the law. Other jurisdictions in the U.S. are beginning to propose and enact laws similar to the CCPA. Some observers have noted that the CCPA could mark the beginning of a trend toward more stringent privacy legislation, which could increase our potential liability and adversely affect our business, results of operations, and financial condition.</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possible the GDPR, CCPA and other emerging U.S.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In the U.S., the SEC has adopted rules for mandatory disclosure of cybersecurity incidents suffered by public companies, as well as cybersecurity governance and risk management. Complying with these various laws and regulations could cause us to incur substantial costs or require it to change our business practices and compliance procedures in a manner adverse to our business. Any failure or perceived failure by us to comply with these laws may also subject us to enforcement action or litigation, any of which could harm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privacy and security concerns relating to our technology and our practices could damage our reputation, subject it to significant legal and financial exposure, and deter current and potential users or customers from using our products and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and services involve the storage and transmission of protected health information and other personal information,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 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 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scientific computing and information technology and management systems and any failure of these systems could harm our business.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depend on scientific computing and information technology and management systems, including third-party cloud computing infrastructure, operating systems and AI platforms, for significant elements of 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installed, and expect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billing and collections provider depends upon technology and telecommunications systems provided by outside vendors.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screening analysis, clinical diagnostics and drug discovery, preparing and providing reports to researchers, clinicians and our collaborators, billing payors,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transfer data stored outside of the U.S. could be limited by international regulations or other action by foreign governments, which could adversely affect our business.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the data we process in the ordinary course of our business may be stored outside of the U.S. In order to process such data, we may need to transfer them to countries other than those where they are stored. Should a foreign government adopt a regulation restricting the international transfer of such data, we may not be able to process them, which could adversely impact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including costs associated with public company reporting requirements. In addition, the Sarbanes-Oxley Act of 2002 (the “Sarbanes-Oxley Act”) as well as rules implemented by the SEC and the Nasdaq Stock Market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Dodd-Frank Wall Street Reform and Consumer Protection Act (the “Dodd-Frank Act”), enacted in 2010, includes significant corporate governance and executive-compensation-related provisions. Our management and other personnel will need to devote a substantial amount of time to these compliance and disclosure obligations. If these requirements divert the attention of our management and personnel 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continue, which would adversely affect the liquidity and price of our securities.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price of our securities may fluctuate significantly due to general market and economic conditions. An active trading market for our securities may not be sustained. In addition, the price of our securities can vary due to general economic conditions and forecasts, our general business condition and the release of our financial reports. You may be unable to sell your securities when desired or at an acceptable price unless an active trading market can be sustained.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meet the expectations of investors, stockholders or financial analysts, the market price of our securities may decline.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do not meet the expectations of investors or securities analysts, the market price of our securities may decline. In addition, fluctuations in the price of our securities could contribute to the loss of all or part of your investment. If an active market for our securities does not continue,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171"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 new products, acquisitions, strategic alliances, significant agreements by us or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falling below our financial guidance or other projections or failing to meet the expectation of securities analysts or investors in a particular period;</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new and enhanced products on a timely basis;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Class A common stock available for public sale;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or management;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Class A common stock by our directors, officers or significant stockholders or the perception that such sales could occur;</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market stand-off or contractual lock-up agreements;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described herein;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the Nasdaq;</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or other laws or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9" w:lineRule="exact"/>
        <w:rPr>
          <w:rFonts w:ascii="Times New Roman" w:cs="Times New Roman" w:eastAsia="Times New Roman" w:hAnsi="Times New Roman"/>
          <w:sz w:val="18"/>
          <w:szCs w:val="18"/>
          <w:color w:val="auto"/>
        </w:rPr>
      </w:pPr>
    </w:p>
    <w:p>
      <w:pPr>
        <w:ind w:left="660" w:right="60" w:hanging="328"/>
        <w:spacing w:after="0" w:line="290" w:lineRule="auto"/>
        <w:tabs>
          <w:tab w:leader="none" w:pos="65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political conditions such as recessions, rising inflation and interest rates, uncertainty with respect to the U.S. federal budget, global conflicts such as the war in Ukraine and the war in Israel, fuel prices, international currency fluctuations and acts of war or terrorism.</w:t>
      </w:r>
    </w:p>
    <w:p>
      <w:pPr>
        <w:spacing w:after="0" w:line="1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the past, securities class action litigation has often been initiated against companies following periods of volatility in their stock price. In particular, on September 7, 2022, a shareholder class action lawsuit was filed in the U.S. District Court for the District of Connecticut against the Company and certain of the Company’s current and former officers. Further, on February 7, 2023, a stockholder commenced a lawsuit in the Delaware Court of Chancery against, among other parties, certain of the Company’s current and former directors. In addition, on November 28, 2023, a stockholder filed a lawsuit in the U.S. District Court for the District of Delaware against, among other parties, certain of the Company’s current and former officers and directors. For more information, see Note 11, </w:t>
      </w:r>
      <w:r>
        <w:rPr>
          <w:rFonts w:ascii="Times New Roman" w:cs="Times New Roman" w:eastAsia="Times New Roman" w:hAnsi="Times New Roman"/>
          <w:sz w:val="18"/>
          <w:szCs w:val="18"/>
          <w:i w:val="1"/>
          <w:iCs w:val="1"/>
          <w:color w:val="auto"/>
        </w:rPr>
        <w:t>“Purchase Commitments and Contingencies”</w:t>
      </w:r>
      <w:r>
        <w:rPr>
          <w:rFonts w:ascii="Times New Roman" w:cs="Times New Roman" w:eastAsia="Times New Roman" w:hAnsi="Times New Roman"/>
          <w:sz w:val="18"/>
          <w:szCs w:val="18"/>
          <w:color w:val="auto"/>
        </w:rPr>
        <w:t xml:space="preserve"> in the consolidated financial statements included in this Annual Report. This type of litigation could result in substantial costs and divert our management’s attention and resources, and could also require us to make substantial payments to satisfy judgments or to settle litigation.</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us, our business, or our market, or if they change their recommendations regarding our Class A common stock adversely, then the price and trading volume of our Class A common stock could decline.</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is influenced by the research and reports that industry or securities analysts publish about us, our business, our market, or our competitors. If any of the analysts who cover us change their recommendation regarding our stock adversely, or provide more favorable relative recommendations about our competitors, the price of our Class A common stock would likely decline. If any analyst who covers us were to cease coverage of us or fail to regularly publish reports on us, we could lose visibility in the financial markets, which could cause our stock price or trading volume to decline.</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Charter and Bylaws, as well as provisions of Delaware law, could impair a takeover attempt.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as amended (our “Charter”),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26"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the Board;</w:t>
      </w: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directors may only be removed from the Board for cause;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ind w:left="66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jc w:val="both"/>
        <w:ind w:left="66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stockholders calling a special meeting and the requirement that a meeting of stockholders may only be called by a majority of the board, our chairman of the board or our chief executive officer and may not be called by any other person, which may delay the ability of our stockholders to force consideration of a proposal or to take action, including the removal of directors;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changes or amendments to certain provisions of our Charter must be approved by holders of at least two-thirds of our Class A common stock; and</w:t>
      </w:r>
    </w:p>
    <w:p>
      <w:pPr>
        <w:jc w:val="both"/>
        <w:ind w:left="660" w:hanging="328"/>
        <w:spacing w:after="0" w:line="255"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2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qualify as an “emerging growth company” as defined in Section 2(a)(19) of the Securities Act, as modified by the Jumpstart Our Business Startups Act (“JOBS”).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As a result, our stockholders may not have access to certain information they deem important. We will remain an emerging growth company until the earliest of (i) the last day of the fiscal year: (a) following September 1, 2025, the fifth anniversary of the initial public offering of CMLS;</w:t>
      </w:r>
    </w:p>
    <w:p>
      <w:pPr>
        <w:spacing w:after="0" w:line="3" w:lineRule="exact"/>
        <w:rPr>
          <w:sz w:val="20"/>
          <w:szCs w:val="20"/>
          <w:color w:val="auto"/>
        </w:rPr>
      </w:pPr>
    </w:p>
    <w:p>
      <w:pPr>
        <w:jc w:val="both"/>
        <w:ind w:firstLine="8"/>
        <w:spacing w:after="0" w:line="255" w:lineRule="auto"/>
        <w:tabs>
          <w:tab w:leader="none" w:pos="2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we have total annual gross revenue of at least $1.235 billion; or (c) in which we are deemed to be a large accelerated filer, which means the market value of our Class A common stock that is held by non-affiliates exceeds $700.0 million as of the prior June 30th, and (ii) the date on which we have issued more than $1.0 billion in non-convertible debt during the prior three-year period.</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consolidated financial statements. We will remain a smaller reporting company until the last day of the fiscal year in which (i) the market value of our Class A common stock held by non-affiliates exceeds $250 million as of the prior June 30, or (ii) our annual revenues exceeded $100 million during such completed fiscal year and the market value of our Class A common stock held by non-affiliates exceeds $700 million as of the prior June 30.</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because we rely on these exemptions. If some investors find our Class A common stock less attractive as a result, there may be a less active trading market for our Class A common stock and our stock price may be more volatile.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internal controls over financial reporting may not be effective which could have a significant and adverse effect on our business and reputation.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public company, we are required to comply with the SEC’s rules implementing Sections 302 and 404 of Sarbanes-Oxley Act,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management’s assessment on internal controls, and we may need to undertake various actions, such as implementing additional internal controls and procedures and hiring additional accounting or internal audit staff.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Class A common stock could be negatively affected, and we could become subject to investigations by the SEC or other regulatory authorities, which could require additional financial and management resources.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Charter and our Bylaws designate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Charter and our Amended and Restated Bylaws (as amended, our “Bylaws”) designate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and our Bylaws provide that, subject to limited exceptions, the Court of Chancery of the State of Delaware and federal court within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will be exclusive forums for any:</w:t>
      </w:r>
    </w:p>
    <w:p>
      <w:pPr>
        <w:spacing w:after="0" w:line="153"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our behalf;</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of breach of a fiduciary duty owed by, or other wrongdoing by, any of our directors, officers, stockholders, employees or agents to us or our stockholders;</w:t>
      </w:r>
    </w:p>
    <w:p>
      <w:pPr>
        <w:jc w:val="both"/>
        <w:ind w:left="66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against the us or any of our directors, officers, stockholders, employees or agents arising pursuant to any provision of the General Corporation Law, our Charter or our Bylaws or as to which the General Corporation Law confers jurisdiction on the Court of Chancery of the State of Delaware: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to interpret, apply, enforce or determine the validity of our Charter or our Bylaws; or</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 asserting a claim against us or any of our directors, officers, stockholders, employees or agents that is governed by the internal affairs doctrine.</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provisions do not apply to actions brought to enforce a duty or liability created under the Exchange Act or any other claim for which federal courts have jurisdiction. Furthermore, in accordance with our Bylaws, unless we consent in writing to the selection of an alternative forum, the federal district courts of the U.S. will be, to the fullest extent permitted by law,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exclusive forum for the resolution of any complaint asserting a cause of action arising under the Securities Act. Any person or entity purchasing or otherwise acquiring or holding any interest in any of our securities shall be deemed to have notice of and consented these provisions in our Charter and our Bylaws.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may limit a stockholder’s ability to bring a claim in a judicial forum that it finds favorable for disputes with us or any of our directors, officers, or other employees, which may discourage lawsuits with respect to such claims. Alternatively, if a court were to find the provisions contained in our Charter and our Bylaws to be inapplicable or unenforceable in an action, we may incur additional costs associated with resolving such action in other jurisdictions, which could harm our business, results of operations and financial condition.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will not be deemed to have waived our compliance with the federal securities laws and the regulations promulgated thereunder.</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Warrants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ownership of our outstanding Class A common stock is concentrated, with certain of our stockholders owning significant percentages of our outstanding shares.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Icahn School of Medicine at Mount Sinai (“ISMMS”), OPKO Health, Inc. (“OPKO”), entities affiliated with Casdin Partners Master Fund, L.P. (“Casdin Partners”), and Corvex Management, L.P. (“Corvex Management”) are some of our significant stockholders, which owned approximately 11%, 11%, 12% and 10%, respectively, of our outstanding shares of our Class A common stock as of December 31, 2023. In addition, Mr. Richard C. Pfenniger, Jr., one of our directors also serves as a director of OPKO, Mr. Eli D. Casdin, one of our directors, is affiliated with Casdin Partners and CMLS Holdings, LLC (“CMLS Holdings”), which owned approximately 1% of our outstanding shares of our Class A common stock as of December 31, 2023, and Mr. Keith Meister, one of our directors, is affiliated with Corvex Management and CMLS Holdings.</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stockholders may choose to dispose of some or all of the shares of our Class A common stock held by them. Any disposal of shares of Class A common stock by any of these stockholders, or the perception that these sales could occur, could cause the market price of our stock or warrants to decline.</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Class A common stock purchasable upon exercise of a public warrant could be decreased, all without the approval of that warrant holder.</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public warrants prior to their exercise at a time that is disadvantageous to warrant holders, thereby making their public warrants worthless.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the ability to redeem outstanding public warrants at any time after they become exercisable and prior to their expiration, at a price of $0.33 per public warrant; provided that the last reported sales price of our Class A common stock equals or exceeds $594.00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securities laws. We will use our best efforts to register or qualify such shares of common stock under the blue 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CMLS Holdings LLC, or its permitted transferees. Additionally, none of the private warrants issued to Perceptive are redeemable by us so long as the warrants are held by Perceptive, or its permitted transferees.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warrants are exercisable for our Class A common stock, which will increase the number of shares eligible for future resale in the public market and result in dilution to our stockholders.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our public warrants were exercisable for 452,272 shares of Class A common stock at $379.50 per share, our private warrants were exercisable for 214,243 shares of Class A common stock at $379.50 per share, and our private warrants issued to Perceptive were exercisable for 800,000 shares of Class A common stock at $3.18 per share. The additional shares of our Class A common stock issuable upon exercise of our warrants will result in dilution to the then existing holders of our Class A common stock and increase the number of shares eligible for resale in the public market. Sales of substantial numbers of such shares in the public market could adversely affect the market price of our Class A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warrants are accounted for as liabilities and the changes in value of our warrants could have a material effect on our financial results.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Included on our consolidated balance sheet as of December 31, 2023, are liabilities related to our public and private warrants which are each remeasured at fair value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in our results of operations and that the amount of such gains or losses could be material. For example, during 2023, we recognized $0.2 million in non-cash gains on the fair value of our warrants due to the change in fair market value. If the price of our Class A common stock decreases, we expect we would recognize non-cash gains on our warrants in future reporting periods.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resales of our Class A common stock could cause the market price of our Class A common stock to drop significantly, even if our business is doing well.</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had 25,978,863 shares of Class A common stock outstanding as of December 31, 2023. We have filed a registration statement which registers the offer and sale from time to time by certain selling stockholders of up to 10,803,779 shares of our Class A common stock, although the 2,873,738 shares of our Class A common stock registered on behalf of OPKO pursuant to this registration statement will be subject to certain transfer restrictions pursuant to the shareholder agreements that were entered into in connection with the Acquisition. To the extent shares of our Class A common stock are sold into the market pursuant to an effective registration statement, under Rule 144 under the Securities Act or otherwise, particularly in substantial quantities and following the end of the transfer restrictions provided for in the shareholder agreements in the case of OPKO and the other stockholders party to such shareholder agreements, the market price of our Class A common stock could decline.</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public warrants will ever be in the money, and they may expire worthless and the terms of our public warrants may be amended.</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exercise price for the public warrants is $379.50 per share of Class A common stock. There is no guarantee that the public warrants will ever be in the money prior to their expiration, and as such, the public warrants may expire worthless.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we will be able to satisfy the continued listing standards of Nasdaq going forward and if we fail to satisfy the continued listing requirements of Nasdaq, including the minimum closing bid price requirement, Nasdaq may take steps to delist our Class A common stock.</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the Nasdaq under the symbols “WGS” and “WGSWW,” respectively. However, we cannot ensure that we will be able to satisfy the continued listing standards of Nasdaq, including the minimum closing bid price requirement, going forward. If we cannot satisfy the continued listing standards going forward, The Nasdaq Stock Market may commence delisting procedures against us, which could result in our Class A common stock or public warrants being removed from listing on Nasdaq. If either of our Class A common stock or public warrants were to be delisted, the liquidity of our Class A common stock or warrants could be adversely affected and the market price of our Class A common stock or warrants could decrease. Delisting could also adversely affect our securityholders’ ability to trade or obtain quotations on our securities because of lower trading volumes and transaction delays. These factors could contribute to lower prices and larger spreads in the bid and ask price for our securities. Investors may also not be able to resell their Class A common stock or warrants at or above the price they paid for such securities or at all.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21E1F"/>
        </w:rPr>
        <w:t>Our board of directors recognizes the critical importance of maintaining the trust and confidence of our customers, healthcare providers, clients, business partners, and employees. Our board of directors actively oversees our risk management program, and cybersecurity represents an important component of our overall approach to enterprise risk management (“ERM”). In general, we seek to address cybersecurity risks through a cross-functional approach focused on preserving the confidentiality, security, and availability of the information that we collect and store by identifying, preventing and mitigating cybersecurity threats and effectively responding to cybersecurity incidents when they occur.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1E1F"/>
        </w:rPr>
        <w:t>Risk Management and Strategy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one of the critical elements of our overall ERM approach, our cybersecurity program is focused on the following key areas:</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Governance: </w:t>
      </w:r>
      <w:r>
        <w:rPr>
          <w:rFonts w:ascii="Times New Roman" w:cs="Times New Roman" w:eastAsia="Times New Roman" w:hAnsi="Times New Roman"/>
          <w:sz w:val="18"/>
          <w:szCs w:val="18"/>
          <w:color w:val="auto"/>
        </w:rPr>
        <w:t>As discussed in more detail under the heading “Governance,” the audit committee of our board of directors supports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oversight of cybersecurity risk management, which regularly interacts with our ERM function, our Head of Information Security (“HIS”) and other members of management.</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Cross-Functional Approach: </w:t>
      </w:r>
      <w:r>
        <w:rPr>
          <w:rFonts w:ascii="Times New Roman" w:cs="Times New Roman" w:eastAsia="Times New Roman" w:hAnsi="Times New Roman"/>
          <w:sz w:val="18"/>
          <w:szCs w:val="18"/>
          <w:color w:val="auto"/>
        </w:rPr>
        <w:t>We have implemented a cross-functional approach to identifying, preventing, and mitigating cybersecurity threats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incidents, while also implementing controls and procedures that provide for the prompt escalation of certain cybersecurity incidents so that decisions regarding the public disclosure and reporting of such incidents can be made by management in a timely manner.</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Technical Safeguards: </w:t>
      </w:r>
      <w:r>
        <w:rPr>
          <w:rFonts w:ascii="Times New Roman" w:cs="Times New Roman" w:eastAsia="Times New Roman" w:hAnsi="Times New Roman"/>
          <w:sz w:val="18"/>
          <w:szCs w:val="18"/>
          <w:color w:val="auto"/>
        </w:rPr>
        <w:t>We deploy commercially reasonable technical safeguards that are designed to protect our information systems from cybersecurity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threats, including firewalls, intrusion prevention and detection systems, anti-malware functionality and access controls, which are evaluated and improved through vulnerability assessments and cybersecurity threat intelligence.</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Third-Party Risk Management: </w:t>
      </w:r>
      <w:r>
        <w:rPr>
          <w:rFonts w:ascii="Times New Roman" w:cs="Times New Roman" w:eastAsia="Times New Roman" w:hAnsi="Times New Roman"/>
          <w:sz w:val="18"/>
          <w:szCs w:val="18"/>
          <w:color w:val="auto"/>
        </w:rPr>
        <w:t>We maintain a risk-based approach to identifying and overseeing cybersecurity risks presented by third parties,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vendors, service providers and other external users of our systems, as well as the systems of third parties that could adversely impact our business in the event of a cybersecurity incident affecting those third-party systems.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Education and Awareness: </w:t>
      </w:r>
      <w:r>
        <w:rPr>
          <w:rFonts w:ascii="Times New Roman" w:cs="Times New Roman" w:eastAsia="Times New Roman" w:hAnsi="Times New Roman"/>
          <w:sz w:val="18"/>
          <w:szCs w:val="18"/>
          <w:color w:val="auto"/>
        </w:rPr>
        <w:t>We provide regular, mandatory training for personnel regarding cybersecurity threats as a means to equip our personnel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tools to address cybersecurity threats, and to communicate our evolving information security policies, standards, processes and practices.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21E1F"/>
        </w:rPr>
        <w:t>We engage in the routine, periodic assessment and testing of our policies, standards, processes and practices that are designed to address cybersecurity threats and incidents. These efforts include a wide range of activities, including audits, assessments and other exercises focused on evaluating the effectiveness of our cybersecurity measures and planning. We regularly engage third parties to perform assessments on our cybersecurity measures, including information security maturity assessments,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21E1F"/>
        </w:rPr>
        <w:t>audits and independent reviews of our information security control environment and operating effectiveness. The results of such assessments, audits and reviews are reported to our audit committee, and we adjust our cybersecurity policies, standards, processes, and practices as necessary based on the information provided by these assessments, audits and reviews.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1E1F"/>
        </w:rPr>
        <w:t>Governance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21E1F"/>
        </w:rPr>
        <w:t>Our board of directors, in coordination with our audit committee, oversees our ERM process, including the management of risks arising from cybersecurity threats. Our audit committee receives regular presentations and reports on cybersecurity risks. Our board of directors and audit committee receives and reviews prompt and timely information regarding any incident that may be considered material to investor or otherwise could materially affect core company operations.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21E1F"/>
        </w:rPr>
        <w:t>Our HIS works collaboratively across the company to implement a program designed to protect our information systems from cybersecurity threats and to promptly respond to any cybersecurity incidents in accordance with our incident response and recovery plans. Through ongoing communications with these teams, our HIS monitors the prevention, detection, mitigation and remediation of cybersecurity threats and incidents in real time, and such threats and incidents are reported to our audit committee when appropriate.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21E1F"/>
        </w:rPr>
        <w:t>Our HIS has served in various roles in information technology and information security for over 14 years and holds an undergraduate degree in Management Information System and a graduate degree in Human Resource Management and has attained the professional certification of Certified Chief Information Security Officer.</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21E1F"/>
        </w:rPr>
        <w:t>Risks from cybersecurity threats, including as a result of any previous cybersecurity incidents, have not materially affected, and the Company believes that such risks are not reasonably likely to materially affect the Company, including its business strategy, results of operations or financial condition.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21E1F"/>
        </w:rPr>
        <w:t>Although we are subject to ongoing and evolving cybersecurity threats, we are not aware of any material risks from cybersecurity threats in 2023 that have materially affected or are reasonably likely to materially affect us, including our business strategy, results of operations or financial condition. For more information on our cybersecurity risks, see “Risk Factors</w:t>
      </w:r>
      <w:r>
        <w:rPr>
          <w:rFonts w:ascii="Times New Roman" w:cs="Times New Roman" w:eastAsia="Times New Roman" w:hAnsi="Times New Roman"/>
          <w:sz w:val="18"/>
          <w:szCs w:val="18"/>
          <w:i w:val="1"/>
          <w:iCs w:val="1"/>
          <w:color w:val="221E1F"/>
        </w:rPr>
        <w:t>—Risks Related to Cybersecurity, Privacy and Information Technology</w:t>
      </w:r>
      <w:r>
        <w:rPr>
          <w:rFonts w:ascii="Times New Roman" w:cs="Times New Roman" w:eastAsia="Times New Roman" w:hAnsi="Times New Roman"/>
          <w:sz w:val="18"/>
          <w:szCs w:val="18"/>
          <w:color w:val="221E1F"/>
        </w:rPr>
        <w:t>".</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Properties for our core operations include our corporate office and headquarters located in Stamford, Connecticut, our primary operating laboratory located in Gaithersburg, Maryland, and a satellite meeting space located in New York City; each are leased spaces with an aggregate of approximately 115,000 square feet. The lease agreements for these properties expire in 2034, 2031, and 2025, respectively.</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our laboratories in Branford, Connecticut and Stamford, Connecticut have ceased operations as part of our announced exits in 2022 from reproductive health and somatic tumor testing. These facilities as well as a portion of our headquarters located in Stamford, Connecticut are actively being marketed for sublet; however, the outstanding lease obligations remain obligations. The lease agreements for these properties expire in 2030 and 2036,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current facilities are suitable and adequate to meet our current needs.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Information regarding legal proceedings can be found in the consolidated financial statements in Note 11, “</w:t>
      </w:r>
      <w:r>
        <w:rPr>
          <w:rFonts w:ascii="Times New Roman" w:cs="Times New Roman" w:eastAsia="Times New Roman" w:hAnsi="Times New Roman"/>
          <w:sz w:val="18"/>
          <w:szCs w:val="18"/>
          <w:i w:val="1"/>
          <w:iCs w:val="1"/>
          <w:color w:val="auto"/>
        </w:rPr>
        <w:t>Purchase Commitments and Contingencies</w:t>
      </w:r>
      <w:r>
        <w:rPr>
          <w:rFonts w:ascii="Times New Roman" w:cs="Times New Roman" w:eastAsia="Times New Roman" w:hAnsi="Times New Roman"/>
          <w:sz w:val="18"/>
          <w:szCs w:val="18"/>
          <w:color w:val="auto"/>
        </w:rPr>
        <w:t>” included in this Annual Report.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January 10, 2023, our Class A common stock and public warrants have been trading on the Nasdaq Global Select Market under the symbols “WGS” and “WGSWW,” respectively. From July 23, 2021 to January 9, 2023, our Class A common stock and public warrants traded on the Nasdaq Global Select Market under the symbols “SMFR” and “SMFRW”, respectively. Prior to the Business Combination, CMLS’s Class A common stock, CMLS’s public warrants, and CMLS’s public units were listed on the Nasdaq Capital Market under the symbols “CMLF”, “CMFLW”, and “CMLFU”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February 20, 2024, there were 45 record holders of our Class A common stock and 5 record holders of our public warrants, based upon information received from our transfer agent. However, this number does not reflect beneficial owners whose shares were held of record by nominees or broker dealers. We believe a substantially greater number of beneficial owners hold shares of our Class A common stock or public warrants through brokers, banks, or other nominees.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paid any cash dividends on our capital stock. We anticipate that we will retain earnings, if any, to support operations and to finance the growth and development of our business. In addition, the terms of our credit agreement with Perceptive Credit Holdings IV, LP restrict us from paying cash dividends. Therefore, we do not expect to pay cash dividends for the foreseeable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Unregistered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appearing elsewhere in this Annual Report on Form 10-K.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leading genomics company—one that sits at the intersection of diagnostics and data science, pairing decades of genomic expertise with an ability to interpret clinical data at scale. We are focused on delivering personalized and actionable health insights to inform diagnosis, direct treatment and improve drug discovery. We believe we are well-positioned to accelerate the use of genomics and leverage large-scale clinical data to enable precision medicine as the standard of care. Our initial focus is in pediatric and rare diseases, two areas in which we believe we have competitive advantage and can deliver on our vision today.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History Overview</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Mount Sinai Genomics, Inc. d/b/a as Sema4 (“Legacy Sema4”) was established out of the Mount Sinai Health System and commenced operations as a commercial entity on June 1, 2017. Legacy Sema4 derived the majority of its revenue from diagnostic testing services, which primarily related to reproductive and women’s health and somatic tumor testing. In addition, between May 2020 through March 31, 2022, Legacy Sema4 provided COVID-19 diagnostic testing services.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GeneDx, LLC (formerly, GeneDx, Inc.) (“Legacy GeneDx”), which derives its revenue primarily from diagnostic testing services, including revenue related to exome sequencing and whole genome sequencing, was acquired by us on April 29, 2022 (the “Acquisition”). The diagnostic testing services businesses of Legacy Sema4 were discontinued as of the end of the first quarter of 2023, and our continuing operations now include the combination of the Legacy GeneDx diagnostic testing services business with the data and information business of Legacy Sema4.</w:t>
      </w:r>
    </w:p>
    <w:p>
      <w:pPr>
        <w:spacing w:after="0" w:line="12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Additional information on Legacy GeneDx and Legacy Sema4 can be found in the consolidated financial statements in Note 1, “</w:t>
      </w:r>
      <w:r>
        <w:rPr>
          <w:rFonts w:ascii="Times New Roman" w:cs="Times New Roman" w:eastAsia="Times New Roman" w:hAnsi="Times New Roman"/>
          <w:sz w:val="18"/>
          <w:szCs w:val="18"/>
          <w:i w:val="1"/>
          <w:iCs w:val="1"/>
          <w:color w:val="auto"/>
        </w:rPr>
        <w:t>Organization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included within this Annual Report.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for more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resulted tests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test is resulted once the appropriate workflow is completed and details are provided to the ordered patients or healthcare professional for reviews, which corresponds to the timing of our revenue recognition. We believe the number of resulted tests in any period is important and useful to our investors because it directly correlates with long-term patient relationships and the size of our genomic database.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obtaining and maintaining reimbursement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Third-party payors may decide to deny payment or seek to recoup payments for tests performed by us that they contend were improperly billed, not medically necessary or against their coverage determinations, or for which they believe they have otherwise overpaid. As a result, we may be required to refund payments already received, and our revenues may be subject to retroactive adjustment as a result of these factors among others.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lower the costs associated with performing our tests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adoption of our services by existing and new customers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platform innovation to support commercial growth</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seeking to leverage and deploy our platforms to develop a pipeline of future disease-specific research and diagnostic and therapeutic products and services. We have limited experience in the development or commercialization of clinical or research products in connection with our database and platform.</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2023, our test volumes improved to what would, at this time, be considered normalized market conditions.</w:t>
      </w:r>
    </w:p>
    <w:p>
      <w:pPr>
        <w:spacing w:after="0" w:line="17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March 2020, the Coronavirus Aid, Relief and Economic Security Act (“CARES Act”), was signed into law. The CARES Act was a stimulus bill that, among other things, provided assistance to qualifying businesses and individuals and included funding for the healthcare system. We received $5.4 million in 2020 as part of the stimulus, comprised of $2.6 million received under the Provider Relief Fund (the “PRF”), and $2.8 million received under the Employee Retention Credit (the “ERC”). In 2021, we received an additional $5.6 million under the PRF.</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Funds provided under the PRF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funds received under the PRF distribution have been met. As a result, we recorded the funds received under the PRF in other expense (income), net in the statements of operations and comprehensive loss during the periods in which we received the funds.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Funds provided under the ERC are refundable tax credits for 50% of qualified wages paid to employees during the pandemic. A company is eligible for the ERC (1) its operations have been fully or partially suspended because of COVID-19 or (2) its gross receipts in a calendar quarter in 2020 declined by more than 50% from the same period in 2019. At the time of applying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ERC, we concluded that it was reasonably possible the eligibility requirements would be met; however, due to a change in circumstances, we re-evaluated our position and concluded that the funds received under the ERC needed to be repaid. In 2022, we deferred the recognition of the funds received under the ERC and repaid them in July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 and financial condition together with our consolidated financial statements and the related notes and other financial information included elsewhere in this report.</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resulted and the mix of test results, with a focus on driving whole exome and whole genome sequencing, are key indicators that we use to assess the operational efficiency of our business. Once the appropriate workflow is completed, the test is resulted and details are provided to ordered patients or healthcare professionals for reviews.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we resulted 222,934 tests, all of which were processed by the Legacy GeneDx laboratory compared to the period ended December 31, 2022, in which we resulted 528,876 tests in our Legacy GeneDx and Legacy Sema4 laboratories. This volume decrease from 2022 to 2023 was primarily attributed to our decision to terminate our Legacy Sema4 reproductive health and somatic oncology testing activities in 2022, and was partially offset by the addition of volumes from Legacy GeneDx’s laboratory subsequent to the closing of the Acquisition.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Diagnostic Test Revenue</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majority of our revenue is derived from genetic and genomic diagnostic testing services for three groups of customers: healthcare professionals working with patients with third-party insurance coverage or without third-party insurance coverage, institutional clients such as hospitals, clinics, state governments and reference laboratories, and self-pay patients.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 The discontinued Legacy Sema4 diagnostics business previously provided reproductive and women’s health testing and screening, as well as somatic tumor testing. Our ability to increase our diagnostic test revenue will depend on our ability to increase our market penetration, obtain contracted reimbursement coverage from third-party payors, enter into contracts with institutions, and increase our reimbursement rate for tests performed.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generate revenue from collaboration service agreements with biopharma companies and other third parties, pursuant to which we provide health information and patient identification support services. Certain of these contracts provide non-refundable payments, which we record as contract liabilities, and variable payments based upon the achievement of certain milestones during the contract term.</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existing collaboration and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of services reflect the aggregate costs incurred in performing services, which include expenses for reagents and laboratory supplies, personnel-related expenses (comprising salaries and benefits) and stock-based compensation for employees directly involved in revenue generating activities, shipping and handling fees, costs of third-party reference lab testing and phlebotomy services, if any, and allocated genetic counseling, facility and IT costs associated with delivery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services. Allocated costs include depreciation of laboratory equipment, facility occupancy, and information technology costs. The cost of services are recorded as the services are performed.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marketing expenses primarily consist of personnel-related expenses (comprising salaries and benefits) and stock-based compensation for employees performing commercial sales, account management, marketing, and allocation of genetic counseling services for us. Allocated genetic counseling service cost for Legacy Sema4 is recorded as general and administrative expenses, as the activities are not expected to support selling and marketing expenses of Legacy Sema4. Selling and marketing costs are expensed as incurred.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primarily consist of personnel-related expenses (comprising salaries, billing and benefits) and stock-based compensation for employees in executive leadership, legal, finance and accounting, human resources, information technology, and other administrative functions. In addition, these expenses include office occupancy and information technology costs. General and administrative costs are expensed as incurred.</w:t>
      </w:r>
    </w:p>
    <w:p>
      <w:pPr>
        <w:spacing w:after="0" w:line="12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Nasdaq and of the SEC, director and officer insurance premiums. We expect these expenses to decrease as a percentage of revenue in the long term as revenue increases, although the percentage may fluctuate from period to period due to fluctuations in our compensation-related charges.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 (in thousands):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80" w:type="dxa"/>
            <w:vAlign w:val="bottom"/>
            <w:tcBorders>
              <w:bottom w:val="single" w:sz="8" w:color="auto"/>
            </w:tcBorders>
          </w:tcPr>
          <w:p>
            <w:pPr>
              <w:spacing w:after="0"/>
              <w:rPr>
                <w:sz w:val="20"/>
                <w:szCs w:val="20"/>
                <w:color w:val="auto"/>
              </w:rPr>
            </w:pPr>
          </w:p>
        </w:tc>
      </w:tr>
      <w:tr>
        <w:trPr>
          <w:trHeight w:val="223"/>
        </w:trPr>
        <w:tc>
          <w:tcPr>
            <w:tcW w:w="5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29"/>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Diagnostic test revenue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195,654</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227,334</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(31,680)</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50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202,566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234,694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(32,128)</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261,444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(148,884)</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50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Gross profit (loss)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116,756</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(27,937)</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(61,119)</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216,167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(82,412)</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(199,743)</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3"/>
        </w:trPr>
        <w:tc>
          <w:tcPr>
            <w:tcW w:w="50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(180,596)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(667,652)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487,056</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7"/>
        </w:trPr>
        <w:tc>
          <w:tcPr>
            <w:tcW w:w="5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(expenses), net</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176"/>
        </w:trPr>
        <w:tc>
          <w:tcPr>
            <w:tcW w:w="50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Change in fair market value of warrant and earn-out contingent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43"/>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(69,059)</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9"/>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2740 %</w:t>
            </w:r>
          </w:p>
        </w:tc>
      </w:tr>
      <w:tr>
        <w:trPr>
          <w:trHeight w:val="223"/>
        </w:trPr>
        <w:tc>
          <w:tcPr>
            <w:tcW w:w="50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non-operating income, net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(65,717)</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421,339</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49,052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(48,126)</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(175,767)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(548,980)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373,213</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revenue decreased by $32.1 million, or 14%, to $203 million for the year ended December 31, 2023, from $234.7 million for the year ended December 31, 2022.</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Diagnostic test revenue decreased by $31.7 million, or 14%, to $195.7 million for the year ended December 31, 2023, from $227.3 million for the year ended December 31, 2022. The decrease was attributable to lower revenues from the now discontinued Legacy Sema4 business, partially offset by an increase in diagnostic test revenue from Legacy GeneDx driven by an increase in whole exome and genome sequencing test volumes. In addition, the prior period only reflected Legacy GeneDx’s revenue following the closing of the Acquisition.</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revenue decreased by $0.4 million, or 6%, to $6.9 million for the year ended December 31, 2023, from $7.4 million for the year ended December 31, 2022 due to lower revenues from the now discontinued Legacy Sema4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(Loss)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by $116.8 million for the year ended December 31, 2023, driven by a combination of lower cost of services from the now discontinued Legacy Sema4 business and improved margins from Legacy GeneDx. The gross profit performance from Legacy GeneDx reflected favorable volume mix shift to higher margin whole exome and genome tests, and lower average cost per test associated with these tests. In addition, the prior year only reflected Legacy GeneDx’s results following the closing of the Acquisition in April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$27.9 million, or 32%, to $58.3 million for the year ended December 31, 2023, from $86.2 million for the year ended December 31, 2022. The decrease was primarily attributable to lower current year costs from the now discontinued Legacy Sema4 business, which included a $4.3 million decrease in stock compensation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 resulting from forfeitures of unvested equity awards by terminated employees. In addition, the prior year only reflected Legacy GeneDx’s research and development costs following the closing of the Acquisition in April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and marketing expenses decreased by $61.1 million, or 50%, to $61.0 million for the year ended December 31, 2023, from $122.1 million for the year ended December 31, 2022. The decrease was primarily attributable to lower current year costs from the now discontinued Legacy Sema4 business, including a $6.7 million decrease in stock compensation expense resulting from forfeitures of unvested equity awards by terminated employees. In addition, the prior year only reflected Legacy GeneDx’s selling and marketing costs following the closing of the Acquisition in April 2022. This decrease was partially offset by higher Legacy GeneDx costs, in line with the increase in post-Acquisition revenue.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decreased by $82.4 million, or 38%, to $133.8 million for the year ended December 31, 2023, from $216.2 million for the year ended December 31, 2022. The decrease was primarily attributable to lower current year cost from the now discontinued Legacy Sema4 business and a $25.0 million reduction of stock compensation expense in the current period resulting from forfeitures of unvested equity awards by employees terminated in connection with fiscal 2023 headcount reduction actions. In addition, the prior year only reflected Legacy GeneDx’s general and administrative costs following the closing of the Acquisition in April 2022. The decrease was partially offset by $4.0 million of accelerated depreciation recorded in the current year to write-down the remaining assets at the two closed Legacy Sema4 labs.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non-cash charge of $10.4 million for the year ended December 31, 2023 reflected the impairment of certain capital and right-of-use asset leases. See Note 6, “</w:t>
      </w: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to our consolidated financial statements for further information.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non-cash charge of $210.1 million for the year ended December 31, 2022 reflected the impairment of goodwill and other charges associated with the now discontinued Legacy Sema4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 Net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operating expenses, net were $7.2 million for the year ended December 31, 2023 and included related party expenses of $6.0 million and non-cash charges of $3.6 million to reserve for obsolete Legacy Sema4 inventory, partially offset by a current year gain of $1.7 million recognized on the sale of certain assets sold as a result of an auction. Other operating expenses, net were $6.3 million for the year ended December 31, 2022 primarily reflected related party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Net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Non-operating income, net, decreased by $65.7 million, due to the significant decline in fair value of our warrant and earn-out contingent liabilities taken in the prior year and $1.0 million of contract termination costs in the current year associated with the now discontinued Legacy Sema4 business. This decrease was partially offset by interest income in the current year due to higher interest rates associated with money market funds we invested in with proceeds from our public offering of Class A common stock in the first quarter of 2023 and the principal loan forgiveness of $2.8 million under the amendment to the Connecticut Department of Economic and Community Development (“DECD”) loan. See Note 9,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our consolidated financial statements for further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our results determined in accordance with accounting principles generally accepted in the United States of America (“U.S. GAAP” or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the reconciliation of these non-GAAP financial measures to their most directly comparable GAAP financial measures, and not to rely on any single financial measure to evaluate our business.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2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expenditures or future requirements for capital expenditures or contractual commitments;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working capital needs;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replacing the assets being depreciated, which will often have to be replaced in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non-cash component of employee compensation expense;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earnings or charges resulting from matters we consider not to be reflective, on a recurring basis, of our ongoing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Gross Margin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Gross Profit is a non-GAAP financial measure that we define as revenue less cost of services, excluding depreciation and amortization expense, stock-based compensation expense and restructuring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1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222222"/>
        </w:rPr>
        <w:t xml:space="preserve">The following is a reconciliation of revenue to our Adjusted Gross Profit and Adjusted Gross Margin for the years ended December 31, 2023 and 2022 </w:t>
      </w:r>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thousands)</w:t>
      </w:r>
      <w:r>
        <w:rPr>
          <w:rFonts w:ascii="Times New Roman" w:cs="Times New Roman" w:eastAsia="Times New Roman" w:hAnsi="Times New Roman"/>
          <w:sz w:val="18"/>
          <w:szCs w:val="18"/>
          <w:color w:val="222222"/>
        </w:rPr>
        <w: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0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202,566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234,694</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112,560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261,444</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90,006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(26,750)</w:t>
            </w:r>
          </w:p>
        </w:tc>
      </w:tr>
      <w:tr>
        <w:trPr>
          <w:trHeight w:val="19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Gross Margin</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44 %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(11)%</w:t>
            </w: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4,350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31,328</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5,080</w:t>
            </w:r>
          </w:p>
        </w:tc>
      </w:tr>
      <w:tr>
        <w:trPr>
          <w:trHeight w:val="230"/>
        </w:trPr>
        <w:tc>
          <w:tcPr>
            <w:tcW w:w="80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expense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1,926</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93,278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11,584</w:t>
            </w:r>
          </w:p>
        </w:tc>
      </w:tr>
      <w:tr>
        <w:trPr>
          <w:trHeight w:val="184"/>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Adjusted Gross Margin</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46 %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5 %</w:t>
            </w: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69"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incurred for restructuring activities, which include severance to impacted employees and costs incurred in connection with these activities.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Loss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net loss is a non-GAAP financial measure that we define as net loss adjusted for depreciation and amortization, stock-based compensation expenses, transaction costs, other (income) expense, net, impairment loss, restructuring and business exit related charges, acquisition costs and change in fair market value of warrant and earn-out contingent liabilities. We believe Adjusted net loss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 xml:space="preserve">The following is a reconciliation of our net loss to Adjusted net loss for the years ended December 31, 2023 and 2022 </w:t>
      </w:r>
      <w:r>
        <w:rPr>
          <w:rFonts w:ascii="Times New Roman" w:cs="Times New Roman" w:eastAsia="Times New Roman" w:hAnsi="Times New Roman"/>
          <w:sz w:val="18"/>
          <w:szCs w:val="18"/>
          <w:color w:val="000000"/>
        </w:rPr>
        <w:t>(in thousands)</w:t>
      </w:r>
      <w:r>
        <w:rPr>
          <w:rFonts w:ascii="Times New Roman" w:cs="Times New Roman" w:eastAsia="Times New Roman" w:hAnsi="Times New Roman"/>
          <w:sz w:val="18"/>
          <w:szCs w:val="18"/>
          <w:color w:val="222222"/>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(548,980)</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59,309</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41,975</w:t>
            </w:r>
          </w:p>
        </w:tc>
      </w:tr>
      <w:tr>
        <w:trPr>
          <w:trHeight w:val="230"/>
        </w:trPr>
        <w:tc>
          <w:tcPr>
            <w:tcW w:w="8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Impairment loss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210,145</w:t>
            </w:r>
          </w:p>
        </w:tc>
      </w:tr>
      <w:tr>
        <w:trPr>
          <w:trHeight w:val="229"/>
        </w:trPr>
        <w:tc>
          <w:tcPr>
            <w:tcW w:w="8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Transaction, acquisition and business integration costs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13,436</w:t>
            </w:r>
          </w:p>
        </w:tc>
      </w:tr>
      <w:tr>
        <w:trPr>
          <w:trHeight w:val="229"/>
        </w:trPr>
        <w:tc>
          <w:tcPr>
            <w:tcW w:w="8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25,810</w:t>
            </w:r>
          </w:p>
        </w:tc>
      </w:tr>
      <w:tr>
        <w:trPr>
          <w:trHeight w:val="230"/>
        </w:trPr>
        <w:tc>
          <w:tcPr>
            <w:tcW w:w="8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Change in fair market value of financial liabilities </w:t>
            </w:r>
            <w:r>
              <w:rPr>
                <w:rFonts w:ascii="Times New Roman" w:cs="Times New Roman" w:eastAsia="Times New Roman" w:hAnsi="Times New Roman"/>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(70,229)</w:t>
            </w:r>
          </w:p>
        </w:tc>
      </w:tr>
      <w:tr>
        <w:trPr>
          <w:trHeight w:val="229"/>
        </w:trPr>
        <w:tc>
          <w:tcPr>
            <w:tcW w:w="8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on sale of assets </w:t>
            </w:r>
            <w:r>
              <w:rPr>
                <w:rFonts w:ascii="Times New Roman" w:cs="Times New Roman" w:eastAsia="Times New Roman" w:hAnsi="Times New Roman"/>
                <w:sz w:val="23"/>
                <w:szCs w:val="23"/>
                <w:color w:val="auto"/>
                <w:vertAlign w:val="superscript"/>
              </w:rPr>
              <w:t>(5)</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excess and obsolete inventory associated with Legacy Sema4</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8"/>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(268,591)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55" w:lineRule="exact"/>
        <w:rPr>
          <w:sz w:val="20"/>
          <w:szCs w:val="20"/>
          <w:color w:val="auto"/>
        </w:rPr>
      </w:pPr>
    </w:p>
    <w:p>
      <w:pPr>
        <w:ind w:left="340" w:right="180" w:hanging="332"/>
        <w:spacing w:after="0" w:line="271" w:lineRule="auto"/>
        <w:tabs>
          <w:tab w:leader="none" w:pos="33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fiscal year 2023, represents the impairment of certain capital and right-of-use asset leases. For fiscal year 2022, represents impairment charge incurred in connection with the business exit activities and discontinuance of testing for Legacy Sema4.</w:t>
      </w:r>
    </w:p>
    <w:p>
      <w:pPr>
        <w:ind w:left="320" w:hanging="312"/>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fiscal year 2022, represents costs incurred in connection with the Legacy GeneDx Acquisition, which include due diligence and legal costs.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incurred for restructuring activities, which include severance for impacted employees and costs incurred in connection with these activities.</w:t>
      </w:r>
    </w:p>
    <w:p>
      <w:pPr>
        <w:spacing w:after="0" w:line="14" w:lineRule="exact"/>
        <w:rPr>
          <w:rFonts w:ascii="Times New Roman" w:cs="Times New Roman" w:eastAsia="Times New Roman" w:hAnsi="Times New Roman"/>
          <w:sz w:val="14"/>
          <w:szCs w:val="14"/>
          <w:color w:val="auto"/>
        </w:rPr>
      </w:pPr>
    </w:p>
    <w:p>
      <w:pPr>
        <w:ind w:left="340" w:hanging="332"/>
        <w:spacing w:after="0" w:line="251" w:lineRule="auto"/>
        <w:tabs>
          <w:tab w:leader="none" w:pos="33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change in fair market value of the liabilities associated with our public warrants, private placement warrants, Perceptive warrants and the earn-out shares that were issuable under the terms of the merger agreement for our business combination.</w:t>
      </w:r>
    </w:p>
    <w:p>
      <w:pPr>
        <w:ind w:left="320" w:hanging="312"/>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current year gain recognized on the sale of certain assets sold as a result of an auction.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29, 2022, upon the closing of the Acquisition, we received gross proceeds of $200 million from the issuance of 1.5 million shares of our Class A common stock pursuant to a related private placement (the “Acquisition PIPE Investment”). The gross proceeds were partially used to pay for the cash consideration of the Acquisition and transaction costs incurred in connection with the Acquisition.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31, 2023, we announced the closing of an underwritten public offering of 9,962,316 shares of our Class A common stock and a concurrent registered direct offering of 2,353,436 shares of our Class A common stock. On April 17, 2023, we issued the remaining 676,868 shares of our Class A common stock in the registered direct offering. The total gross proceeds were approximately $150 million.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27, 2023, we entered into a five-year senior secured credit facility with Perceptive Credit Holdings IV, LP that provides for a senior secured delayed draw term loan facility in an aggregate principal amount of up to $75.0 million (the “Perceptive Term Loan Facility”), and received an initial tranche of $50 million under the facility. In addition, the facility includes an additional tranche of $25.0 million, which will be accessible by us so long as we satisfy certain customary conditions precedent, including a specified revenue milestone. See Note 9, “Long-Term Debt” to our consolidated financial statements for further information.</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believes that our cash and cash equivalents and available-for-sale marketable securities provide us with sufficient liquidity for at least twelve months from the filing date of this Annual Report.</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Accordingly, our consolidated financial statements included in this Annual Report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drawing on the additional $25.0 tranche of the term loan under the Perceptive Term Loan Facility, the entry into other credit facilities or another form of third-party funding or by seeking other debt financing. We have an effective shelf registration statement that we filed with the SEC in August of 2022, registering $300 million shares of our Class A common stock and other securities. Following the underwritten and registered direct offerings described above, approximately $150 million of securities remained available under this registration statement.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 for Known Contractual Obligations and Commitments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commitments for known and reasonably likely cash requirements as of December 31, 2023 and December 31, 2022. We anticipate fulfilling such commitments with our existing cash and cash equivalents and available-for-sale marketable securities, which amounted to $130.1 million and $123.9 million as of December 31, 2023 and December 31, 2022, respectively, or through additional capital raised to finance our operations.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minimum payments under non-cancellable operating lease and finance lease agreements were $66.8 million and $34.3 million, respectively as of December 31, 2023. The timing of these future payments, by year, can be found in our consolidated financial statements in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included within this Annual Report.</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discussed above, the Legacy Sema4 business recently entered into a settlement agreement with one of its third-party payors in order to settle the claims related to coverage and billing matters allegedly resulting in the overpayments by the payor to the Legacy Sema4 business including those related to multi-gene tests, such as carrier screening services. Under the settlement agreement, the total settlement amount is $42 million, to be paid by us to the payor in a series of installments over the next four years with the final installment payment scheduled to be on or before June 30, 2026. The first installment payment of $15 million was made on December 31, 2022 and the second installment of $5 million was made on December 27, 2023. In consideration for the payments, the payor has agreed to provide releases of the Disputed Claims, which releases will become effective 91 days after the first installment payment was received by the payor. For more information regarding this matter, see Note 4,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included within this Annual Report.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future contractual purchase commitments were $3.8 million as of December 31, 2023. The timing of these future payments, by year, can be found in our consolidated financial statements in Note 11, “</w:t>
      </w:r>
      <w:r>
        <w:rPr>
          <w:rFonts w:ascii="Times New Roman" w:cs="Times New Roman" w:eastAsia="Times New Roman" w:hAnsi="Times New Roman"/>
          <w:sz w:val="18"/>
          <w:szCs w:val="18"/>
          <w:i w:val="1"/>
          <w:iCs w:val="1"/>
          <w:color w:val="auto"/>
        </w:rPr>
        <w:t>Purchase Commitments and Contingencies</w:t>
      </w:r>
      <w:r>
        <w:rPr>
          <w:rFonts w:ascii="Times New Roman" w:cs="Times New Roman" w:eastAsia="Times New Roman" w:hAnsi="Times New Roman"/>
          <w:sz w:val="18"/>
          <w:szCs w:val="18"/>
          <w:color w:val="auto"/>
        </w:rPr>
        <w:t>”, included within this Annual Report.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20" w:type="dxa"/>
            <w:vAlign w:val="bottom"/>
          </w:tcPr>
          <w:p>
            <w:pPr>
              <w:spacing w:after="0"/>
              <w:rPr>
                <w:sz w:val="19"/>
                <w:szCs w:val="19"/>
                <w:color w:val="auto"/>
              </w:rPr>
            </w:pPr>
          </w:p>
        </w:tc>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20" w:type="dxa"/>
            <w:vAlign w:val="bottom"/>
          </w:tcPr>
          <w:p>
            <w:pPr>
              <w:spacing w:after="0"/>
              <w:rPr>
                <w:sz w:val="19"/>
                <w:szCs w:val="19"/>
                <w:color w:val="auto"/>
              </w:rPr>
            </w:pP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(319,155)</w:t>
            </w:r>
          </w:p>
        </w:tc>
      </w:tr>
      <w:tr>
        <w:trPr>
          <w:trHeight w:val="230"/>
        </w:trPr>
        <w:tc>
          <w:tcPr>
            <w:tcW w:w="20" w:type="dxa"/>
            <w:vAlign w:val="bottom"/>
          </w:tcPr>
          <w:p>
            <w:pPr>
              <w:spacing w:after="0"/>
              <w:rPr>
                <w:sz w:val="19"/>
                <w:szCs w:val="19"/>
                <w:color w:val="auto"/>
              </w:rPr>
            </w:pP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(141,326)</w:t>
            </w:r>
          </w:p>
        </w:tc>
      </w:tr>
      <w:tr>
        <w:trPr>
          <w:trHeight w:val="229"/>
        </w:trPr>
        <w:tc>
          <w:tcPr>
            <w:tcW w:w="20" w:type="dxa"/>
            <w:vAlign w:val="bottom"/>
          </w:tcPr>
          <w:p>
            <w:pPr>
              <w:spacing w:after="0"/>
              <w:rPr>
                <w:sz w:val="19"/>
                <w:szCs w:val="19"/>
                <w:color w:val="auto"/>
              </w:rPr>
            </w:pP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197,315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2023 was $180.1 million which was primarily attributable to a net loss of $175.8 million and unfavorable working capital associated with the wind down of the Legacy Sema4 accounts payable, primarily during the second half of 2023, which was partially offset by the release of a third party payor reserve.</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2022 was $319.2 million, which was primarily attributable to a net loss of $549.0 million, a change in fair value of the warrant and earn-out liabilities of $70.2 million and a deferred income tax benefit of $49.1 million. This was partially offset by non-cash depreciation and amortization of $59.3 million, non-cash stock-based compensation expense of $42.0 million, impairment loss of $210.1 million, a provision for excess and obsolete inventory of $1.1 million and non-cash lease expense of $2.2 million. The net change in our operating assets and liabilities primarily reflected a $2.4 million decrease in inventories, a $34.5 million increase in accounts payable and accrued expenses driven by the payor settlement accrual which was partially offset by timing of vendor payments, a $19.5 million decrease in other current liabilities mainly driven by the payment of 2021 bonuses, offset by the accrual of the 2022 expected payment, a $5.5 million decrease in accounts receivable primarily from self-pay payors and a $11.1 million increase in prepaid expenses and other current assets mainly driven by the amortization of insurance policy premiums.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2023 was $43.7 million which primarily included net purchases of marketable securities of $47.7 million, $12.1 million in consideration held in escrow paid for the Legacy GeneDx Acquisition and $5.3 million in purchases of property and equipment, which was offset partially by $17.8 million in proceeds from maturities of marketable securities and $4.0 million in proceeds from the sale of assets.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2022 was $141.3 million, which was primarily attributable to the $127 million net of cash spent for the Acquisition of Legacy GeneDx, $7.2 million in purchases of property and equipment and $7.2 million related to spend on development of internal-use software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2023 was $186.2 million which was primarily driven by the $143.0 million net proceeds from the underwritten public offering and concurrent registered direct offering, net of issuance costs, and $48.5 million from the Perceptive Term Loan Facility, which was offset partially by the DECD loan payment of $2.0 million and $3.6 million of finance lease payments.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2022 was $197.3 million, which was primarily driven by the $197.7 million net proceeds from the Acquisition PIPE Investment. Additionally, $2.9 million relates to cash received from exercise of employee stock options, which was offset by $3.3 million of finance lease principal payments.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judgments,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consolidated financial statements for a complete description of each of these critical accounting policies and estimates. Each of these critical accounting policies could potentially generate materially different results if we were to change underlying assumptions, estimates and/or judgments. Although actual results may differ from those estimates, we believe the estimates are reasonable and appropriate.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revenue when, or as, performance obligations under the terms of a contract are satisfied, which occurs when control of the promised products or services are transferred to a customer. Revenue is measured as the amount of consideration we expect to receive in exchange for transferring products or services to a customer. Our contracts require significant judgments in determining the transaction price and satisfying performance obligations.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Diagnostic test revenue</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estimate a transaction price in arrangements with third-party insurance payors based on historical collection experience, contractual provisions and insurance reimbursement policies, payor mix, and other relevant information for applicable payor portfolios. The portfolio approach is used as a practical expedient to account for categories of diagnostic test contracts as collective groups rather than on an individual contract basis. Management believes that revenue recognized by utilizing the portfolio approach approximates the revenue that would have been recognized if an individual contract approach was used. For orders received for self-pay patients, we determine a transaction price associated with services rendered in consideration of implicit price concessions that are granted to such orders.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 For institutional clients, the customer is the institution. We determine a transaction price associated with services rendered in accordance with the contractual rates established with each customer.</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monitor these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 transaction price and application of the constraint for variable consideration. If actual results in the future vary from our estimates, we will adjust these estimates, which could affect revenue and earnings in the period such variances become known.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also recognize revenue from collaboration service agreements with biopharma companies and other third parties pursuant to which we health information and patient identification support services. Certain of these contracts provide non-refundable upfront payments, which we record as contract liabilities, and variable payments based upon the achievement of certain milestones during the contract term. Milestone payments are a form of variable consideration that are included in the transaction price only when it is probable that doing so will not result in a significant reversal of cumulative revenue recognized when the uncertainty associated with the milestone is subsequently resolved.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certain service or collaboration contracts that require us to transfer control of the service over time, we recognize revenue over time using an input measure based on costs incurred on the basis that this measure best reflects the pattern of transfer of control of the services to the customer. The measure of progress is developed using our best estimate of the performance period and the anticipated costs to be incurred to perform such services, including any subcontracted service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Amortizable intangible assets include trade names and trademarks, developed technology and customer relationships acquired as part of business combinations. All intangible assets subject to amortization are reviewed for impairment in accordance with ASC 360, Property, Plant and Equipment. The recoverability test is performed on a company-wide single asset group level.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warrant liabilities are recorded on the consolidated balance sheets at fair value on their respective issuance dates, with subsequent changes in respective fair values recognized on the consolidated statements of operations and comprehensive loss at each reporting date.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outstanding warrants include publicly-traded warrants (the “Public Warrants”) which were originally issued in the IPO, warrants sold in a private placement to CMLS Holdings LLC (the “Private Warrants”) and warrants issued to Perceptive Credit Holdings IV, LP in connection with the entry into the Perceptive Term Loan Facility (the “Perceptive Warrants”). The Public Warrants are traded in active markets and the fair value is determined on the basis of quoted market prices. Management has determined the fair value of each Private Warrant is the same as that of a Public Warrant because the terms are substantially the same.</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estimated fair value of the Perceptive Warrants is determined based on a Modified Black-Scholes valuation model. The Black-Scholes option-pricing model requires the use of assumptions regarding a number of variables that are complex, subjective and generally require significant judgment to determine. Changes in the assumptions can materially affect the fair value and ultimately how much income or expense is recognized. Key assumptions include expected volatility, expected term, and risk-free interest rate. The expected volatility for us is based on the historical volatility of historical share prices of a peer group of public companies, our historical share prices, and the implied volatility of the call options. When selecting these comparable companies, we considered the enterprise value, risk profiles, position within the industry, and whether there was sufficient historical share price information to meet the expected exercise period of the Perceptive Warrants. The risk-free interest rate is based on the U.S. Treasury yield curve in effect at the time of re-measurement.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Stock-based compensation for all employee and non-employee stock-based awards, including restricted stock units, is measured at fair value on the date of grant and recognized over the service period. The fair value of restricted stock units are calculated based on the fair value of our common stock on the date of grant, while the fair value of stock options are calculated using a Black-Scholes option-pricing model. The Black-Scholes option-pricing model requires the use of assumptions regarding a number of variables that are complex, subjective and generally require significant judgment to determine. Changes in the assumptions can materially affect the fair value and ultimately how much stock-based compensation expense is recognized. Key assumptions include expected volatility, expected term, risk-free interest rate and dividend yield. The volatility is estimated based on analysis of historical share prices of a peer group of public companies, the historical share prices of the Company, and the implied volatility of the Company’s call options. When selecting these comparable companies, we considered the enterprise value, risk profiles, position within the industry, and whether there was sufficient historical share price information to meet the expected life of the stock-based awards. The expected term of the Company’s options has been determined utilizing the “simplified” method as the awards granted are qualified as “plain-vanilla” options. The risk-free interest rate is based on the U.S. Treasury yield curve in effect at the time of grant for bonds with maturities consistent with the expected holding periods corresponding with the expected term of the option. We estimate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0"/>
        <w:spacing w:after="0" w:line="438" w:lineRule="auto"/>
        <w:rPr>
          <w:sz w:val="20"/>
          <w:szCs w:val="20"/>
          <w:color w:val="auto"/>
        </w:rPr>
      </w:pPr>
      <w:r>
        <w:rPr>
          <w:rFonts w:ascii="Times New Roman" w:cs="Times New Roman" w:eastAsia="Times New Roman" w:hAnsi="Times New Roman"/>
          <w:sz w:val="18"/>
          <w:szCs w:val="18"/>
          <w:color w:val="auto"/>
        </w:rPr>
        <w:t xml:space="preserve">zero dividend yield as we have not historically paid dividends on common stock and do not anticipate paying dividends in the foreseeable future. </w:t>
      </w:r>
      <w:r>
        <w:rPr>
          <w:rFonts w:ascii="Times New Roman" w:cs="Times New Roman" w:eastAsia="Times New Roman" w:hAnsi="Times New Roman"/>
          <w:sz w:val="18"/>
          <w:szCs w:val="18"/>
          <w:b w:val="1"/>
          <w:bCs w:val="1"/>
          <w:i w:val="1"/>
          <w:iCs w:val="1"/>
          <w:color w:val="auto"/>
        </w:rPr>
        <w:t>Income Taxes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account for income taxes in accordance with ASC Topic 740, “Income Taxes,” under which deferred income taxes are provided for temporary differences between the financial reporting and tax basis of our assets and liabilities. We reduce deferred tax assets, if necessary, by a valuation allowance if it is more likely than not that we will not realize some or all of our deferred tax assets. In making such a determination, we consider all available positive and negative evidence, including future reversals of existing taxable temporary differences, projected future taxable income, tax-planning strategies, and results of recent operations.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on examination by taxing authorities, based on the technical merits of the position.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recent accounting pronouncements can be found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September 1, 2025, (2) the last day of the fiscal year in which we have total annual gross revenue of at least $1.235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Our cash, cash equivalents, available-for-sale marketable securities and restricted cash consists of bank deposits and money market funds, which totaled $131.1 million and $138.3 million at December 31, 2023 and 2022, respectively. Such interest-bearing instruments carry a degree of risk. However, because our investments are primarily high-quality credit instruments with short-term durations with high-quality institutions, we have not been exposed to, nor do we anticipate being exposed to, material risks due to changes in interest rates. A 100 basis point change in interest rates would not have a material effect on the fair market value of our cash, cash equivalents and restricted cash.</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Perceptive Term Loan Facility includes variable interest rate terms for the outstanding principal amount of $50 million at October 27, 2023. Therefore, changes in interest rates can impact future interest payments we are obligated to pay.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“Long-Term Debt” to our consolidated financial statements for further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20" w:type="dxa"/>
            <w:vAlign w:val="bottom"/>
            <w:tcBorders>
              <w:bottom w:val="single" w:sz="8" w:color="CCEEFF"/>
            </w:tcBorders>
            <w:shd w:val="clear" w:color="auto" w:fill="CCEEFF"/>
          </w:tcPr>
          <w:p>
            <w:pPr>
              <w:spacing w:after="0"/>
              <w:rPr>
                <w:sz w:val="23"/>
                <w:szCs w:val="23"/>
                <w:color w:val="auto"/>
              </w:rPr>
            </w:pPr>
          </w:p>
        </w:tc>
        <w:tc>
          <w:tcPr>
            <w:tcW w:w="4220" w:type="dxa"/>
            <w:vAlign w:val="bottom"/>
            <w:tcBorders>
              <w:bottom w:val="single" w:sz="8" w:color="0000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(PCAOB ID 42)</w:t>
            </w:r>
          </w:p>
        </w:tc>
        <w:tc>
          <w:tcPr>
            <w:tcW w:w="57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20" w:type="dxa"/>
            <w:vAlign w:val="bottom"/>
            <w:tcBorders>
              <w:top w:val="single" w:sz="8" w:color="CCEEFF"/>
            </w:tcBorders>
          </w:tcPr>
          <w:p>
            <w:pPr>
              <w:spacing w:after="0"/>
              <w:rPr>
                <w:sz w:val="20"/>
                <w:szCs w:val="20"/>
                <w:color w:val="auto"/>
              </w:rPr>
            </w:pPr>
          </w:p>
        </w:tc>
        <w:tc>
          <w:tcPr>
            <w:tcW w:w="5480" w:type="dxa"/>
            <w:vAlign w:val="bottom"/>
            <w:tcBorders>
              <w:top w:val="single" w:sz="8" w:color="CCEEFF"/>
            </w:tcBorders>
            <w:gridSpan w:val="8"/>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5740" w:type="dxa"/>
            <w:vAlign w:val="bottom"/>
            <w:tcBorders>
              <w:top w:val="single" w:sz="8" w:color="CCEEFF"/>
            </w:tcBorders>
          </w:tcPr>
          <w:p>
            <w:pPr>
              <w:spacing w:after="0"/>
              <w:rPr>
                <w:sz w:val="20"/>
                <w:szCs w:val="20"/>
                <w:color w:val="auto"/>
              </w:rPr>
            </w:pPr>
          </w:p>
        </w:tc>
      </w:tr>
      <w:tr>
        <w:trPr>
          <w:trHeight w:val="22"/>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0000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FF"/>
                <w:w w:val="98"/>
              </w:rPr>
              <w:t>Consolidated Balance Sheets</w:t>
            </w:r>
          </w:p>
        </w:tc>
        <w:tc>
          <w:tcPr>
            <w:tcW w:w="7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5740" w:type="dxa"/>
            <w:vAlign w:val="bottom"/>
            <w:tcBorders>
              <w:bottom w:val="single" w:sz="8" w:color="CCEEFF"/>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73</w:t>
            </w: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680" w:type="dxa"/>
            <w:vAlign w:val="bottom"/>
            <w:tcBorders>
              <w:top w:val="single" w:sz="8" w:color="CCEEFF"/>
              <w:bottom w:val="single" w:sz="8" w:color="0000FF"/>
            </w:tcBorders>
            <w:gridSpan w:val="6"/>
          </w:tcPr>
          <w:p>
            <w:pPr>
              <w:ind w:left="20"/>
              <w:spacing w:after="0" w:line="169" w:lineRule="exact"/>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480" w:type="dxa"/>
            <w:vAlign w:val="bottom"/>
            <w:tcBorders>
              <w:top w:val="single" w:sz="8" w:color="CCEEFF"/>
              <w:bottom w:val="single" w:sz="8" w:color="CCEEFF"/>
            </w:tcBorders>
          </w:tcPr>
          <w:p>
            <w:pPr>
              <w:spacing w:after="0"/>
              <w:rPr>
                <w:sz w:val="16"/>
                <w:szCs w:val="16"/>
                <w:color w:val="auto"/>
              </w:rPr>
            </w:pPr>
          </w:p>
        </w:tc>
        <w:tc>
          <w:tcPr>
            <w:tcW w:w="5740" w:type="dxa"/>
            <w:vAlign w:val="bottom"/>
            <w:tcBorders>
              <w:top w:val="single" w:sz="8" w:color="CCEEFF"/>
              <w:bottom w:val="single" w:sz="8" w:color="CCEEFF"/>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74</w:t>
            </w: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740" w:type="dxa"/>
            <w:vAlign w:val="bottom"/>
          </w:tcPr>
          <w:p>
            <w:pPr>
              <w:spacing w:after="0"/>
              <w:rPr>
                <w:sz w:val="4"/>
                <w:szCs w:val="4"/>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540" w:type="dxa"/>
            <w:vAlign w:val="bottom"/>
            <w:tcBorders>
              <w:bottom w:val="single" w:sz="8" w:color="0000FF"/>
            </w:tcBorders>
            <w:gridSpan w:val="4"/>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620" w:type="dxa"/>
            <w:vAlign w:val="bottom"/>
            <w:tcBorders>
              <w:bottom w:val="single" w:sz="8" w:color="CCEEFF"/>
            </w:tcBorders>
            <w:gridSpan w:val="3"/>
            <w:shd w:val="clear" w:color="auto" w:fill="CCEEFF"/>
          </w:tcPr>
          <w:p>
            <w:pPr>
              <w:spacing w:after="0"/>
              <w:rPr>
                <w:sz w:val="20"/>
                <w:szCs w:val="20"/>
                <w:color w:val="auto"/>
              </w:rPr>
            </w:pPr>
          </w:p>
        </w:tc>
        <w:tc>
          <w:tcPr>
            <w:tcW w:w="5740" w:type="dxa"/>
            <w:vAlign w:val="bottom"/>
            <w:tcBorders>
              <w:bottom w:val="single" w:sz="8" w:color="CCEEFF"/>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75</w:t>
            </w: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880" w:type="dxa"/>
            <w:vAlign w:val="bottom"/>
            <w:tcBorders>
              <w:top w:val="single" w:sz="8" w:color="CCEEFF"/>
              <w:bottom w:val="single" w:sz="8" w:color="0000FF"/>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280" w:type="dxa"/>
            <w:vAlign w:val="bottom"/>
            <w:tcBorders>
              <w:top w:val="single" w:sz="8" w:color="CCEEFF"/>
              <w:bottom w:val="single" w:sz="8" w:color="CCEEFF"/>
            </w:tcBorders>
          </w:tcPr>
          <w:p>
            <w:pPr>
              <w:spacing w:after="0"/>
              <w:rPr>
                <w:sz w:val="16"/>
                <w:szCs w:val="16"/>
                <w:color w:val="auto"/>
              </w:rPr>
            </w:pPr>
          </w:p>
        </w:tc>
        <w:tc>
          <w:tcPr>
            <w:tcW w:w="2000" w:type="dxa"/>
            <w:vAlign w:val="bottom"/>
            <w:tcBorders>
              <w:top w:val="single" w:sz="8" w:color="CCEEFF"/>
              <w:bottom w:val="single" w:sz="8" w:color="CCEEFF"/>
            </w:tcBorders>
            <w:gridSpan w:val="4"/>
          </w:tcPr>
          <w:p>
            <w:pPr>
              <w:spacing w:after="0"/>
              <w:rPr>
                <w:sz w:val="16"/>
                <w:szCs w:val="16"/>
                <w:color w:val="auto"/>
              </w:rPr>
            </w:pPr>
          </w:p>
        </w:tc>
        <w:tc>
          <w:tcPr>
            <w:tcW w:w="5740" w:type="dxa"/>
            <w:vAlign w:val="bottom"/>
            <w:tcBorders>
              <w:top w:val="single" w:sz="8" w:color="CCEEFF"/>
              <w:bottom w:val="single" w:sz="8" w:color="CCEEFF"/>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76</w:t>
            </w: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740" w:type="dxa"/>
            <w:vAlign w:val="bottom"/>
          </w:tcPr>
          <w:p>
            <w:pPr>
              <w:spacing w:after="0"/>
              <w:rPr>
                <w:sz w:val="4"/>
                <w:szCs w:val="4"/>
                <w:color w:val="auto"/>
              </w:rPr>
            </w:pPr>
          </w:p>
        </w:tc>
      </w:tr>
      <w:tr>
        <w:trPr>
          <w:trHeight w:val="417"/>
        </w:trPr>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3160" w:type="dxa"/>
            <w:vAlign w:val="bottom"/>
            <w:tcBorders>
              <w:bottom w:val="single" w:sz="8" w:color="0000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2000" w:type="dxa"/>
            <w:vAlign w:val="bottom"/>
            <w:tcBorders>
              <w:bottom w:val="single" w:sz="8" w:color="CCEEFF"/>
            </w:tcBorders>
            <w:gridSpan w:val="4"/>
            <w:shd w:val="clear" w:color="auto" w:fill="CCEEFF"/>
          </w:tcPr>
          <w:p>
            <w:pPr>
              <w:spacing w:after="0"/>
              <w:rPr>
                <w:sz w:val="24"/>
                <w:szCs w:val="24"/>
                <w:color w:val="auto"/>
              </w:rPr>
            </w:pPr>
          </w:p>
        </w:tc>
        <w:tc>
          <w:tcPr>
            <w:tcW w:w="57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77</w:t>
            </w:r>
          </w:p>
        </w:tc>
      </w:tr>
      <w:tr>
        <w:trPr>
          <w:trHeight w:val="905"/>
        </w:trPr>
        <w:tc>
          <w:tcPr>
            <w:tcW w:w="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5740" w:type="dxa"/>
            <w:vAlign w:val="bottom"/>
            <w:tcBorders>
              <w:top w:val="single" w:sz="8" w:color="CCEEFF"/>
            </w:tcBorders>
          </w:tcPr>
          <w:p>
            <w:pPr>
              <w:jc w:val="right"/>
              <w:ind w:right="5430"/>
              <w:spacing w:after="0"/>
              <w:rPr>
                <w:sz w:val="20"/>
                <w:szCs w:val="20"/>
                <w:color w:val="auto"/>
              </w:rPr>
            </w:pPr>
            <w:r>
              <w:rPr>
                <w:rFonts w:ascii="Times New Roman" w:cs="Times New Roman" w:eastAsia="Times New Roman" w:hAnsi="Times New Roman"/>
                <w:sz w:val="18"/>
                <w:szCs w:val="18"/>
                <w:color w:val="auto"/>
              </w:rPr>
              <w:t>70</w:t>
            </w:r>
          </w:p>
        </w:tc>
      </w:tr>
      <w:tr>
        <w:trPr>
          <w:trHeight w:val="277"/>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360" w:firstLine="3364"/>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GeneDx Holdings Corp. </w:t>
      </w:r>
      <w:r>
        <w:rPr>
          <w:rFonts w:ascii="Times New Roman" w:cs="Times New Roman" w:eastAsia="Times New Roman" w:hAnsi="Times New Roman"/>
          <w:sz w:val="18"/>
          <w:szCs w:val="18"/>
          <w:b w:val="1"/>
          <w:bCs w:val="1"/>
          <w:color w:val="auto"/>
        </w:rPr>
        <w:t>Opinion on the Financial Statements</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GeneDx Holdings Corp. (the Company) as of December 31, 2023 and 2022, the related consolidated statements of operations and comprehensive loss,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94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GeneDx Holdings Corp.</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94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94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18"/>
        </w:trPr>
        <w:tc>
          <w:tcPr>
            <w:tcW w:w="128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69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123,933</w:t>
            </w:r>
          </w:p>
        </w:tc>
      </w:tr>
      <w:tr>
        <w:trPr>
          <w:trHeight w:val="229"/>
        </w:trPr>
        <w:tc>
          <w:tcPr>
            <w:tcW w:w="8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42,634</w:t>
            </w:r>
          </w:p>
        </w:tc>
      </w:tr>
      <w:tr>
        <w:trPr>
          <w:trHeight w:val="230"/>
        </w:trPr>
        <w:tc>
          <w:tcPr>
            <w:tcW w:w="8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Due from related parties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29"/>
        </w:trPr>
        <w:tc>
          <w:tcPr>
            <w:tcW w:w="8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Inventory,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13,665</w:t>
            </w:r>
          </w:p>
        </w:tc>
      </w:tr>
      <w:tr>
        <w:trPr>
          <w:trHeight w:val="229"/>
        </w:trPr>
        <w:tc>
          <w:tcPr>
            <w:tcW w:w="82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31,682</w:t>
            </w:r>
          </w:p>
        </w:tc>
      </w:tr>
      <w:tr>
        <w:trPr>
          <w:trHeight w:val="223"/>
        </w:trPr>
        <w:tc>
          <w:tcPr>
            <w:tcW w:w="8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212,622</w:t>
            </w:r>
          </w:p>
        </w:tc>
      </w:tr>
      <w:tr>
        <w:trPr>
          <w:trHeight w:val="229"/>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32,758</w:t>
            </w:r>
          </w:p>
        </w:tc>
      </w:tr>
      <w:tr>
        <w:trPr>
          <w:trHeight w:val="23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51,527</w:t>
            </w:r>
          </w:p>
        </w:tc>
      </w:tr>
      <w:tr>
        <w:trPr>
          <w:trHeight w:val="229"/>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186,650</w:t>
            </w:r>
          </w:p>
        </w:tc>
      </w:tr>
      <w:tr>
        <w:trPr>
          <w:trHeight w:val="23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w:t>
            </w:r>
          </w:p>
        </w:tc>
      </w:tr>
      <w:tr>
        <w:trPr>
          <w:trHeight w:val="223"/>
        </w:trPr>
        <w:tc>
          <w:tcPr>
            <w:tcW w:w="8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418,756</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490,942</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82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9"/>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84,878</w:t>
            </w:r>
          </w:p>
        </w:tc>
      </w:tr>
      <w:tr>
        <w:trPr>
          <w:trHeight w:val="229"/>
        </w:trPr>
        <w:tc>
          <w:tcPr>
            <w:tcW w:w="8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Due to related parties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r>
      <w:tr>
        <w:trPr>
          <w:trHeight w:val="230"/>
        </w:trPr>
        <w:tc>
          <w:tcPr>
            <w:tcW w:w="8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w:t>
            </w:r>
          </w:p>
        </w:tc>
      </w:tr>
      <w:tr>
        <w:trPr>
          <w:trHeight w:val="230"/>
        </w:trPr>
        <w:tc>
          <w:tcPr>
            <w:tcW w:w="82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49,705</w:t>
            </w:r>
          </w:p>
        </w:tc>
      </w:tr>
      <w:tr>
        <w:trPr>
          <w:trHeight w:val="223"/>
        </w:trPr>
        <w:tc>
          <w:tcPr>
            <w:tcW w:w="8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144,297</w:t>
            </w:r>
          </w:p>
        </w:tc>
      </w:tr>
      <w:tr>
        <w:trPr>
          <w:trHeight w:val="23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r>
      <w:tr>
        <w:trPr>
          <w:trHeight w:val="22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60,013</w:t>
            </w:r>
          </w:p>
        </w:tc>
      </w:tr>
      <w:tr>
        <w:trPr>
          <w:trHeight w:val="23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24,018</w:t>
            </w:r>
          </w:p>
        </w:tc>
      </w:tr>
      <w:tr>
        <w:trPr>
          <w:trHeight w:val="23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23"/>
        </w:trPr>
        <w:tc>
          <w:tcPr>
            <w:tcW w:w="82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190,739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237,237</w:t>
            </w:r>
          </w:p>
        </w:tc>
      </w:tr>
      <w:tr>
        <w:trPr>
          <w:trHeight w:val="21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75"/>
        </w:trPr>
        <w:tc>
          <w:tcPr>
            <w:tcW w:w="822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at December 31, 2023 and December 31,</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8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2022; 0 shares issued and outstanding at December 31, 2023 and December 31, 2022, respectively</w:t>
            </w:r>
          </w:p>
        </w:tc>
        <w:tc>
          <w:tcPr>
            <w:tcW w:w="3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2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1,000,000,000 shares authorized, 25,978,863 shares issued and</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4"/>
        </w:trPr>
        <w:tc>
          <w:tcPr>
            <w:tcW w:w="8220" w:type="dxa"/>
            <w:vAlign w:val="bottom"/>
            <w:gridSpan w:val="2"/>
          </w:tcPr>
          <w:p>
            <w:pPr>
              <w:ind w:left="360"/>
              <w:spacing w:after="0" w:line="184" w:lineRule="exact"/>
              <w:rPr>
                <w:sz w:val="20"/>
                <w:szCs w:val="20"/>
                <w:color w:val="auto"/>
              </w:rPr>
            </w:pPr>
            <w:r>
              <w:rPr>
                <w:rFonts w:ascii="Times New Roman" w:cs="Times New Roman" w:eastAsia="Times New Roman" w:hAnsi="Times New Roman"/>
                <w:sz w:val="18"/>
                <w:szCs w:val="18"/>
                <w:color w:val="auto"/>
              </w:rPr>
              <w:t>outstanding at December 31, 2023 and $0.0001 par value: 1,000,000,000 shares authorized, 11,773,065</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4"/>
        </w:trPr>
        <w:tc>
          <w:tcPr>
            <w:tcW w:w="8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at December 31, 2022</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1,527,778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1,378,125</w:t>
            </w:r>
          </w:p>
        </w:tc>
      </w:tr>
      <w:tr>
        <w:trPr>
          <w:trHeight w:val="23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(1,300,188)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(1,124,421)</w:t>
            </w:r>
          </w:p>
        </w:tc>
      </w:tr>
      <w:tr>
        <w:trPr>
          <w:trHeight w:val="23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228,017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253,705</w:t>
            </w:r>
          </w:p>
        </w:tc>
      </w:tr>
      <w:tr>
        <w:trPr>
          <w:trHeight w:val="248"/>
        </w:trPr>
        <w:tc>
          <w:tcPr>
            <w:tcW w:w="82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418,756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490,942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94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GeneDx Holdings Corp.</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94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 and Comprehensive Loss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94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and share amounts)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8"/>
        </w:trPr>
        <w:tc>
          <w:tcPr>
            <w:tcW w:w="128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1280" w:type="dxa"/>
            <w:vAlign w:val="bottom"/>
            <w:tcBorders>
              <w:bottom w:val="single" w:sz="8" w:color="CCEEFF"/>
            </w:tcBorders>
          </w:tcPr>
          <w:p>
            <w:pPr>
              <w:spacing w:after="0"/>
              <w:rPr>
                <w:sz w:val="19"/>
                <w:szCs w:val="19"/>
                <w:color w:val="auto"/>
              </w:rPr>
            </w:pPr>
          </w:p>
        </w:tc>
        <w:tc>
          <w:tcPr>
            <w:tcW w:w="69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Diagnostic test revenue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195,654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227,334</w:t>
            </w:r>
          </w:p>
        </w:tc>
      </w:tr>
      <w:tr>
        <w:trPr>
          <w:trHeight w:val="230"/>
        </w:trPr>
        <w:tc>
          <w:tcPr>
            <w:tcW w:w="8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w:t>
            </w:r>
          </w:p>
        </w:tc>
      </w:tr>
      <w:tr>
        <w:trPr>
          <w:trHeight w:val="223"/>
        </w:trPr>
        <w:tc>
          <w:tcPr>
            <w:tcW w:w="82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234,694</w:t>
            </w:r>
          </w:p>
        </w:tc>
      </w:tr>
      <w:tr>
        <w:trPr>
          <w:trHeight w:val="223"/>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261,444</w:t>
            </w:r>
          </w:p>
        </w:tc>
      </w:tr>
      <w:tr>
        <w:trPr>
          <w:trHeight w:val="223"/>
        </w:trPr>
        <w:tc>
          <w:tcPr>
            <w:tcW w:w="82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Gross profit (loss)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(26,750)</w:t>
            </w:r>
          </w:p>
        </w:tc>
      </w:tr>
      <w:tr>
        <w:trPr>
          <w:trHeight w:val="223"/>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86,203</w:t>
            </w:r>
          </w:p>
        </w:tc>
      </w:tr>
      <w:tr>
        <w:trPr>
          <w:trHeight w:val="229"/>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122,075</w:t>
            </w:r>
          </w:p>
        </w:tc>
      </w:tr>
      <w:tr>
        <w:trPr>
          <w:trHeight w:val="23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216,167</w:t>
            </w:r>
          </w:p>
        </w:tc>
      </w:tr>
      <w:tr>
        <w:trPr>
          <w:trHeight w:val="229"/>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210,145</w:t>
            </w:r>
          </w:p>
        </w:tc>
      </w:tr>
      <w:tr>
        <w:trPr>
          <w:trHeight w:val="22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w:t>
            </w:r>
          </w:p>
        </w:tc>
      </w:tr>
      <w:tr>
        <w:trPr>
          <w:trHeight w:val="223"/>
        </w:trPr>
        <w:tc>
          <w:tcPr>
            <w:tcW w:w="82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(667,652)</w:t>
            </w:r>
          </w:p>
        </w:tc>
      </w:tr>
      <w:tr>
        <w:trPr>
          <w:trHeight w:val="237"/>
        </w:trPr>
        <w:tc>
          <w:tcPr>
            <w:tcW w:w="1280" w:type="dxa"/>
            <w:vAlign w:val="bottom"/>
            <w:shd w:val="clear" w:color="auto" w:fill="CCEEFF"/>
          </w:tcPr>
          <w:p>
            <w:pPr>
              <w:spacing w:after="0"/>
              <w:rPr>
                <w:sz w:val="20"/>
                <w:szCs w:val="20"/>
                <w:color w:val="auto"/>
              </w:rPr>
            </w:pPr>
          </w:p>
        </w:tc>
        <w:tc>
          <w:tcPr>
            <w:tcW w:w="6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Non-operating income (expenses), net</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and earn-out contingent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70,229</w:t>
            </w:r>
          </w:p>
        </w:tc>
      </w:tr>
      <w:tr>
        <w:trPr>
          <w:trHeight w:val="229"/>
        </w:trPr>
        <w:tc>
          <w:tcPr>
            <w:tcW w:w="8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29"/>
        </w:trPr>
        <w:tc>
          <w:tcPr>
            <w:tcW w:w="8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82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non-operating income, net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69,620</w:t>
            </w:r>
          </w:p>
        </w:tc>
      </w:tr>
      <w:tr>
        <w:trPr>
          <w:trHeight w:val="223"/>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(598,032)</w:t>
            </w:r>
          </w:p>
        </w:tc>
      </w:tr>
      <w:tr>
        <w:trPr>
          <w:trHeight w:val="230"/>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49,052</w:t>
            </w:r>
          </w:p>
        </w:tc>
      </w:tr>
      <w:tr>
        <w:trPr>
          <w:trHeight w:val="248"/>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(548,980)</w:t>
            </w:r>
          </w:p>
        </w:tc>
      </w:tr>
      <w:tr>
        <w:trPr>
          <w:trHeight w:val="20"/>
        </w:trPr>
        <w:tc>
          <w:tcPr>
            <w:tcW w:w="822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Unrealized gain related to available for sale securities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(548,980)</w:t>
            </w:r>
          </w:p>
        </w:tc>
      </w:tr>
      <w:tr>
        <w:trPr>
          <w:trHeight w:val="20"/>
        </w:trPr>
        <w:tc>
          <w:tcPr>
            <w:tcW w:w="822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of Class A common stock</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24,311,989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10,236,960</w:t>
            </w:r>
          </w:p>
        </w:tc>
      </w:tr>
      <w:tr>
        <w:trPr>
          <w:trHeight w:val="234"/>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 Class A common stock</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w:t>
            </w: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Class A Common</w:t>
      </w:r>
    </w:p>
    <w:p>
      <w:pPr>
        <w:spacing w:after="0" w:line="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127"/>
        </w:trPr>
        <w:tc>
          <w:tcPr>
            <w:tcW w:w="46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0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46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7"/>
                <w:szCs w:val="17"/>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7"/>
                <w:szCs w:val="17"/>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7,352,958</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963,543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(575,441)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388,103</w:t>
            </w:r>
          </w:p>
        </w:tc>
        <w:tc>
          <w:tcPr>
            <w:tcW w:w="0" w:type="dxa"/>
            <w:vAlign w:val="bottom"/>
          </w:tcPr>
          <w:p>
            <w:pPr>
              <w:spacing w:after="0"/>
              <w:rPr>
                <w:sz w:val="1"/>
                <w:szCs w:val="1"/>
                <w:color w:val="auto"/>
              </w:rPr>
            </w:pPr>
          </w:p>
        </w:tc>
      </w:tr>
      <w:tr>
        <w:trPr>
          <w:trHeight w:val="195"/>
        </w:trPr>
        <w:tc>
          <w:tcPr>
            <w:tcW w:w="4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(548,980)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(548,980)</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 issued pursuant to stock option exercises</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333,988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2,948</w:t>
            </w:r>
          </w:p>
        </w:tc>
        <w:tc>
          <w:tcPr>
            <w:tcW w:w="0" w:type="dxa"/>
            <w:vAlign w:val="bottom"/>
          </w:tcPr>
          <w:p>
            <w:pPr>
              <w:spacing w:after="0"/>
              <w:rPr>
                <w:sz w:val="1"/>
                <w:szCs w:val="1"/>
                <w:color w:val="auto"/>
              </w:rPr>
            </w:pPr>
          </w:p>
        </w:tc>
      </w:tr>
      <w:tr>
        <w:trPr>
          <w:trHeight w:val="195"/>
        </w:trPr>
        <w:tc>
          <w:tcPr>
            <w:tcW w:w="4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 based compensation expense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41,975</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Shares issued for PIPE, net of issuance costs</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1,515,152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197,659</w:t>
            </w:r>
          </w:p>
        </w:tc>
        <w:tc>
          <w:tcPr>
            <w:tcW w:w="0" w:type="dxa"/>
            <w:vAlign w:val="bottom"/>
          </w:tcPr>
          <w:p>
            <w:pPr>
              <w:spacing w:after="0"/>
              <w:rPr>
                <w:sz w:val="1"/>
                <w:szCs w:val="1"/>
                <w:color w:val="auto"/>
              </w:rPr>
            </w:pPr>
          </w:p>
        </w:tc>
      </w:tr>
      <w:tr>
        <w:trPr>
          <w:trHeight w:val="203"/>
        </w:trPr>
        <w:tc>
          <w:tcPr>
            <w:tcW w:w="4680" w:type="dxa"/>
            <w:vAlign w:val="bottom"/>
          </w:tcPr>
          <w:p>
            <w:pPr>
              <w:ind w:left="100"/>
              <w:spacing w:after="0" w:line="202" w:lineRule="exact"/>
              <w:rPr>
                <w:sz w:val="20"/>
                <w:szCs w:val="20"/>
                <w:color w:val="auto"/>
              </w:rPr>
            </w:pPr>
            <w:r>
              <w:rPr>
                <w:rFonts w:ascii="Times New Roman" w:cs="Times New Roman" w:eastAsia="Times New Roman" w:hAnsi="Times New Roman"/>
                <w:sz w:val="14"/>
                <w:szCs w:val="14"/>
                <w:color w:val="auto"/>
              </w:rPr>
              <w:t xml:space="preserve">Shares issued for acquisition </w:t>
            </w:r>
            <w:r>
              <w:rPr>
                <w:rFonts w:ascii="Times New Roman" w:cs="Times New Roman" w:eastAsia="Times New Roman" w:hAnsi="Times New Roman"/>
                <w:sz w:val="18"/>
                <w:szCs w:val="18"/>
                <w:color w:val="auto"/>
                <w:vertAlign w:val="superscript"/>
              </w:rPr>
              <w:t>(1)</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2,424,243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172,000</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Vested restricted stock units converted to common stock</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146,724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11,773,065</w:t>
            </w:r>
          </w:p>
        </w:tc>
        <w:tc>
          <w:tcPr>
            <w:tcW w:w="80" w:type="dxa"/>
            <w:vAlign w:val="bottom"/>
          </w:tcPr>
          <w:p>
            <w:pPr>
              <w:spacing w:after="0"/>
              <w:rPr>
                <w:sz w:val="16"/>
                <w:szCs w:val="16"/>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1,378,125</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(1,124,421)</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253,705</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(175,767)</w:t>
            </w:r>
          </w:p>
        </w:tc>
        <w:tc>
          <w:tcPr>
            <w:tcW w:w="0" w:type="dxa"/>
            <w:vAlign w:val="bottom"/>
          </w:tcPr>
          <w:p>
            <w:pPr>
              <w:spacing w:after="0"/>
              <w:rPr>
                <w:sz w:val="1"/>
                <w:szCs w:val="1"/>
                <w:color w:val="auto"/>
              </w:rPr>
            </w:pPr>
          </w:p>
        </w:tc>
      </w:tr>
      <w:tr>
        <w:trPr>
          <w:trHeight w:val="195"/>
        </w:trPr>
        <w:tc>
          <w:tcPr>
            <w:tcW w:w="4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 issued pursuant to stock option exercises</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50,444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195"/>
        </w:trPr>
        <w:tc>
          <w:tcPr>
            <w:tcW w:w="4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Vested restricted stock units converted to common stock</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431,671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468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rPr>
              <w:t>Issuance of Class A common shares in registered direct offering, net of</w:t>
            </w: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676,868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7,564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7,564</w:t>
            </w:r>
          </w:p>
        </w:tc>
        <w:tc>
          <w:tcPr>
            <w:tcW w:w="0" w:type="dxa"/>
            <w:vAlign w:val="bottom"/>
          </w:tcPr>
          <w:p>
            <w:pPr>
              <w:spacing w:after="0"/>
              <w:rPr>
                <w:sz w:val="1"/>
                <w:szCs w:val="1"/>
                <w:color w:val="auto"/>
              </w:rPr>
            </w:pPr>
          </w:p>
        </w:tc>
      </w:tr>
      <w:tr>
        <w:trPr>
          <w:trHeight w:val="193"/>
        </w:trPr>
        <w:tc>
          <w:tcPr>
            <w:tcW w:w="4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costs</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Issuance of Class A common shares for the first Milestone Payment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701,460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6,692</w:t>
            </w:r>
          </w:p>
        </w:tc>
        <w:tc>
          <w:tcPr>
            <w:tcW w:w="0" w:type="dxa"/>
            <w:vAlign w:val="bottom"/>
          </w:tcPr>
          <w:p>
            <w:pPr>
              <w:spacing w:after="0"/>
              <w:rPr>
                <w:sz w:val="1"/>
                <w:szCs w:val="1"/>
                <w:color w:val="auto"/>
              </w:rPr>
            </w:pPr>
          </w:p>
        </w:tc>
      </w:tr>
      <w:tr>
        <w:trPr>
          <w:trHeight w:val="195"/>
        </w:trPr>
        <w:tc>
          <w:tcPr>
            <w:tcW w:w="4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Fractional shares adjustment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29,603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468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Issuance of Class A common shares in underwritten public offering, net of</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12,315,752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135,438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135,439</w:t>
            </w:r>
          </w:p>
        </w:tc>
        <w:tc>
          <w:tcPr>
            <w:tcW w:w="0" w:type="dxa"/>
            <w:vAlign w:val="bottom"/>
          </w:tcPr>
          <w:p>
            <w:pPr>
              <w:spacing w:after="0"/>
              <w:rPr>
                <w:sz w:val="1"/>
                <w:szCs w:val="1"/>
                <w:color w:val="auto"/>
              </w:rPr>
            </w:pPr>
          </w:p>
        </w:tc>
      </w:tr>
      <w:tr>
        <w:trPr>
          <w:trHeight w:val="193"/>
        </w:trPr>
        <w:tc>
          <w:tcPr>
            <w:tcW w:w="4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issuance costs</w:t>
            </w: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25,978,863</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1,527,778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(1,300,188)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425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228,017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right="20" w:firstLine="8"/>
        <w:spacing w:after="0" w:line="285" w:lineRule="auto"/>
        <w:tabs>
          <w:tab w:leader="none" w:pos="204" w:val="left"/>
        </w:tabs>
        <w:numPr>
          <w:ilvl w:val="0"/>
          <w:numId w:val="3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Of the 2.4 million shares issued for acquisition, 251,965 shares were held by an escrow agent for a one year escrow period. During this period, the seller retained all rights with respect to the escrow shares, including voting rights and rights to receive dividends and other distributions on such escrow shares</w:t>
      </w:r>
      <w:r>
        <w:rPr>
          <w:rFonts w:ascii="Times New Roman" w:cs="Times New Roman" w:eastAsia="Times New Roman" w:hAnsi="Times New Roman"/>
          <w:sz w:val="14"/>
          <w:szCs w:val="14"/>
          <w:color w:val="auto"/>
        </w:rPr>
        <w:t>.</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2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5"/>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(175,767)</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(548,980)</w:t>
            </w:r>
          </w:p>
        </w:tc>
      </w:tr>
      <w:tr>
        <w:trPr>
          <w:trHeight w:val="21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5"/>
        </w:trPr>
        <w:tc>
          <w:tcPr>
            <w:tcW w:w="8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33,734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59,309</w:t>
            </w:r>
          </w:p>
        </w:tc>
      </w:tr>
      <w:tr>
        <w:trPr>
          <w:trHeight w:val="21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41,975</w:t>
            </w:r>
          </w:p>
        </w:tc>
      </w:tr>
      <w:tr>
        <w:trPr>
          <w:trHeight w:val="195"/>
        </w:trPr>
        <w:tc>
          <w:tcPr>
            <w:tcW w:w="8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fair value of warrants and contingent liabilities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(70,229)</w:t>
            </w:r>
          </w:p>
        </w:tc>
      </w:tr>
      <w:tr>
        <w:trPr>
          <w:trHeight w:val="21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tax benefit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(49,124)</w:t>
            </w:r>
          </w:p>
        </w:tc>
      </w:tr>
      <w:tr>
        <w:trPr>
          <w:trHeight w:val="195"/>
        </w:trPr>
        <w:tc>
          <w:tcPr>
            <w:tcW w:w="8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Provision for excess and obsolete inventory</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w:t>
            </w:r>
          </w:p>
        </w:tc>
      </w:tr>
      <w:tr>
        <w:trPr>
          <w:trHeight w:val="223"/>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Third-party payor reserve release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Gain on sale of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Gain on debt forgiveness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8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Impairment loss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210,145</w:t>
            </w:r>
          </w:p>
        </w:tc>
      </w:tr>
      <w:tr>
        <w:trPr>
          <w:trHeight w:val="21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w:t>
            </w:r>
          </w:p>
        </w:tc>
      </w:tr>
      <w:tr>
        <w:trPr>
          <w:trHeight w:val="195"/>
        </w:trPr>
        <w:tc>
          <w:tcPr>
            <w:tcW w:w="8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operating assets and liabilities, net of effects from purchase of business: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0"/>
        </w:trPr>
        <w:tc>
          <w:tcPr>
            <w:tcW w:w="8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5,527</w:t>
            </w:r>
          </w:p>
        </w:tc>
      </w:tr>
      <w:tr>
        <w:trPr>
          <w:trHeight w:val="195"/>
        </w:trPr>
        <w:tc>
          <w:tcPr>
            <w:tcW w:w="82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Inventory</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w:t>
            </w:r>
          </w:p>
        </w:tc>
      </w:tr>
      <w:tr>
        <w:trPr>
          <w:trHeight w:val="210"/>
        </w:trPr>
        <w:tc>
          <w:tcPr>
            <w:tcW w:w="8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(46,953)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34,459</w:t>
            </w:r>
          </w:p>
        </w:tc>
      </w:tr>
      <w:tr>
        <w:trPr>
          <w:trHeight w:val="196"/>
        </w:trPr>
        <w:tc>
          <w:tcPr>
            <w:tcW w:w="82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Other assets and liabilities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(8,455)</w:t>
            </w:r>
          </w:p>
        </w:tc>
      </w:tr>
      <w:tr>
        <w:trPr>
          <w:trHeight w:val="20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(180,147)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(319,155)</w:t>
            </w:r>
          </w:p>
        </w:tc>
      </w:tr>
      <w:tr>
        <w:trPr>
          <w:trHeight w:val="19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Consideration on escrow paid for GeneDx acquisition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(127,004)</w:t>
            </w:r>
          </w:p>
        </w:tc>
      </w:tr>
      <w:tr>
        <w:trPr>
          <w:trHeight w:val="195"/>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(7,156)</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(47,670)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Development of internal-use software assets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(7,166)</w:t>
            </w:r>
          </w:p>
        </w:tc>
      </w:tr>
      <w:tr>
        <w:trPr>
          <w:trHeight w:val="20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(43,726)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(141,326)</w:t>
            </w:r>
          </w:p>
        </w:tc>
      </w:tr>
      <w:tr>
        <w:trPr>
          <w:trHeight w:val="19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PIPE issuance, net of issuance costs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197,659</w:t>
            </w: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offerings, net of issuance costs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long-term debt, net of issuance costs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principal payments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Finance lease payoff and principal payments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(3,292)</w:t>
            </w:r>
          </w:p>
        </w:tc>
      </w:tr>
      <w:tr>
        <w:trPr>
          <w:trHeight w:val="20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186,238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197,315</w:t>
            </w:r>
          </w:p>
        </w:tc>
      </w:tr>
      <w:tr>
        <w:trPr>
          <w:trHeight w:val="195"/>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(37,635)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(263,166)</w:t>
            </w:r>
          </w:p>
        </w:tc>
      </w:tr>
      <w:tr>
        <w:trPr>
          <w:trHeight w:val="20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year</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138,303</w:t>
            </w:r>
          </w:p>
        </w:tc>
        <w:tc>
          <w:tcPr>
            <w:tcW w:w="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401,469</w:t>
            </w:r>
          </w:p>
        </w:tc>
      </w:tr>
      <w:tr>
        <w:trPr>
          <w:trHeight w:val="203"/>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year</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100,668</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138,303</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8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w:t>
            </w:r>
          </w:p>
        </w:tc>
      </w:tr>
      <w:tr>
        <w:trPr>
          <w:trHeight w:val="195"/>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taxes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w:t>
            </w:r>
          </w:p>
        </w:tc>
      </w:tr>
      <w:tr>
        <w:trPr>
          <w:trHeight w:val="21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liability from obtaining right-of-use asset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consideration paid for first Milestone Payment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6,692</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consideration paid for purchase of business</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172,000</w:t>
            </w:r>
          </w:p>
        </w:tc>
      </w:tr>
      <w:tr>
        <w:trPr>
          <w:trHeight w:val="195"/>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 in accounts payable and accrued expenses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 development costs in accounts payable and accrued expenses</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GeneDx Holdings Corp., through its subsidiaries GeneDx, LLC and Sema4 OpCo, Inc., provides genomics-related diagnostic and information services and pursues genomics medical research. GeneDx utilizes an integrated portfolio of laboratory processes, software tools and informatics capabilities to process DNA-containing samples, analyzes information about patient-specific genetic variation and generates test reports for clinicians and their patients. GeneDx provides a variety of genetic diagnostic tests, screening solutions, and information with a focus on pediatrics, rare diseases for children and adults, and hereditary cancer screening. GeneDx Holdings’ operating subsidiaries primarily serve healthcare professionals who work with their patients and bills third-party payors across the United States.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9, 2023, Sema4 Holdings Corp. changed its name to GeneDx Holdings Corp. The Company’s Class A common stock and public warrants are listed on the Nasdaq under the symbols “WGS” and “WGSWW,” respectively.</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31, 2023, the Company raised approximately $150.0 million in gross proceeds and announced the closing of an underwritten public offering of 9,962,316 shares of our Class A common stock and a concurrent registered direct offering of 2,353,436 shares of our Class A common stock. The net offering proceeds received after deducting underwriters' discounts and commissions payable by the Company were approximately $135.4 million. On April 17, 2023, following the Company’s receipt of stockholder approval for the issuance, the Company issued the remaining 676,868 shares of the Company’s Class A common stock to Corvex Select Equity Master Fund LP, Corvex Master Fund LP and Corvex Dynamic Equity Select Master Fund LP in its previously announced registered direct offering for gross proceeds of approximately $7.6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herein or unless the context otherwise requires, references in these notes to:</w:t>
      </w:r>
    </w:p>
    <w:p>
      <w:pPr>
        <w:spacing w:after="0" w:line="16" w:lineRule="exact"/>
        <w:rPr>
          <w:sz w:val="20"/>
          <w:szCs w:val="20"/>
          <w:color w:val="auto"/>
        </w:rPr>
      </w:pPr>
    </w:p>
    <w:p>
      <w:pPr>
        <w:ind w:left="660" w:hanging="328"/>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“GeneDx Holdings” refer to GeneDx Holdings Corp., a Delaware corporation (f/k/a Sema4 Holdings Corp. (“Sema4 Holdings”));</w:t>
      </w:r>
    </w:p>
    <w:p>
      <w:pPr>
        <w:spacing w:after="0" w:line="4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GeneDx” refer to GeneDx, LLC, a Delaware limited liability company (formerly, GeneDx, Inc., a New Jersey corporation), which we acquired on April 29, 2022 (the “Acquisition”);</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Sema4” refer to Mount Sinai Genomics, Inc. d/b/a as Sema4, a Delaware corporation, which consummated the business combination with CM Life Sciences, Inc. (“CMLS”) on July 22, 2021 (the “Business Combination”);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and “our,” the “Company” and “GeneDx” refer, as the context requires, to:</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296"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Sema4 prior to the Business Combination, and GeneDx Holdings and its consolidated subsidiaries following the consummation of the Business Combination; and</w:t>
      </w:r>
    </w:p>
    <w:p>
      <w:pPr>
        <w:spacing w:after="0" w:line="1" w:lineRule="exact"/>
        <w:rPr>
          <w:rFonts w:ascii="Times New Roman" w:cs="Times New Roman" w:eastAsia="Times New Roman" w:hAnsi="Times New Roman"/>
          <w:sz w:val="18"/>
          <w:szCs w:val="18"/>
          <w:color w:val="auto"/>
        </w:rPr>
      </w:pPr>
    </w:p>
    <w:p>
      <w:pPr>
        <w:ind w:left="1300" w:hanging="320"/>
        <w:spacing w:after="0" w:line="281" w:lineRule="auto"/>
        <w:tabs>
          <w:tab w:leader="none" w:pos="131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GeneDx prior to the Acquisition, and GeneDx Holdings and its consolidated subsidiaries following the consummation of the Acquisition.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or “GeneDx” refer to (i) Legacy Sema4 prior to the consummation of the Business Combination; and (ii) GeneDx Holdings and its subsidiaries following the consummation of the Business Combination (including, following the consummation of the Acquisition, Legacy GeneDx).</w:t>
      </w:r>
    </w:p>
    <w:p>
      <w:pPr>
        <w:spacing w:after="0" w:line="17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(“U.S. GAAP”). These financial statements consolidate the operations and accounts of the Company and its wholly-owned subsidiaries. All intercompany accounts and transactions have been eliminated. Unless otherwise noted, all tabular dollars are in thousands, except per share amounts. Certain reclassifications have been made to the prior year consolidated financial statements in order to conform to the current year’s presentation.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4, 2023, at the commencement of trading, the Company effected a 1-for-33 reverse stock split (the “Reverse Stock Split”). Accordingly, all share and per share amounts for the periods presented in the accompanying consolidated financial statements and notes thereto have been adjusted retroactively, where applicable, to reflect the reverse stock split. No fractional shares were issued in connection with the reverse stock split.</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In addition, the Company is a “smaller reporting company”, as defined in Item 10(f)(1) of the U.S. Securities and Exchange Commission’s Regulation S-K. As such, the Company is eligible for exemptions from various reporting requirements applicable to other public companies that are not emerging growth companies, including reduced reporting, including the reporting of two fiscal years of audited financial statements,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certain estimates, judgments and assumptions that affect the reported amounts of assets and liabilities and the related disclosures at the date of the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potential or actual claims for recoupment from third-party payors, the valuation of stock-based awards, the valuation of warrant liabilities, income taxes and intangible assets. Actual results could differ materially from those estimates, judgments and assumptions.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marketable securities and accounts receivable. The majority of the Company’s cash, cash equivalents and restricted cash are uninsured with account balances in excess of the Federal Deposit Insurance Company limits.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cash and cash equivalents are deposited with high-quality financial institutions. Management believes these financial institutions are financially sound and, accordingly, that minimal credit risk exists. The Company is exposed to credit risk in the event of a default by the financial institutions holding its cash in excess of government insured limits and in the event of default by corporations and governments in which it holds investments in cash equivalents and short-term debt securities, to the extent recorded on the consolidated balance sheet. The Company has not experienced any losses on its deposits of cash and cash equivalents.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assesses both the self-pay patient and, if applicable, the third party payor that reimburses the Company on the patient’s behalf when evaluating concentration of credit risk. Significant patients and payors are those that represent more than 10% of the Company’s total annual revenues or accounts receivable balance at each respective balance sheet date. The significant concentrations of accounts receivable as of December 31, 2023 and 2022 were primarily from large managed care insurance companies, institutional billed accounts, and data arrangements. There was no individual patient or client that accounted for 10% or more of revenue or accounts receivable for any of the years presented. The Company does not require collateral as a means to mitigate customer credit risk.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significant payor, revenue as a percentage of total revenues and accounts receivable as a percentage of total accounts receivable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80" w:type="dxa"/>
            <w:vAlign w:val="bottom"/>
            <w:gridSpan w:val="4"/>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3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Accounts Receivable</w:t>
            </w:r>
          </w:p>
        </w:tc>
      </w:tr>
      <w:tr>
        <w:trPr>
          <w:trHeight w:val="223"/>
        </w:trPr>
        <w:tc>
          <w:tcPr>
            <w:tcW w:w="5120" w:type="dxa"/>
            <w:vAlign w:val="bottom"/>
          </w:tcPr>
          <w:p>
            <w:pPr>
              <w:spacing w:after="0"/>
              <w:rPr>
                <w:sz w:val="19"/>
                <w:szCs w:val="19"/>
                <w:color w:val="auto"/>
              </w:rPr>
            </w:pPr>
          </w:p>
        </w:tc>
        <w:tc>
          <w:tcPr>
            <w:tcW w:w="298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20" w:type="dxa"/>
            <w:vAlign w:val="bottom"/>
          </w:tcPr>
          <w:p>
            <w:pPr>
              <w:spacing w:after="0"/>
              <w:rPr>
                <w:sz w:val="19"/>
                <w:szCs w:val="19"/>
                <w:color w:val="auto"/>
              </w:rPr>
            </w:pPr>
          </w:p>
        </w:tc>
        <w:tc>
          <w:tcPr>
            <w:tcW w:w="30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r>
      <w:tr>
        <w:trPr>
          <w:trHeight w:val="223"/>
        </w:trPr>
        <w:tc>
          <w:tcPr>
            <w:tcW w:w="5120" w:type="dxa"/>
            <w:vAlign w:val="bottom"/>
          </w:tcPr>
          <w:p>
            <w:pPr>
              <w:spacing w:after="0"/>
              <w:rPr>
                <w:sz w:val="19"/>
                <w:szCs w:val="19"/>
                <w:color w:val="auto"/>
              </w:rPr>
            </w:pPr>
          </w:p>
        </w:tc>
        <w:tc>
          <w:tcPr>
            <w:tcW w:w="102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9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23"/>
        </w:trPr>
        <w:tc>
          <w:tcPr>
            <w:tcW w:w="51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Payor A </w:t>
            </w:r>
            <w:r>
              <w:rPr>
                <w:rFonts w:ascii="Times New Roman" w:cs="Times New Roman" w:eastAsia="Times New Roman" w:hAnsi="Times New Roman"/>
                <w:sz w:val="23"/>
                <w:szCs w:val="23"/>
                <w:color w:val="auto"/>
                <w:vertAlign w:val="superscript"/>
              </w:rPr>
              <w:t>(1)</w:t>
            </w:r>
          </w:p>
        </w:tc>
        <w:tc>
          <w:tcPr>
            <w:tcW w:w="1020" w:type="dxa"/>
            <w:vAlign w:val="bottom"/>
            <w:tcBorders>
              <w:top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Payor B</w:t>
            </w:r>
          </w:p>
        </w:tc>
        <w:tc>
          <w:tcPr>
            <w:tcW w:w="10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28%</w:t>
            </w:r>
          </w:p>
        </w:tc>
        <w:tc>
          <w:tcPr>
            <w:tcW w:w="19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6"/>
              </w:rPr>
              <w:t>15%</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55" w:lineRule="exact"/>
        <w:rPr>
          <w:sz w:val="20"/>
          <w:szCs w:val="20"/>
          <w:color w:val="auto"/>
        </w:rPr>
      </w:pPr>
    </w:p>
    <w:p>
      <w:pPr>
        <w:ind w:left="300" w:hanging="292"/>
        <w:spacing w:after="0"/>
        <w:tabs>
          <w:tab w:leader="none" w:pos="3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10%</w:t>
      </w:r>
    </w:p>
    <w:p>
      <w:pPr>
        <w:spacing w:after="0" w:line="27" w:lineRule="exact"/>
        <w:rPr>
          <w:sz w:val="20"/>
          <w:szCs w:val="20"/>
          <w:color w:val="auto"/>
        </w:rPr>
      </w:pPr>
    </w:p>
    <w:p>
      <w:pPr>
        <w:ind w:left="340" w:hanging="332"/>
        <w:spacing w:after="0" w:line="283" w:lineRule="auto"/>
        <w:tabs>
          <w:tab w:leader="none" w:pos="33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payor group includes multiple individual plans and the Company calculates and presents the aggregated value from all plans, which is consistent with the Company’s portfolio approach used in accounting for diagnostic test revenue.</w:t>
      </w:r>
    </w:p>
    <w:p>
      <w:pPr>
        <w:spacing w:after="0" w:line="1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a concentration of risk from a limited number of suppliers for certain reagents and laboratory supplies. One supplier accounted for approximately 11% and 4% of purchases for the years ended December 31, 2023 and 2022, respectively. Another supplier accounted for approximately 11% and 12% of purchases for the years ended</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December 31, 2023 and 2022, respectively. This risk is managed by maintaining a target quantity of surplus stock. Alternative suppliers are available for some or all of these reagents and supplies.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control of the promised goods or services is transferred to the customer in an amount that reflects the consideration which the Company expects to be entitled to in exchange for those goods or services. If any changes in customer credit issues are identified which were not assessed at the date of service, provisions for credit losses are recognized and recorded.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Diagnostic test revenue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diagnostic test revenue contracts typically consist of a single performance obligation to deliver diagnostic testing services to the ordering facility or patient and therefore allocation of the contract transaction price is not applicable. Control over diagnostic testing services is generally transferred at a point in time when the customer obtains control of the promised service which is upon delivery of the test.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Diagnostic test revenues consist primarily of services reimbursed by third-party insurance payors. Third-party insurance payors include managed care health plans and commercial insurance companies, including plans offered through the health insurance exchanges, and employers. In arrangements with third-party insurance payors, the transaction price is stated within the contract, however, the Company accepts payments from third-party payors that are less than the contractually stated price and is therefore variable consideration and the transaction price is estimated.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determining the transaction price, the Company uses a portfolio approach as a practical expedient to account for categories of diagnostic test contracts as collective groups rather than on an individual contract basis. The portfolio consists of major payor classes based on third-party payors. Based on historical collection trends and other analyses, the Company believes that revenue recognized by utilizing the portfolio approach approximates the revenue that would have been recognized if an individual contract approach was used.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Estimates of allowances for third-party insurance payors that impact the estimated transaction price are based upon the pricing and payment terms specified in the related contractual agreements. Contractual pricing and payment terms in third-party insurance agreements are generally based upon predetermined rates per diagnosis, per diem rates or discounted fee-for-service rates. In addition, for third-party payors in general, the estimated transaction price is impacted by factors such as historical collection experience, contractual provisions and insurance reimbursement policies, payor mix, and other relevant information for applicable payor portfolios.</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institutional clients, the customer is the institution. The Company determines the transaction price associated with services rendered in accordance with the contractual rates established with each customer.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Payment terms and conditions vary by contract and customer, however standard payment terms are generally less than 60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enters into both short-term and long-term project-based collaboration and service agreements with customers. Certain of these contracts include a license to directly access the Company’s intellectual property or participation by the Company on joint steering committees with the customer, which was considered to be immaterial in the context of the contract. The Company concludes that the goods and services transferred to our customers pursuant to these agreements generally comprise a single performance obligation on the basis that such goods and services are not distinct within the context of the contract. This is because the goods and services are highly interdependent and interrelated such that the Company would not be able to fulfill its underlying promise to our customers by transferring each good or service independently.</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these contracts include non-refundable upfront payments and variable payments based upon the achievement of certain milestones or fixed monthly payments during the contract term. Non-refundable upfront payments received prior to the Company performing performance obligation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For longer-term contracts,</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account for a significant financing component since a substantial amount of the consideration promised by the customer is variable and the amount or timing of that consideration varies on the basis of a future event that is not substantially within the control of either party.</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satisfies its performance obligation generally over time if the customer simultaneously receives and consumes the benefits provided by the Company’s services as the Company performs those services. The Company recognizes revenue over time using an input measure based on costs incurred on the basis that this measure best reflects the pattern of transfer of control of the services to the customer. In some contracts, the Company subcontracts certain services to other parties for which the Company is ultimately responsible. Costs incurred for such subcontracted services are included in the Company’s measure of progress for satisfying its performance obligation and are recorded in cost of services in the consolidated statements of operations and comprehensive loss. Changes in the total estimated costs to be incurred in measuring the Company’s progress toward satisfying its performance obligation may result in adjustments to cumulative revenue recognized at the time the change in estimate occurs.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for more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from the date of purchase to be cash equivalents. Cash equivalents consist of amounts invested in money market funds and debt securities. Carrying values of cash equivalents approximate fair value due to the short-term nature of these instruments. The current and long-term portions of restricted cash are included within prepaid expenses and other current assets and other assets.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Marketable securities are classified as current assets as these investments are intended to be available to the Company for use in funding current operations. Unrealized gains and losses on available for sale securities are deemed temporary and are classified in accumulated other comprehensive income (loss) within stockholders’ equity. Changes in the fair value of available for sale securities impact earnings only when such securities are sold, or an allowance for expected credit losses or impairment is recognized. We regularly evaluate our portfolio of marketable securities for expected credit losses and impairment for any decline in fair value determined to be other-than-temporary. In making this judgement, we evaluate, among other things, the extent to which the fair value of a security is less than its amortized cost; the financial condition of the issuer, including the credit quality, and any changes thereto; and our intent to sell, or whether we will more likely than not be required to sell, the security before recovery of its amortized cost basis. Our assessment of whether a marketable security has a credit loss or is impaired could change in the future due to new developments or changes in assumptions related to any particular security.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for more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consists of amounts due from customers and third-party payors for services performed and reflect the consideration to which the Company expects to be entitled in exchange for providing those services. Accounts receivable is estimated and recorded in the period the related revenue is recorded. During the years ended December 31, 2023 and 2022, the Company did not record provisions for credit losses. The Company did not write off any accounts receivable balances for the years ended December 31, 2023 and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net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Inventory, net, which primarily consists of finished goods such as testing supplies and reagents, is capitalized when purchased and expensed when used in performing services. Inventory is stated at the lower of cost or net realizable value. Cost is determined using actual costs on a first-in, first-out basis. The Company periodically performs obsolescence assessments and writes off any inventory that is no longer usable. Any write-down of inventory to net realizable value creates a new cost basis.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2022, the Company identified indicators of impairment for certain inventory testing supplies and reagents in connection with the planned exit of the Legacy Sema4 business and recorded a $22.5 million impairment charge in the Company’s consolidated statements of operations and comprehensive loss for the year ended December 31, 2022.</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net are stated at cost less accumulated depreciation and amortization. Equipment includes assets under finance lease. Improvements are capitalized, while maintenance and repairs are expensed as incurred. When assets are retired or otherwise disposed of, the cost and accumulated depreciation and amortization are removed from the consolidated balance sheets and any resulting gain or loss is reflected in the consolidated statements of operations and comprehensive loss in the period realized.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Finance leases and leasehold improvements are amortized straight-line over the shorter of the term of the lease or the estimated useful life. All other property and equipment assets are depreciated using the straight-line method over the estimated useful life of the asset, which ranges from three to five years.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the recoverability of its long-lived assets when events or changes in circumstances occur that indicate that the carrying value of the asset or asset group may not be recoverable. An impairment loss is recognized when the total estimated future undiscounted cash flows expected to result from the use of the asset and its eventual disposition are less than its carrying amount. Impairment, if any, is assessed using discounted cash flows or other appropriate measures of fair value.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w:t>
      </w: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capitalizes certain costs incurred related to the development of our software applications for internal use during the application development state. If a project constitutes an enhancement to existing software, the Company assesses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Capitalized software costs are amortized using the straight-line method over an estimated useful life of three years. Capitalized software is reviewed for impairment whenever events or changes in circumstances may indicate that the carrying amount of an asset may not be recoverable.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w:t>
      </w: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for more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acquisitions of entities that include inputs and processes and have the ability to create outputs as business combinations. The tangible and identifiable intangible assets acquired and liabilities assumed in a business combination are recorded based on their estimated fair values as of the business combination date, including identifiable intangible assets which either arise from a contractual or legal right or are separable from goodwill. The Company bases the estimated fair value of identifiable intangible assets acquired in a business combination on third-party valuations that use information and assumptions provided by the Company’s management, which consider estimates of inputs and assumptions that a market participant would use. Any excess purchase price over the estimated fair value assigned to the net tangible and identifiable intangible assets acquired and liabilities assumed is recorded as goodwill. The use of alternative valuation assumptions, including estimated revenue projections, growth rates, estimated cost savings, cash flows, discount rates, estimated useful lives and probabilities surrounding the achievement of contingent milestones could result in different purchase price allocations and amortization expense in current and future periods.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for more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Amortizable intangible assets include trade names and trademarks, developed technology and customer relationships acquired as part of business combinations. Intangible assets acquired through our business combinations in 2022 are amortized on a straight-line basis. All intangible assets subject to amortization are reviewed for impairment in accordance with ASC 360, Property, Plant and Equipment. There were no impairment losses recorded on intangible assets for any periods presented.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for more information.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 Computing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capitalizes certain costs incurred during the application development stage and all costs incurred during the preliminary project and post-implementation stages are expensed as incurred. Amortization begins when the cloud computing arrangement is ready for its intended use and is calculated on a straight-line basis over the fixed noncancellable periods plus renewal periods the Company deems it reasonably certain to exercise. During the year ended December 31, 2022, $0.3 million of implementation costs were capitalized and recorded in prepaid expenses and other current assets. There were no capitalized amounts for the year ended December 31,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recorded at fair value. Fair value is defined as the price that would be received to sell an asset or paid to transfer a liability in an orderly transaction between market participants at the measurement date. The Company determines the fair value of its financial instruments based on assumptions that market participants would use in pricing an asset or liability in the principal or most advantageous market. The following hierarchy lists three levels of fair value based on the extent to which inputs used in measuring fair value are observable in the market:</w:t>
      </w:r>
    </w:p>
    <w:p>
      <w:pPr>
        <w:spacing w:after="0" w:line="124"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Observable inputs such as quoted prices (unadjusted) in active markets that are accessible at the measurement date for identical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w:t>
      </w:r>
    </w:p>
    <w:p>
      <w:pPr>
        <w:spacing w:after="0" w:line="104"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 Observable inputs such as quoted prices for similar instruments in active markets, quoted prices for identical or similar instruments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or model-derived valuations whose significant inputs are observable.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Unobservable inputs that are significant to the measurement of fair value but are supported by little to no market data.</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assets and liabilities consist of cash and cash equivalents, marketable securities, accounts receivable, other current assets, accounts payable, and accrued expenses, other current liabilities, and long-term debt. The Company’s carry value of cash and cash equivalents, accounts receivable, other current assets, accounts payable, accrued expenses and other current liabilities approximate their fair value due to the relatively short-term nature of these accounts.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for more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outstanding warrants include the Public Warrants, the Private Warrants and the Perceptive Warrants.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as liability-classified instruments based on an assessment of the warrant terms and applicable authoritative guidance in accordance with ASC 480, Distinguishing Liabilities from Equity (“ASC 480”) and ASC 815-Derivatives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is conducted at the time of warrant issuance. The warrant liabilities are recorded on the consolidated balance sheets at fair value on their respective issuance dates, with subsequent changes in respective fair values recognized on the consolidated statements of operations and comprehensive loss at each reporting date.</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Public Warrants are classified within Level 1 of the fair value hierarchy as they are traded in active markets and the fair value is determined on the basis of quoted market prices. Management has determined the fair value of each Private Warrant is the same as that of a Public Warrant because the terms are substantially the same. The Private Warrants are classified within Level 2 of the fair value hierarchy as management determined the fair value of each Private Warrant is the same as that of a Public Warrant because the terms are substantially the same. The Perceptive Warrants are classified within Level 3 of the fair value hierarchy. The estimated fair value of the Perceptive Warrants is determined based on a Modified Black-Scholes valuation model. Key assumptions include expected volatility, expected term, and risk-free interest rate.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for more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(Legacy GeneDx)</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Acquisition involved potential payment of future consideration payable to OPKO Health, Inc. (“OPKO”) in cash and/or shares of Company’s Class A common stock with such mix to be determined in the Company’s sole discretion, based upon achievement of 2022 and 2023 revenue milestones, pursuant to the Acquisition Merger Agreement (the “Milestone Payments”). The Company records contingent consideration at fair value at the date of acquisition based on the consideration</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expected to be transferred, estimated using a Monte Carlo simulation valuation model. Changes in assumptions may result in adjustments to the fair value measurements.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Contingent consideration is remeasured each reporting period using Level 3 inputs, and the change in fair value, including accretion for the passage of time, is recognized as income or expense on the Company’s consolidated statements of operations. Cash contingent consideration payments up to the acquisition date fair value of the contingent consideration liability are classified as financing activities in the consolidated statements of cash flows, and amounts paid in excess of the original acquisition date fair value are classified as operating activities in the consolidated statements of cash flows.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for more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Contingent Liability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all Legacy Sema4 stockholders and option holders at that time became entitled to a pro rata share of earn-out shares and earn-out RSUs.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accounted for the earn-out shares as a liability in accordance with ASC 480. The Company subsequently measured the fair value of the liability at each reporting period and changes in fair value were recorded as a component of non-operating income (expenses), net, on the consolidated statements of operations and comprehensive loss. In July 2023, the Company’s obligations to issue earn-out shares pursuant to that certain Agreement and Plan of Merger, dated February 9, 2021, and shares pursuant to the earn-out RSUs expired as a result of the vesting conditions not being achieved.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accounted for the earn-out RSUs in accordance with ASC 718- Compensation — Stock Compensation (“ASC 718”) and stock-based compensation expense was recognized over the longer of the expected achievement period for the market-based requirement or the service requirement. In the event that any earn-out RSUs were forfeited as a result of a failure to achieve the service requirement, the underlying shares were reallocated on an annual basis to the Legacy Sema4 stockholders and to the Legacy Sema4 option holders who remained employed as of the date of such reallocation. Any re-allocations to Legacy Sema4 option holders were accounted for as new grants.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for more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measures stock-based compensation at the grant date based on the fair value of the award and recognizes stock-based compensation expense over the requisite service period for each separate vesting portion of the award on a straight-line basis.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the Black-Scholes option-pricing model to estimate the fair value of its stock option awards. Determining the fair value of stock option awards requires judgment, including estimating expected stock price volatility and expected option term. The Company estimates a volatility factor for the Company’s options based on analysis of historical share prices of a peer group of public companies, the historical share prices of the Company, and the implied volatility of the Company’s call options. The Company estimates the expected term of options granted using the “simplified method,” which is the mid-point between the vesting date and the ending date of the contractual term. The Company does not rely on the historical holding periods of the Company’s options due to the limited availability of exercise data. The Company uses a risk-free interest rate based on the U.S. Treasury yield curve in effect for bonds with maturities consistent with the expected term of the option. Expected dividend yield is based on the fact that the Company has never paid dividends.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stock awards are valued based on the fair value of the stock on the grant date. The Company issues new shares upon share option exercise and vesting of a restricted share unit. Forfeitures of stock-based compensation are recognized as they occur.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for more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and deferred tax assets and liabilities are recognized for the future tax consequences attributable to differences between the financial statement carrying values of existing assets and liabilities and their respective tax bases. Deferred tax assets and liabilities are measured using enacted tax rates in effect for the year in which those temporary differences are expected to be recovered or settled. A valuation allowance is established when it is more likely than not that some or all of the deferred tax assets will not be realized. Based on the Company’s historical operating losses, the Company has recorded a valuation allowance to reduce deferred tax assets to the amount that is more likely than not to be realized.</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tax benefits from uncertain tax positions only if it is more likely than not, based on technical merits, that the position will be sustained upon examination by the appropriate taxing authorities. The amount of tax benefit recognized for an uncertain tax position is the largest that is more than 50 percent likelihood to be realized upon ultimate settlement. The Company records interest and penalties related to tax uncertainties, where appropriate, in income tax expense.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more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leases primarily consisted of office and lab space, and equipment for use in its operations. Its leases generally have lease terms of 2024 to 2036 years, some with the option to extend. The Company includes extension options that are reasonably certain to be exercised as part of the lease terms. As of December 31, 2023, none of the Company’s lease terms included the extension option as the Company has determined that it is unlikely to exercise to extension option.</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ASU 2016-02, Leases (ASC 842), the Company determines if an arrangement is or contains a lease at inception. A lease qualifies as a finance lease if any of the following criteria are met at the inception of the lease: (i) there is a transfer of ownership of the leased asset to the Company by the end of the lease term, (ii) the Company holds an option to purchase the leased asset that the Company is reasonably certain to exercise, (iii) the lease term is for a major part of the remaining economic life of the leased asset, (iv) the present value of the sum of lease payments equals or exceeds substantially all of the fair value of the leased asset, or (v) the nature of the leased asset is specialized to the point that it is expected to provide the lessor no alternative use at the end of the lease term. All other leases are classified as operating leases.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Right-of-use assets (ROU assets) represent the Company’s right to use an underlying asset for the lease term and lease liabilities represent the Company’s obligation to make lease payments arising from the lease. Operating and finance lease ROU assets and liabilities are recognized at the lease commencement date based on the present value of remaining future minimum lease payments over the lease term. The Company does not recognize a ROU asset or lease liability for leases with a term of 12 months or less and does not include variable costs, which are based on actual usage, in the measurement of ROU assets and lease liabilities. The ROU assets include any lease payments made prior to the commencement date and initial direct costs incurred and excludes lease incentives received. ROU assets are subsequently assessed for impairment in accordance with the Company’s accounting policy for long-lived assets.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lease liabilities are measured at the present value of the associated payments, discounted using the Company’s incremental borrowing rate determined based on the rate of interest that the Company would pay to borrow on a collateralized basis an amount equal to the lease payments for similar term and in a similar economic environment on a collateralized basis, unless there is a rate implicit in the lease that is readily determinable. The lease liabilities are classified as current or non-current based on the expected timing of payments.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lease expense for operating leases on a straight-line basis over the lease term, which may include options to extend or terminate the lease when it is reasonably certain that the Company will exercise such options. Variable costs are expensed when the event determining the amount of variable consideration to be paid occurs. Interest expense for finance leases is recognized based on the accretion of the lease liability. The Company has operating and finance lease arrangements with lease and non-lease components. The Company accounts for lease and non-lease components as a single lease component for all leases.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more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to U.S. GAAP are established by the Financial Accounting Standards Board (the “FASB”) in the form of accounting standards updates (“ASUs”) to the FASB’s Accounting Standards Codification. The Company considers the applicability and impact of all ASUs. ASUs not included in the disclosures in this report were assessed and determined to be either not applicable or are not expected to have a material impact on the consolidated financial statements.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xml:space="preserve"> (“ASU 2023-07”). The standard requires enhanced segment reporting disclosures, including significant segment expenses and other segment items. Additionally, the standard requires public entities to provide in interim periods all disclosures about a reportable segment’s profit or loss and assets that are currently required annually. ASU 2023-07 will be effective for annual periods beginning after December 15, 2023, and for interim periods beginning after December 15, 2024, with early adoption permitted. The guidance will be applied retrospectively to all periods presented in financial statements unless it is impractical</w:t>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do so. The Company is currently evaluating the impact of the new guidance on its consolidated financial statements and related disclosures.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xml:space="preserve"> (“ASU 2023-09”). The standard requires additional disclosures around disaggregated information about a reporting entity’s effective tax rate reconciliation as well as information on income taxes paid. ASU 2023-09 will be effective for annual periods beginning after December 15, 2024, with early adoption permitted. The guidance will be applied on a prospective basis with the option to apply the standard retrospectively. The Company is currently evaluating the impact of the new guidance on its consolidated financial statements and related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 Instruments</w:t>
      </w:r>
      <w:r>
        <w:rPr>
          <w:rFonts w:ascii="Times New Roman" w:cs="Times New Roman" w:eastAsia="Times New Roman" w:hAnsi="Times New Roman"/>
          <w:sz w:val="18"/>
          <w:szCs w:val="18"/>
          <w:color w:val="auto"/>
        </w:rPr>
        <w:t xml:space="preserve"> (“ASU 2016-13”). The new credit losses standard changes the impairment model for most financial assets and certain other instruments. For 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The Company adopted ASU 2016-13 effective January 1, 2023 and the adoption did not have material impact in the consolidated statements of operations and comprehensive loss.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GeneDx Acquisition</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29, 2022, the Company completed the Acquisition. At the closing of the Acquisition, the Company paid OPKO gross cash consideration of $150 million (before deduction of transaction expenses and other customary purchase price adjustments) and issued to OPKO 2.4 million shares of the Company’s Class A common stock ($172 million based on the closing date share price of $70.95 per share). A portion of this cash and stock consideration was held in escrow for a one year escrow period ending in May 2023. On May 15, 2023, the Company completed the net working capital settlement with OPKO and released the remaining escrowed amount recorded in restricted cash. In addition, a portion of the $150 million was payable following the closing of the Acquisition due to the achievement of the first revenue-based milestone for the fiscal year ended December 31, 2022 and the remaining Milestone Payment of up to $37.5 million would be payable if certain revenue-based milestones are achieved for the fiscal year ending December 31, 2023. During the year ended December 31, 2023, the first Milestone Payment became due and payable in full and resulted in the issuance of 701,460 shares of the Company’s Class A common stock on April 14, 2023. The remaining Milestone Payment, if and to the extent earned under the terms of the Acquisition Merger Agreement, will be satisfied through the payment and/or issuance of a combination of cash and shares of the Company’s Class A common stock (valued at $160.38 per share, subject to adjustment for stock splits and similar changes), with such mix to be determined in the Company’s sole discretion. The second milestone payment was determined to be zero. Concurrently with the closing of the Acquisition, the Company also issued and sold in a private placement 1,515,152 shares of the Company’s Class A common stock to certain institutional investors for aggregate gross proceeds of $200 million (the “Acquisition PIPE Investment”).</w:t>
      </w:r>
    </w:p>
    <w:p>
      <w:pPr>
        <w:spacing w:after="0" w:line="200" w:lineRule="exact"/>
        <w:rPr>
          <w:sz w:val="20"/>
          <w:szCs w:val="20"/>
          <w:color w:val="auto"/>
        </w:rPr>
      </w:pPr>
    </w:p>
    <w:p>
      <w:pPr>
        <w:spacing w:after="0" w:line="3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net purchase price and the fair values of the assets and liabilities of Legacy GeneDx on a preliminary basis: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receivables</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21,651</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w:t>
            </w: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29,509</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w:t>
            </w: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98,000</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(12,862)</w:t>
            </w: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(15,781)</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(51,779)</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(5,798)</w:t>
            </w: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net assets acquired</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178,605</w:t>
            </w:r>
          </w:p>
        </w:tc>
      </w:tr>
      <w:tr>
        <w:trPr>
          <w:trHeight w:val="230"/>
        </w:trPr>
        <w:tc>
          <w:tcPr>
            <w:tcW w:w="97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23"/>
                <w:szCs w:val="23"/>
                <w:color w:val="auto"/>
                <w:vertAlign w:val="superscript"/>
              </w:rPr>
              <w:t>(1)</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185,871</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purchase price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364,476</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Goodwill represents the excess of the purchase price over the fair value of the net tangible and intangible assets acquired.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above represent the fair value estimates at the time of the Acquisition.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Recognition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revenue by payor category: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3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34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02"/>
        </w:trPr>
        <w:tc>
          <w:tcPr>
            <w:tcW w:w="3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GeneDx</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Legacy Sema4</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GeneDx</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Legacy Sema4</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Diagnostic test revenue:</w:t>
            </w: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30"/>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Patients with third-party insurance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173,624</w:t>
            </w:r>
          </w:p>
        </w:tc>
      </w:tr>
      <w:tr>
        <w:trPr>
          <w:trHeight w:val="230"/>
        </w:trPr>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Institutional customers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46,124</w:t>
            </w:r>
          </w:p>
        </w:tc>
      </w:tr>
      <w:tr>
        <w:trPr>
          <w:trHeight w:val="230"/>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Self-pay patients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7,586</w:t>
            </w: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diagnostic test revenue</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227,334</w:t>
            </w: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w:t>
            </w: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194,376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202,566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122,234</w:t>
            </w: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112,460</w:t>
            </w: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234,694</w:t>
            </w:r>
          </w:p>
        </w:tc>
      </w:tr>
      <w:tr>
        <w:trPr>
          <w:trHeight w:val="20"/>
        </w:trPr>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Reassessment of variable consideration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changes to the estimate of the transaction price, determined on a portfolio basis when applicable, are generally recorded as adjustments to revenue in the period of the change. The Company updates estimated variable consideration quarterly.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total change in estimate resulted in a net $8.8 million which included the partial release of a third party payor reserve established in prior periods for Legacy Sema4.</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recorded $54.0 million to decrease revenue resulting from changes in the estimated transaction price due to contractual adjustments, obtaining updated information from payors and patients that was unknown at the time the performance obligation was met and potential and actual settlements with third party payors.</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payor matters</w:t>
      </w:r>
    </w:p>
    <w:p>
      <w:pPr>
        <w:spacing w:after="0" w:line="1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As noted above, third-party payors, including government programs, may decide to deny payment or seek to recoup payments for tests performed by the Company that they contend were improperly billed, not medically necessary or against their coverage determinations, or for which they believe they have</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otherwise overpaid, including as a result of their own error. As a result, the Company may be required to refund payments already received, and the Company’s revenues may be subject to retroactive adjustment as a result of these factors among others, including without limitation, differing interpretations of billing and coding guidance, and changes by government agencies and payors in interpretations, requirements, policies and/or “conditions of participation” in various programs. The Company processes requests for recoupment from third-party payors in the ordinary course of its business, and it is likely that the Company will continue to do so in the future. If a third-party payor denies payment for testing or recoups money from the Company in a later period, reimbursement and the associated recognition of revenue for the Company’s testing services could decline.</w:t>
      </w:r>
    </w:p>
    <w:p>
      <w:pPr>
        <w:spacing w:after="0" w:line="13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As an integral part of the Company’s billing compliance program the Company instituted a third-party review of billing claims and compliance practices, and initiated improvements including implementing a package of new billing compliance policies and procedures and strengthening the Company’s billing</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compliance team. From time to time, the Company may have an obligation to reimburse Medicare, Medicaid, and third-party payors for overpayments regardless of fault. Settlements with third-party payors for retroactive adjustments due to audits, reviews, or investigations are considered variable consideration and are included in the determination of the estimated transaction price for providing services. These settlements are estimated based on the terms of the payment agreement with the payor, correspondence from the payor, the Company’s historical settlement activity (if any), and the Company’s assessment of the probability a significant reversal of cumulative revenue recognized will occur when the uncertainty is subsequently resolved. Estimated settlements are adjusted in future periods as such adjustments become known (that is, if new information becomes available), or as years are settled or are no longer subject to such audits, reviews, and investigations.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Throughout 2022, the Company was engaged in discussions with one of its third-party payors (the “Payor”) regarding certain overpayments to Legacy Sema4. On December 30, 2022, the Company entered into a settlement agreement with the Payor in order to settle the claims related to coverage and billing matters allegedly resulting in the overpayments by the Payor to the Company (the “Disputed Claims”). Under the settlement agreement, $42 million is to be paid by the Company to the Payor in a series of installments over four years with the final installment payment scheduled to be on or before June 30, 2026. The first installment payment of $15 million was made on December 31, 2022 and the second installment of $5 million was made on December 27, 2023. In consideration for these payments, the Payor agreed to provide releases of the Disputed Claims, which releases became effective on March 31, 2023.</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this matter, and in connection with a review of certain billing policies and procedures undertaken by management, the Company considered the need to establish reserves for potential recoupments of payments previously made by third-party payors. As of December 31, 2023 and December 31, 2022, $27.0 million and $39.0 million were recorded in accounts payable and accrued expenses and other liabilities, respectively. See Note 16, “</w:t>
      </w:r>
      <w:r>
        <w:rPr>
          <w:rFonts w:ascii="Times New Roman" w:cs="Times New Roman" w:eastAsia="Times New Roman" w:hAnsi="Times New Roman"/>
          <w:sz w:val="18"/>
          <w:szCs w:val="18"/>
          <w:i w:val="1"/>
          <w:iCs w:val="1"/>
          <w:color w:val="auto"/>
        </w:rPr>
        <w:t>Supplemental Financial Information</w:t>
      </w:r>
      <w:r>
        <w:rPr>
          <w:rFonts w:ascii="Times New Roman" w:cs="Times New Roman" w:eastAsia="Times New Roman" w:hAnsi="Times New Roman"/>
          <w:sz w:val="18"/>
          <w:szCs w:val="18"/>
          <w:color w:val="auto"/>
        </w:rPr>
        <w:t>”. The Company uses estimates, judgments, and assumptions to assess whether it is probable that a significant reversal in the amount of cumulative revenue may occur in future periods, based upon information presently available. These estimates are subject to change. In addition, as discussed above, the Company has made certain adjustments to its estimated variable consideration as result of this matter and other potential settlements with payors.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long-term nature of collaboration service agreements, the Company’s obligations pursuant to such agreements represent partially unsatisfied performance obligations as of December 31, 2023. The revenues under existing service agreements with original expected durations of more than one year are estimated to be approximately $3.3 million. The Company expects to recognize the majority of this revenue over the next 2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fulfill contracts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balance sheets as current or non-current asset based upon forecasted performance.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December 31, 2022, the Company had outstanding deferred costs to fulfill contracts of zero and $0.3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each period, all outstanding deferred costs were recorded as other current assets.</w:t>
      </w:r>
    </w:p>
    <w:p>
      <w:pPr>
        <w:spacing w:after="0" w:line="200" w:lineRule="exact"/>
        <w:rPr>
          <w:sz w:val="20"/>
          <w:szCs w:val="20"/>
          <w:color w:val="auto"/>
        </w:rPr>
      </w:pPr>
    </w:p>
    <w:p>
      <w:pPr>
        <w:spacing w:after="0" w:line="3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cost recognized was $2.1 million and $1.5 million for the years ended December 31, 2023 and 2022, respectively and are recorded in cost of services on the consolidated statements of operations and comprehensive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recorded at fair value on the consolidated balance sheets on a recurring basis. Fair value is defined as the price that would be received to sell an asset or paid to transfer a liability in an orderly transaction between market participants at the measurement date. For further information regarding the Company’s fair value measurements,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included within this Annual Report.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fair value of financial instruments that were measured at fair value on a recurring basis: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3"/>
        </w:trPr>
        <w:tc>
          <w:tcPr>
            <w:tcW w:w="5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9"/>
                <w:szCs w:val="19"/>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92,702</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municipal bonds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 liability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 liability</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Perceptive warrant liability</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4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3"/>
        </w:trPr>
        <w:tc>
          <w:tcPr>
            <w:tcW w:w="5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9"/>
                <w:szCs w:val="19"/>
                <w:color w:val="auto"/>
              </w:rPr>
            </w:pP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16,901</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 liability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 liability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7,619</w:t>
            </w:r>
          </w:p>
        </w:tc>
      </w:tr>
      <w:tr>
        <w:trPr>
          <w:trHeight w:val="24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during the years ended December 31, 2023 or December 31, 2022.</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marketable securities presented in the consolidated balance sheet at December 31, 2023 have maturity dates ranging from 2024 through 2026 and are classified as current assets as these investments are intended to be readily available to fund current operations. The differences between the fair value and amortized cost basis of each security are the unrealized gains or losses recorded in accumulated other comprehensive income. As of December 31, 2023, the amortized cost for maturities less than one year and greater than one year were $17.2 million and $12.6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and Private Warrants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consummation of the Merger in July 2021, there were 666,516 warrants to purchase shares of Class A common stock outstanding, including 447,223 public warrants and 219,293 private placement warrants. As of December 31, 2023, there were 666,515 warrants to purchase shares of Class A common stock outstanding, including 452,272 public warrants and 214,243 private placement warrants outstanding. Each warrant expires five years after the Business Combination or earlier upon redemption or liquidation, and entitles the holder to purchase one share of Class A common stock at an exercise price of $379.50 per share, subject to adjustment, at any time commencing on September 4, 2021.</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may redeem the outstanding public warrants if the price per share of the Class A common stock equals or exceeds $594.00 as described below:</w:t>
      </w:r>
    </w:p>
    <w:p>
      <w:pPr>
        <w:spacing w:after="0" w:line="108"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$0.33 per public warrant;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$594.00 per share (as adjusted) for any 20 trading days within a 30-trading day period ending three trading days before sending the notice of redemption to warrant holders.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redeem the outstanding public warrants if the price per share of the common stock equals or exceeds $330.00 as described below:</w:t>
      </w:r>
    </w:p>
    <w:p>
      <w:pPr>
        <w:spacing w:after="0" w:line="171"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$3.30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$330.00 per share (as adjusted) for any 20 trading days within the 30-trading day period ending three trading days before the Company sends the notice of redemption to the warrant holders; and</w:t>
      </w:r>
    </w:p>
    <w:p>
      <w:pPr>
        <w:jc w:val="both"/>
        <w:ind w:left="660" w:hanging="328"/>
        <w:spacing w:after="0" w:line="255"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common stock for any 20 trading days within a 30-trading day period ending three trading days before the Company sends notice of redemption to the warrant holders is less than $594.00 per share (as adjusted), the private placement warrants must also be concurrently called for redemption on the same terms as the outstanding public warrants, as described above.</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$330.00)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December 31, 2022 , a gain of $0.2 million and $21.1 million was recorded within the change in the change in fair market value of warrant and earn-out contingent liabilities in the consolidated statements of operations and comprehensive loss,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Perceptive Warrant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27, 2023, the Company entered into a Credit Agreement and Guaranty (the “Credit Agreement”) with Perceptive Credit Holdings IV, LP, as lender and administrative agent (“Perceptive”), which provides for a senior secured delayed draw term loan facility in an aggregate principal amount of up to $75 million (the “Perceptive Term Loan Facility”). As consideration for the Credit Agreement, the Company issued to Perceptive a warrant to purchase up to 1,200,000 shares (the “Perceptive Warrants”) of its Class A common stock. For further information regarding the Credit Agreement and Perceptive Warrants, see Note 9, “</w:t>
      </w:r>
      <w:r>
        <w:rPr>
          <w:rFonts w:ascii="Times New Roman" w:cs="Times New Roman" w:eastAsia="Times New Roman" w:hAnsi="Times New Roman"/>
          <w:sz w:val="18"/>
          <w:szCs w:val="18"/>
          <w:i w:val="1"/>
          <w:iCs w:val="1"/>
          <w:color w:val="auto"/>
        </w:rPr>
        <w:t>Long Term Debt</w:t>
      </w:r>
      <w:r>
        <w:rPr>
          <w:rFonts w:ascii="Times New Roman" w:cs="Times New Roman" w:eastAsia="Times New Roman" w:hAnsi="Times New Roman"/>
          <w:sz w:val="18"/>
          <w:szCs w:val="18"/>
          <w:color w:val="auto"/>
        </w:rPr>
        <w:t>” included within this Annual Report.</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Perceptive Warrants are classified within Level 3 of the fair value hierarchy. The key assumptions utilized in determining the Perceptive Warrants valuation as of December 31, 2023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00" w:type="dxa"/>
            <w:vAlign w:val="bottom"/>
          </w:tcPr>
          <w:p>
            <w:pPr>
              <w:spacing w:after="0"/>
              <w:rPr>
                <w:sz w:val="16"/>
                <w:szCs w:val="16"/>
                <w:color w:val="auto"/>
              </w:rPr>
            </w:pPr>
          </w:p>
        </w:tc>
        <w:tc>
          <w:tcPr>
            <w:tcW w:w="21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9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23"/>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$2.75</w:t>
            </w:r>
          </w:p>
        </w:tc>
      </w:tr>
      <w:tr>
        <w:trPr>
          <w:trHeight w:val="229"/>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$3.18</w:t>
            </w:r>
          </w:p>
        </w:tc>
      </w:tr>
      <w:tr>
        <w:trPr>
          <w:trHeight w:val="230"/>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110.0%</w:t>
            </w:r>
          </w:p>
        </w:tc>
      </w:tr>
      <w:tr>
        <w:trPr>
          <w:trHeight w:val="229"/>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9.8</w:t>
            </w:r>
          </w:p>
        </w:tc>
      </w:tr>
      <w:tr>
        <w:trPr>
          <w:trHeight w:val="229"/>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3.88%</w:t>
            </w:r>
          </w:p>
        </w:tc>
      </w:tr>
      <w:tr>
        <w:trPr>
          <w:trHeight w:val="234"/>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determined and recorded as of December 31, 2023 was $2.5 million. For the year ended December 31, 2023, a nominal gain was recorded within the change in fair market value of warrant and earn-out contingent liabilities in the consolidated statements of operations and comprehensive loss based on re-measurement performed as of the period end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Contingent Liability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all Legacy Sema4 stockholders and option holders at that time became entitled to a pro rata share of 576,412 earn-out shares and earn-out RSUs. As for the earn-out RSUs for the Legacy Sema4 option holders, a total of 81,819 RSUs were granted on December 9, 2021. The vesting of such arrangement was conditioned on the satisfaction of both a service requirement and on the satisfaction of a market-based requirement. The market-based requirement would have been achieved if the Company’s stock price was greater than or equal to $429 (Triggering Event I), $495 (Triggering Event II) and $594 (Triggering Event III) during the applicable performance period, based on the volume-weighted average price for a period of at least 20 days out of 30 consecutive trading days.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2023, the Company’s obligations to issue earn-out shares pursuant to that certain Agreement and Plan of Merger (as amended, the “Business Combination Merger Agreement”), dated February 9, 2021, and shares pursuant to the earn-out RSUs expired as a result of the vesting conditions not being achieved. The fair value determined and recorded as of December 31, 2023 and December 31, 2022 was zero. During the year ended December 31, 2022, a gain of $10.2 million was recorded within the change in fair market value of warrant and earn-out contingent liabilities in the consolidated statements of operations and comprehensive loss based on re-measurement performed as of the period end date.</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recorded $0.8 million reduction in stock-based compensation expense in relation to the forfeiture of the earn-out RSUs by the Legacy Sema4 option holders for the year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(Legacy GeneDx)</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up to $150 million of contingent payments was to be payable to OPKO in cash and/or shares of Company’s Class A common stock with such mix to be determined in the Company’s sole discretion, based upon achievement of 2022 and 2023 revenue milestones, pursuant to the Acquisition Merger Agreement (the “Milestone Payments”).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terms and conditions of the Acquisition Merger Agreement, the first Milestone Payment was paid out in full in April 2023 through the issuance of 701,460 shares of the Company’s Class A common stock (valued at $160.38 per share) for $112.5 million as the revenue of the Legacy GeneDx group for the fiscal year 2022 exceeded $163 million. The second Milestone Payment of $37.5 million was valued at zero as the revenue target for the Legacy GeneDx group was not met during fiscal year 2023. The second Milestone Payment would have become due and payable if the revenue of the Legacy GeneDx group for the fiscal year 2023 equaled or exceeded $219 million (each of clauses (a) and (b), a “Milestone Event”); provided that 80% of the second Milestone Payment would have become payable in respect of the second milestone period if the Legacy GeneDx group achieved 90% of the Milestone Event revenue target for such period, which amount would have scaled on a linear basis up to 100% of the second Milestone Payment at 100% of the revenue target.</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a gain of $0.9 million was recorded in the change in fair market value of warrant and earn-out contingent liabilities in the consolidated statements of operations and comprehensive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Connecticut Department of Economic and Community Development Funding Commitment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loan from the Connecticut Department of Economic and Community Development (“DECD”) is classified within Level 2 of the fair value hierarchy. The loan was recorded at its carrying value of $6.3 million at December 31, 2022</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December 31, 2023, with $0.5 million of recorded in other current liabilities on the consolidated balance sheets at December 31, 2023. The fair value was $5.0 million, which is estimated based on discounted cash flows using the yields of similar debt instruments of other companies with similar credit profiles.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8"/>
        </w:trPr>
        <w:tc>
          <w:tcPr>
            <w:tcW w:w="8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8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41,255</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under finance leases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21,384</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35,561</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32,171</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under finance lease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9,177</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in-progress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w:t>
            </w:r>
          </w:p>
        </w:tc>
      </w:tr>
      <w:tr>
        <w:trPr>
          <w:trHeight w:val="223"/>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152,987</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(101,460)</w:t>
            </w:r>
          </w:p>
        </w:tc>
      </w:tr>
      <w:tr>
        <w:trPr>
          <w:trHeight w:val="248"/>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and 2022, depreciation and amortization expense was $19.7 million and $50.0 million, respectively, which included software amortization expense of $6.6 million and $15.4 million for the years ended December 31, 2023 and 2022, respectively. For intangible amortization, see Note 7,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 the Company recorded the following:</w:t>
      </w:r>
    </w:p>
    <w:p>
      <w:pPr>
        <w:spacing w:after="0" w:line="171" w:lineRule="exact"/>
        <w:rPr>
          <w:sz w:val="20"/>
          <w:szCs w:val="20"/>
          <w:color w:val="auto"/>
        </w:rPr>
      </w:pPr>
    </w:p>
    <w:p>
      <w:pPr>
        <w:ind w:left="660" w:hanging="328"/>
        <w:spacing w:after="0" w:line="261"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million charge to accelerate the amortization for certain capitalized software projects associated with Legacy Sema4 that were not expected to be utilized;</w:t>
      </w:r>
    </w:p>
    <w:p>
      <w:pPr>
        <w:ind w:left="660" w:hanging="328"/>
        <w:spacing w:after="0" w:line="250"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 million non-cash impairment charges (of which $5.6 million was allocated to the right-of-use asset associated with the sublease), driven by indicators of impairment related to the ISMMS sublease agreements during the first and third quarters of 2023; and</w:t>
      </w: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net gain on sale of assets primarily associated with the closure of Legacy Sema4 facilities.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2022, the Company recorded the following:</w:t>
      </w:r>
    </w:p>
    <w:p>
      <w:pPr>
        <w:spacing w:after="0" w:line="171" w:lineRule="exact"/>
        <w:rPr>
          <w:sz w:val="20"/>
          <w:szCs w:val="20"/>
          <w:color w:val="auto"/>
        </w:rPr>
      </w:pPr>
    </w:p>
    <w:p>
      <w:pPr>
        <w:ind w:left="660" w:hanging="328"/>
        <w:spacing w:after="0" w:line="261"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 million charge to accelerate depreciation and amortization due to the change in the Company’s useful lives on certain fixed assets that are related to the business exit activity; and</w:t>
      </w:r>
    </w:p>
    <w:p>
      <w:pPr>
        <w:jc w:val="both"/>
        <w:ind w:left="660" w:right="20" w:hanging="328"/>
        <w:spacing w:after="0" w:line="255"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 million charge associated with the identification of indicators of impairment that the carrying value of the certain capitalized software may not be recoverable. As a result, certain costs previously capitalized were written down within cost of services, research and development and general and administrative expenses.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is included within the statements of operations and comprehensive loss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spacing w:after="0"/>
              <w:rPr>
                <w:sz w:val="19"/>
                <w:szCs w:val="19"/>
                <w:color w:val="auto"/>
              </w:rPr>
            </w:pPr>
          </w:p>
        </w:tc>
        <w:tc>
          <w:tcPr>
            <w:tcW w:w="36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6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31,328</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14,960</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3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49,959</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bottom w:val="single" w:sz="8" w:color="CCEEFF"/>
            </w:tcBorders>
            <w:vMerge w:val="restart"/>
          </w:tcPr>
          <w:p>
            <w:pPr>
              <w:jc w:val="right"/>
              <w:ind w:right="2250"/>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56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56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upon the acquisition of GeneDx in April 2022, the Company recorded initial goodwill of $185.9 million through its preliminary purchase allocation. The purchase price allocation for acquired businesses may be modified for up to one year from the date of acquisition if additional facts or circumstances lead to changes in our preliminary purchase accounting estimates. During 2022, the Company recorded measurement period adjustments to reduce goodwill by $11.4 million. The measurement period closed on April 29, 2023.</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2022, the Company identified indicators that it was more likely than not that the fair value of the GeneDx reporting unit was less than its carrying value. The factors contributing to the indicators included, but were not limited to, significant decline in the Company’s stock price coupled with lower than anticipated business financial performance of the Legacy Sema4 business. Based on the quantitative analysis performed as of December 31, 2022, the Company concluded that the reporting unit’s carrying value was greater than the fair value. Accordingly, an impairment charge totaling $174.5 million was recognized.</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carrying values and remaining useful lives of the acquired intangible assets identified based on the Company’s preliminary purchase accounting assessments for the GeneDx acquisition: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38"/>
        </w:trPr>
        <w:tc>
          <w:tcPr>
            <w:tcW w:w="28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88"/>
        </w:trPr>
        <w:tc>
          <w:tcPr>
            <w:tcW w:w="2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880" w:type="dxa"/>
            <w:vAlign w:val="bottom"/>
          </w:tcPr>
          <w:p>
            <w:pPr>
              <w:spacing w:after="0"/>
              <w:rPr>
                <w:sz w:val="11"/>
                <w:szCs w:val="11"/>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98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11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5"/>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6"/>
                <w:szCs w:val="16"/>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98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0" w:type="dxa"/>
            <w:vAlign w:val="bottom"/>
          </w:tcPr>
          <w:p>
            <w:pPr>
              <w:spacing w:after="0"/>
              <w:rPr>
                <w:sz w:val="1"/>
                <w:szCs w:val="1"/>
                <w:color w:val="auto"/>
              </w:rPr>
            </w:pPr>
          </w:p>
        </w:tc>
      </w:tr>
      <w:tr>
        <w:trPr>
          <w:trHeight w:val="228"/>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Tradenames and trademarks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47,917</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94,733</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172,625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196,000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186,650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estimated future amortization expense of intangible assets with finite lives as of December 31, 2023:</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14,025</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14,025</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14,025</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14,025</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14,025</w:t>
            </w:r>
          </w:p>
        </w:tc>
      </w:tr>
      <w:tr>
        <w:trPr>
          <w:trHeight w:val="230"/>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102,500</w:t>
            </w: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estimated future amortization expense</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172,625</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expense for tradenames and trademarks and developed technology of $9.1 million was recorded in general and administrative expenses for the year ended December 31, 2023 within the consolidated statements of operations and comprehensive loss. Amortization expense for customer relationships of $4.9 million was recorded in selling and marketing expenses for the year ended December 31, 2023 within the consolidated statements of operations and comprehensive loss.</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revenues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related party revenues are included within diagnostic test revenue and other revenue in the consolidated statements of operations and comprehensive loss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2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Borders>
              <w:bottom w:val="single" w:sz="8" w:color="auto"/>
            </w:tcBorders>
          </w:tcPr>
          <w:p>
            <w:pPr>
              <w:spacing w:after="0"/>
              <w:rPr>
                <w:sz w:val="20"/>
                <w:szCs w:val="20"/>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test revenue</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2,209</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9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48"/>
        </w:trPr>
        <w:tc>
          <w:tcPr>
            <w:tcW w:w="82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related party revenues</w:t>
            </w:r>
          </w:p>
        </w:tc>
        <w:tc>
          <w:tcPr>
            <w:tcW w:w="96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2,562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Related party revenues primarily include diagnostic testing revenues generated by GeneDx from BioReference Laboratories, Inc. (“BRLI”), which is a subsidiary of OPKO. The prices charged represent market rates. Revenue recorded from this contract was $2.7 million and $1.7 million for the years ended December 31, 2023 and December 31, 2022,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expenses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related party costs are included within cost of services and related party expenses in the consolidated statements of operations and comprehensive loss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services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w:t>
            </w:r>
          </w:p>
        </w:tc>
      </w:tr>
      <w:tr>
        <w:trPr>
          <w:trHeight w:val="22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related party costs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10,481</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 2017, the Company signed a contribution and funding agreement and other agreements with ISMMS, whereby ISMMS contributed certain assets and liabilities related to the Company’s operations, provided certain services to the Company, and also committed to funding the Company up to $55.0 million in future capital contributions in exchange for equity in the Company, of which $55.0 million was drawn as of December 31, 2019. Following the transaction, the Company commenced operations and began providing the services and performing research.</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Expenses recognized pursuant to other service arrangements with ISMMS totaled $6.8 million and $7.4 million for the years ended December 31, 2023 and 2022, respectively. These amounts are included in either cost of services or related party expenses on the consolidated statements of operations and comprehensive loss depending on the particular activity to which the costs relate. Payables due to ISMMS for the other service arrangements were $1.0 million and $2.4 million as of December 31, 2023 and December 31, 2022, respectively. These amounts are included within due to related parties on the Company’s consolidated balance sheets.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 Company incurred $3.4 million and $1.7 million in purchases of diagnostic testing kits and materials and $1.8 million and $1.4 million was recorded in cost of services for the year ended December 31, 2023 and 2022, respectively, from an affiliate of a member of the Board of Directors who has served in the role since July 2021. The prices paid represent market rates. Payables due were $0.4 million as of December 31, 2023 and 2022.</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Legacy GeneDx and OPKO entered into a Transition Services Agreement dated as of April 29, 2022 (the “OPKO TSA”) pursuant to which OPKO has agreed to provide, at cost, subject to certain limited exceptions, in order to facilitate the transactions contemplated by the Acquisition Merger Agreement, including human resources, information technology support, and finance and accounting. Services in connection with the OPKO TSA were fully completed in October 2023. The Company recognized $1.6 million and $1.3 million in costs for the year ended December 31, 2023 and 2022, respectively. As of December 31, 2023 and 2022, a nominal amount and $0.4 million was unpaid and included in due to related parties in consolidated balance sheets, respectively.</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a reduction of $1.3 million of receivables from OPKO related to the Acquisition closing working capital adjustment that was previously recorded as prepaid expenses and other current assets in consolidated balance sheets at December 31, 2022.</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830"/>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Long-Term Debt</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2023, long-term debt matures as follows:</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9"/>
        </w:trPr>
        <w:tc>
          <w:tcPr>
            <w:tcW w:w="1280" w:type="dxa"/>
            <w:vAlign w:val="bottom"/>
          </w:tcPr>
          <w:p>
            <w:pPr>
              <w:spacing w:after="0"/>
              <w:rPr>
                <w:sz w:val="16"/>
                <w:szCs w:val="16"/>
                <w:color w:val="auto"/>
              </w:rPr>
            </w:pPr>
          </w:p>
        </w:tc>
        <w:tc>
          <w:tcPr>
            <w:tcW w:w="8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5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2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30"/>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2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29"/>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51,285</w:t>
            </w:r>
          </w:p>
        </w:tc>
      </w:tr>
      <w:tr>
        <w:trPr>
          <w:trHeight w:val="230"/>
        </w:trPr>
        <w:tc>
          <w:tcPr>
            <w:tcW w:w="9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23"/>
        </w:trPr>
        <w:tc>
          <w:tcPr>
            <w:tcW w:w="9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56,250</w:t>
            </w:r>
          </w:p>
        </w:tc>
      </w:tr>
      <w:tr>
        <w:trPr>
          <w:trHeight w:val="230"/>
        </w:trPr>
        <w:tc>
          <w:tcPr>
            <w:tcW w:w="9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29"/>
        </w:trPr>
        <w:tc>
          <w:tcPr>
            <w:tcW w:w="9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long-term debt issuance costs</w:t>
            </w: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r>
      <w:tr>
        <w:trPr>
          <w:trHeight w:val="223"/>
        </w:trPr>
        <w:tc>
          <w:tcPr>
            <w:tcW w:w="9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 net of current portion and debt issuance costs</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52,688</w:t>
            </w:r>
          </w:p>
        </w:tc>
      </w:tr>
      <w:tr>
        <w:trPr>
          <w:trHeight w:val="20"/>
        </w:trPr>
        <w:tc>
          <w:tcPr>
            <w:tcW w:w="12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Perceptive Term Loan Facility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27, 2023 (the “Closing Date”), the Company entered into a Credit Agreement and Guaranty (the “Credit Agreement”) with Perceptive Credit Holdings IV, LP, as lender and administrative agent (“Perceptive”), which provides for a senior secured delayed draw term loan facility in an aggregate principal amount of up to $75 million (the “Perceptive Term Loan Facility”). An initial tranche of $50 million (the “Tranche A Loan”) was funded under the Perceptive Term Loan Facility on the Closing Date. In addition to the Tranche A Loan, the Perceptive Term Loan Facility includes an additional tranche of $25 million (the “Tranche B Loan,” and together with the Tranche A Loan, the “Term Loans”), which will be accessible by the Company so long as the Company satisfies certain customary conditions precedent, including a specified revenue milestone (the funding date of the Tranche B Loan, the “Tranche B Borrowing Date”). The Perceptive Term Loan Facility has a maturity date of October 27, 2028 (the “Maturity Date”) and provides for an interest-only period during the term of the loan with principal due at the maturity date. Our net proceeds from the Tranche A Loan were approximately $49 million, after deducting estimated debt issuance costs and expenses.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Perceptive Term Loan Facility will accrue interest at an annual rate equal to the sum of (a) Term SOFR (as defined in the Credit Agreement) and (b) an applicable margin of 7.5% (the “Applicable Margin”). Accrued interest on the Term Loans is payable monthly in arrears. Upon an Event of Default (as defined in the Credit Agreement), the Applicable Margin will automatically increase by an additional 4% per annum.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and Prepayment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Maturity Date, there will be no scheduled principal payments under the Perceptive Term Loan Facility. On the Maturity Date, the Company is required to pay Perceptive the aggregate outstanding principal amount of the Term Loans and all accrued and unpaid interest thereon. The Term Loans may be prepaid at any time, subject to a prepayment premium equal to 0% to 10% of the aggregate outstanding principal amount being prepaid, depending on the date of prepayment.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Instruments and Warrant</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Credit Agreement, the Company also entered into a Security Agreement (the “Security Agreement”), dated as of the Closing Date, with Perceptive, pursuant to which all of its obligations under the Credit Agreement are secured by a first lien perfected security interest on substantially all of its existing and after-acquired assets, subject to customary exceptions.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on the Closing Date, as consideration for the Credit Agreement, the Company issued to Perceptive a warrant to purchase up to 1,200,000 shares of its Class A common stock. 800,000 Warrant Shares (the “Initial Warrant Shares”) vested and became exercisable on the Closing Date and 400,000 Warrant Shares (the “Additional Warrant Shares”) will vest and become exercisable on the Tranche B Borrowing Date. The per share exercise price for the Initial Warrant Shares is $3.1752 (the “Initial Warrant Exercise Price”), which is equal to the10-day volume weighted average price (the “10-day VWAP”) of the Company’s Class A common stock at the end of the business day immediately prior to the Closing Date, and the per share exercise price for the Additional Warrant Shares will be equal to the lower of (a) the Initial Warrant Exercise Price or (b) the 10-day VWAP ending on the end of the business day immediately preceding the Tranche B Borrowing Date. The Perceptive Warrant will be exercisable, in whole or in part, until the 10th anniversary of the applicable vesting date. For further</w:t>
      </w:r>
    </w:p>
    <w:p>
      <w:pPr>
        <w:spacing w:after="0" w:line="200" w:lineRule="exact"/>
        <w:rPr>
          <w:sz w:val="20"/>
          <w:szCs w:val="20"/>
          <w:color w:val="auto"/>
        </w:rPr>
      </w:pPr>
    </w:p>
    <w:p>
      <w:pPr>
        <w:spacing w:after="0" w:line="3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information regarding the accounting treatment and subsequent fair value re-measurement of the Perceptive Warrant, see Note 5,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included within this Annual Report.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Loan and Security Agreement (the “SVB Agreement”)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15, 2021, the Company and Sema4 OpCo, Inc. (together, the “Borrower”) entered into a Loan and Security Agreement (the “SVB Agreement”) with Silicon Valley Bank (“SVB”) which provided for a revolving credit facility (the “Revolver”) up to an aggregate principal amount of $125 million, including a sublimit of $20 million for Letters of Credit (as such terms are defined in the SVB Agreement).</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entry into the Credit Agreement, the SVB Agreement was terminated, effective as of the Closing Date, and SVB’s security interest in the Company’s assets and property was released. No amounts had been drawn under the SVB Agreement at the Closing Date. The Company recorded $0.6 million of expenses related to the termination of the SVB Agreement during the fourth quarter of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Connecticut Department of Economic and Community Development Funding Commitment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2017, ISMMS assigned a loan funding commitment from the DECD to the Company (the “DECD Loan Agreement”) to support the Genetic Sequencing Laboratory Project in Branford, Connecticut, with funding based on the achievement of certain project development phases. The DECD Loan Agreement provided for a total loan commitment of $15.5 million at a fixed annual interest rate of 2.0% for a term of 10 years. The Company was required to make interest-only payments through July 2023 and principal and interest payments commencing in August 2023. The final payment of principal and interest was due in July 2028. However, under the terms of the DECD Loan Agreement, the DECD granted a partial principal loan forgiveness of up to $12.3 million in the aggregate. Such forgiveness was contingent upon the Company achieving certain job creation and retention milestones and $4.5 million had been forgiven at December 31, 2022. This commitment was collateralized by a security interest in certain machinery and equipment the Company acquired from ISMMS, as defined in a separate security agreement.</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2023, the Company amended the DECD Loan Agreement, which resulted in the Company agreeing to pay $2.0 million in principal, obtaining $2.8 million in debt forgiveness for achieving its Phase 2 job milestone, and agreeing to two new forgiveness milestone targets for its Phase 3 job milestone (eligible for $2.0 million in forgiveness) and a final phase job milestone (eligible for $1.0 million in forgiveness) (the “2022 Amended DECD Loan Agreement”). Upon execution of this amendment, the Company paid the $2.0 million in principal and received $2.8 million in debt forgiveness, both of which were classified as current liabilities at December 31, 2022 and the Company recognized the debt forgiveness as other (expense) income, net in the consolidated statements of operations and comprehensive loss for the year ended December 31, 2023. The terms of the 2022 Amended DECD Loan Agreement require the Company to make interest-only payments through July 2024 and principal and interest payments commencing in August 2024 through July 2029 at the same fixed annual interest rate of 2.0%. The other terms of the 2022 Amended DECD Loan Agreement remained the same.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loan balance from the 2022 Amended DECD Loan Agreement was $6.3 million at December 31,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financial information associated with the Company’s leases as of, and for the year ended, December 31, 2023 and 2022:</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69"/>
        </w:trPr>
        <w:tc>
          <w:tcPr>
            <w:tcW w:w="2280" w:type="dxa"/>
            <w:vAlign w:val="bottom"/>
            <w:gridSpan w:val="4"/>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55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Operating lease assets</w:t>
            </w:r>
          </w:p>
        </w:tc>
        <w:tc>
          <w:tcPr>
            <w:tcW w:w="5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26,900</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32,758</w:t>
            </w:r>
          </w:p>
        </w:tc>
      </w:tr>
      <w:tr>
        <w:trPr>
          <w:trHeight w:val="230"/>
        </w:trPr>
        <w:tc>
          <w:tcPr>
            <w:tcW w:w="20" w:type="dxa"/>
            <w:vAlign w:val="bottom"/>
            <w:shd w:val="clear" w:color="auto" w:fill="CCEEFF"/>
          </w:tcPr>
          <w:p>
            <w:pPr>
              <w:spacing w:after="0"/>
              <w:rPr>
                <w:sz w:val="19"/>
                <w:szCs w:val="19"/>
                <w:color w:val="auto"/>
              </w:rPr>
            </w:pPr>
          </w:p>
        </w:tc>
        <w:tc>
          <w:tcPr>
            <w:tcW w:w="2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lease assets</w:t>
            </w:r>
          </w:p>
        </w:tc>
        <w:tc>
          <w:tcPr>
            <w:tcW w:w="55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w:t>
            </w:r>
          </w:p>
        </w:tc>
      </w:tr>
      <w:tr>
        <w:trPr>
          <w:trHeight w:val="223"/>
        </w:trPr>
        <w:tc>
          <w:tcPr>
            <w:tcW w:w="22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55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41,362</w:t>
            </w:r>
          </w:p>
        </w:tc>
      </w:tr>
      <w:tr>
        <w:trPr>
          <w:trHeight w:val="237"/>
        </w:trPr>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55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189"/>
        </w:trPr>
        <w:tc>
          <w:tcPr>
            <w:tcW w:w="228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5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0"/>
        </w:trPr>
        <w:tc>
          <w:tcPr>
            <w:tcW w:w="2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5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Operating</w:t>
            </w:r>
          </w:p>
        </w:tc>
        <w:tc>
          <w:tcPr>
            <w:tcW w:w="5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r>
      <w:tr>
        <w:trPr>
          <w:trHeight w:val="229"/>
        </w:trPr>
        <w:tc>
          <w:tcPr>
            <w:tcW w:w="20" w:type="dxa"/>
            <w:vAlign w:val="bottom"/>
            <w:shd w:val="clear" w:color="auto" w:fill="CCEEFF"/>
          </w:tcPr>
          <w:p>
            <w:pPr>
              <w:spacing w:after="0"/>
              <w:rPr>
                <w:sz w:val="19"/>
                <w:szCs w:val="19"/>
                <w:color w:val="auto"/>
              </w:rPr>
            </w:pPr>
          </w:p>
        </w:tc>
        <w:tc>
          <w:tcPr>
            <w:tcW w:w="2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w:t>
            </w:r>
          </w:p>
        </w:tc>
        <w:tc>
          <w:tcPr>
            <w:tcW w:w="55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w:t>
            </w:r>
          </w:p>
        </w:tc>
      </w:tr>
      <w:tr>
        <w:trPr>
          <w:trHeight w:val="257"/>
        </w:trPr>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5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Operating</w:t>
            </w:r>
          </w:p>
        </w:tc>
        <w:tc>
          <w:tcPr>
            <w:tcW w:w="5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44,428</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44,468</w:t>
            </w:r>
          </w:p>
        </w:tc>
      </w:tr>
      <w:tr>
        <w:trPr>
          <w:trHeight w:val="229"/>
        </w:trPr>
        <w:tc>
          <w:tcPr>
            <w:tcW w:w="20" w:type="dxa"/>
            <w:vAlign w:val="bottom"/>
            <w:shd w:val="clear" w:color="auto" w:fill="CCEEFF"/>
          </w:tcPr>
          <w:p>
            <w:pPr>
              <w:spacing w:after="0"/>
              <w:rPr>
                <w:sz w:val="19"/>
                <w:szCs w:val="19"/>
                <w:color w:val="auto"/>
              </w:rPr>
            </w:pPr>
          </w:p>
        </w:tc>
        <w:tc>
          <w:tcPr>
            <w:tcW w:w="2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w:t>
            </w:r>
          </w:p>
        </w:tc>
        <w:tc>
          <w:tcPr>
            <w:tcW w:w="55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15,545</w:t>
            </w:r>
          </w:p>
        </w:tc>
      </w:tr>
      <w:tr>
        <w:trPr>
          <w:trHeight w:val="223"/>
        </w:trPr>
        <w:tc>
          <w:tcPr>
            <w:tcW w:w="2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55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66,585</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66,134</w:t>
            </w: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2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4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lease cost</w:t>
            </w: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Variable lease cost</w:t>
            </w:r>
          </w:p>
        </w:tc>
        <w:tc>
          <w:tcPr>
            <w:tcW w:w="14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lease cost</w:t>
            </w: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 cost</w:t>
            </w: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of leased assets</w:t>
            </w:r>
          </w:p>
        </w:tc>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4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finance lease cost</w:t>
            </w:r>
          </w:p>
        </w:tc>
        <w:tc>
          <w:tcPr>
            <w:tcW w:w="14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4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7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December 31, 2023 are as follows:</w:t>
            </w: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780" w:type="dxa"/>
            <w:vAlign w:val="bottom"/>
            <w:gridSpan w:val="6"/>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Maturity of lease liabilities</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360" w:type="dxa"/>
            <w:vAlign w:val="bottom"/>
          </w:tcPr>
          <w:p>
            <w:pPr>
              <w:spacing w:after="0"/>
              <w:rPr>
                <w:sz w:val="24"/>
                <w:szCs w:val="24"/>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4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leases as of and for the year ended December 31, 2023 and 2022 and are as follows: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7260" w:type="dxa"/>
            <w:vAlign w:val="bottom"/>
          </w:tcPr>
          <w:p>
            <w:pPr>
              <w:spacing w:after="0"/>
              <w:rPr>
                <w:sz w:val="19"/>
                <w:szCs w:val="19"/>
                <w:color w:val="auto"/>
              </w:rPr>
            </w:pPr>
          </w:p>
        </w:tc>
        <w:tc>
          <w:tcPr>
            <w:tcW w:w="130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4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09"/>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(years)</w:t>
            </w:r>
          </w:p>
        </w:tc>
        <w:tc>
          <w:tcPr>
            <w:tcW w:w="1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r>
      <w:tr>
        <w:trPr>
          <w:trHeight w:val="230"/>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3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10.0</w:t>
            </w:r>
          </w:p>
        </w:tc>
        <w:tc>
          <w:tcPr>
            <w:tcW w:w="264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rPr>
              <w:t>12.2</w:t>
            </w:r>
          </w:p>
        </w:tc>
      </w:tr>
      <w:tr>
        <w:trPr>
          <w:trHeight w:val="229"/>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30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11.8</w:t>
            </w:r>
          </w:p>
        </w:tc>
        <w:tc>
          <w:tcPr>
            <w:tcW w:w="2640" w:type="dxa"/>
            <w:vAlign w:val="bottom"/>
            <w:gridSpan w:val="3"/>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19.0</w:t>
            </w:r>
          </w:p>
        </w:tc>
      </w:tr>
      <w:tr>
        <w:trPr>
          <w:trHeight w:val="257"/>
        </w:trPr>
        <w:tc>
          <w:tcPr>
            <w:tcW w:w="7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30"/>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6.4%</w:t>
            </w:r>
          </w:p>
        </w:tc>
        <w:tc>
          <w:tcPr>
            <w:tcW w:w="264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w w:val="95"/>
              </w:rPr>
              <w:t>6.9%</w:t>
            </w:r>
          </w:p>
        </w:tc>
      </w:tr>
      <w:tr>
        <w:trPr>
          <w:trHeight w:val="229"/>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3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8.1%</w:t>
            </w:r>
          </w:p>
        </w:tc>
        <w:tc>
          <w:tcPr>
            <w:tcW w:w="2640" w:type="dxa"/>
            <w:vAlign w:val="bottom"/>
            <w:gridSpan w:val="3"/>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8"/>
              </w:rPr>
              <w:t>11.2%</w:t>
            </w:r>
          </w:p>
        </w:tc>
      </w:tr>
    </w:tbl>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7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5,482</w:t>
            </w:r>
          </w:p>
        </w:tc>
        <w:tc>
          <w:tcPr>
            <w:tcW w:w="8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w:t>
            </w:r>
          </w:p>
        </w:tc>
      </w:tr>
      <w:tr>
        <w:trPr>
          <w:trHeight w:val="229"/>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1,874</w:t>
            </w: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r>
      <w:tr>
        <w:trPr>
          <w:trHeight w:val="234"/>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finance lease</w:t>
            </w:r>
          </w:p>
        </w:tc>
        <w:tc>
          <w:tcPr>
            <w:tcW w:w="17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3,598</w:t>
            </w:r>
          </w:p>
        </w:tc>
        <w:tc>
          <w:tcPr>
            <w:tcW w:w="8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Purchase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purchase commitments as of December 31, 2023 with a remaining term of at least one year:</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470"/>
              <w:spacing w:after="0" w:line="189"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0" w:type="dxa"/>
            <w:vAlign w:val="bottom"/>
          </w:tcPr>
          <w:p>
            <w:pPr>
              <w:spacing w:after="0"/>
              <w:rPr>
                <w:sz w:val="1"/>
                <w:szCs w:val="1"/>
                <w:color w:val="auto"/>
              </w:rPr>
            </w:pPr>
          </w:p>
        </w:tc>
      </w:tr>
      <w:tr>
        <w:trPr>
          <w:trHeight w:val="92"/>
        </w:trPr>
        <w:tc>
          <w:tcPr>
            <w:tcW w:w="63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provider</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0" w:type="dxa"/>
            <w:vAlign w:val="bottom"/>
          </w:tcPr>
          <w:p>
            <w:pPr>
              <w:spacing w:after="0"/>
              <w:rPr>
                <w:sz w:val="1"/>
                <w:szCs w:val="1"/>
                <w:color w:val="auto"/>
              </w:rPr>
            </w:pPr>
          </w:p>
        </w:tc>
      </w:tr>
      <w:tr>
        <w:trPr>
          <w:trHeight w:val="230"/>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Equipment provider</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48"/>
        </w:trPr>
        <w:tc>
          <w:tcPr>
            <w:tcW w:w="63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enters into contracts with suppliers to purchase materials needed for diagnostic testing. These contracts generally do not require multi-year purchase commitments.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party to various actions and claims arising in the normal course of business. The Company does not believe that the outcome of these matters will have a material effect on the Company’s consolidated financial position, results of operations or cash flows. However, no assurance can be given that the final outcome of such proceedings will not materially impact the Company’s consolidated financial condition or results of operations.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described below, the Company was not a party to any material legal proceedings as of December 31, 2023, nor is it a party to any material legal proceedings as of the date of issuance of these consolidated financial statements.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7, 2022, a shareholder class action lawsuit was filed in the United States District Court for the District of Connecticut against the Company and certain of the Company’s current and former officers. The complaint purports to bring suit on behalf of stockholders who purchased the Company’s publicly traded securities between March 14, 2022 and August 15, 2022. Following the appointment of a lead plaintiff, an amended complaint was filed on January 30, 2023. As amended, the complaint purports to allege that defendants made false and misleading statements about the Company’s business, operations and prospects in violation of Sections 10(b) and 20(a) of the Securities Exchange Act of 1934, as amended (“Exchange Act”), and seeks unspecified compensatory damages, fees and costs. The Company believes the allegations and claims made in the complaint are without merit.</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7, 2023, a stockholder commenced a lawsuit in the Delaware Court of Chancery. The suit is brought as a class action on behalf of stockholders of CMLS who did not redeem their shares in connection with the Business Combination. The suit names as defendants all directors of CMLS at the time of the transaction, including directors who continue to serve on the Company’s Board of Directors, as well as CMLS Holdings LLC. The Company is not named as a defendant. The complaint alleges that the July 2, 2021 proxy statement mailed to CMLS stockholders in connection with the transaction contained false and misleading statements, and purports to assert a claim of breach of fiduciary duty against all individual defendants, and a</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similar claim against CMLS Holdings LLC and certain individuals for breach of fiduciary duty as control persons. The suit seeks to recover unspecified damages on behalf of the alleged class, among other relief. The Company believes the allegations and claims made in the complaint are without merit. The Company is subject to certain claims for advancement and indemnification by the individual defendants in this proceeding.</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28, 2023, a stockholder filed a derivative suit, allegedly on behalf of the Company, based largely on the same allegations in the securities class action referenced above. The suit was filed in federal court in the District of Delaware, styled Ghazaleh v. Schadt, et al, 23-cv-01357 (D. Del.), and purports to assert claims against certain of the Company’s former and current officers and directors under Section 10(b) of the Exchange Act, and for breach of fiduciary duty, aiding and abetting breach of fiduciary duty, unjust enrichment and corporate waste. The Company is named only as a nominal defendant. The complaint seeks damages on the Company’s behalf, and seeks corporate governance and other relief. The response to the complaint is not yet due.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employees in the U.S. are eligible to participate in the defined contribution plan the Company sponsors. The defined contribution plan allows employees to contribute a portion of their compensation in accordance with specified guidelines. The Company, at its discretion, makes matching contributions. The Company contributed $6.5 million and $9.8 million for the years ended December 31, 2023 and 2022,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22, 2021, in connection with the Business Combination, the Company’s 2021 Equity Incentive Plan (the “2021 Plan”) became effective and 991,970 authorized shares of Class A common stock were reserved for issuance thereunder. This Plan will be administered by the Compensation Committee of the Company’s Board of Directors, including determination of the vesting, exercisability and payment of the awards to be granted under this Plan. No awards granted under the 2021 Plan are exercisable after 10 years from the date of grant, and the awards granted under the 2021 Plan generally vest over a four-year period on a graded vesting basis.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13, 2023, the stockholders of the Company approved an amendment and restatement to the 2021 Plan to increase the aggregate number of shares of the Company’s Class A common stock authorized for issuance under the 2021 Plan by 787,879 shares and implement certain other clarifying changes. On each January 1 of each of 2022 through 2031, the aggregate number of shares of Class A common stock reserved for issuance under the 2021 Plan may be increased automatically by the number of shares equal to 5% of the total number of shares of all classes of common stock issued and outstanding immediately preceding December 31.</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21, 2023, the Company adopted the 2023 Equity Inducement Plan (the “Equity Inducement Plan”) and, subject to the adjustment provisions of the Equity Inducement Plan, reserved 500,000 shares of the Company’s Class A common stock for issuance pursuant to equity awards to be granted under the Equity Inducement Plan. In accordance with Rule 5635(c)(4) of the Nasdaq Listing Rules, the only persons eligible to receive grants of equity awards under the Equity Inducement Plan are individuals who were not previously an employee or director of the Company, or following a bona fide period of non-employment, as an inducement material to such persons entering into employment with the Company.</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an aggregate of 1,310,423 shares available for grants of stock options or other awards under the 2021 Plan and Equity Inducement Plan. In January 2024, the number of Class A common stock reserved for future issuance under the 2021 Plan automatically increased by 1,298,943 shares.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2021 Employee Stock Purchase Plan (the “2021 ESPP”) became effective in connection with the Business Combination. The 2021 ESPP authorizes the issuance of shares of Class A common stock pursuant to purchase rights granted to employees. On each January 1 of each of 2022 through 2031, the aggregate number of shares of Class A common stock reserved for issuance under the ESPP 2021 may be increased automatically by the number of shares equal to one percent (1%) of the total number of shares of all classes of common stock issued and outstanding immediately preceding December 31. The Company did not make any grants of purchase rights under the 2021 ESPP during the years ended December 31, 2023 and December 31, 2022. A total of 336,816 shares of Class A common stock have been reserved for future issuance under the 2021 ESPP. In January 2024, the number of Class A common stock reserved for future issuance under the 2021 ESPP automatically increased by 259,788 shares.</w:t>
      </w: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stock options granted under the 2021 Plan are accounted for as time-based equity awards. The following summarizes the stock option activity:</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60" w:type="dxa"/>
            <w:vAlign w:val="bottom"/>
          </w:tcPr>
          <w:p>
            <w:pPr>
              <w:spacing w:after="0"/>
              <w:rPr>
                <w:sz w:val="13"/>
                <w:szCs w:val="13"/>
                <w:color w:val="auto"/>
              </w:rPr>
            </w:pPr>
          </w:p>
        </w:tc>
        <w:tc>
          <w:tcPr>
            <w:tcW w:w="14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3"/>
                <w:szCs w:val="13"/>
                <w:color w:val="auto"/>
              </w:rPr>
            </w:pPr>
          </w:p>
        </w:tc>
        <w:tc>
          <w:tcPr>
            <w:tcW w:w="138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8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800" w:type="dxa"/>
            <w:vAlign w:val="bottom"/>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7"/>
                <w:szCs w:val="17"/>
                <w:color w:val="auto"/>
              </w:rPr>
            </w:pPr>
          </w:p>
        </w:tc>
        <w:tc>
          <w:tcPr>
            <w:tcW w:w="13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798,873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775,842</w:t>
            </w:r>
          </w:p>
        </w:tc>
        <w:tc>
          <w:tcPr>
            <w:tcW w:w="0" w:type="dxa"/>
            <w:vAlign w:val="bottom"/>
          </w:tcPr>
          <w:p>
            <w:pPr>
              <w:spacing w:after="0"/>
              <w:rPr>
                <w:sz w:val="1"/>
                <w:szCs w:val="1"/>
                <w:color w:val="auto"/>
              </w:rPr>
            </w:pPr>
          </w:p>
        </w:tc>
      </w:tr>
      <w:tr>
        <w:trPr>
          <w:trHeight w:val="230"/>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Options forfeited and canceled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(294,533)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exercisable at December 31, 2023</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303,433</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options outstanding at the end of the year were 194,543 with weighted average grant-date fair value of $28.24.</w:t>
      </w:r>
    </w:p>
    <w:p>
      <w:pPr>
        <w:spacing w:after="0" w:line="17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weighted-average grant-date fair value of options granted and total fair value of the options with tranches vested was $25.07 and $1.5 million for the year ended December 31, 2023, respectively. The weighted-average grant-date fair value of options forfeited and canceled was $22.71 for the year ended December 31, 2023. The aggregate intrinsic value of exercised options was $0.3 million and $18.1 million in the years ended December 31, 2023 and 2022, respectively, and is calculated based on the difference between the exercise price and the fair value of the Company’s common stock as of the exercise date.</w:t>
      </w:r>
    </w:p>
    <w:p>
      <w:pPr>
        <w:spacing w:after="0" w:line="1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stock option awards for the periods ended December 31, 2023 and 2022 were estimated using the Black-Scholes option pricing model with the following assumptions: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105.00%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- 90.00%</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expected volatility</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9"/>
                <w:szCs w:val="19"/>
                <w:color w:val="auto"/>
              </w:rPr>
            </w:pPr>
          </w:p>
        </w:tc>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75.0%</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- 6.18</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- 3.38%</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Class A common stock</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$6.35</w:t>
            </w:r>
          </w:p>
        </w:tc>
        <w:tc>
          <w:tcPr>
            <w:tcW w:w="100" w:type="dxa"/>
            <w:vAlign w:val="bottom"/>
          </w:tcPr>
          <w:p>
            <w:pPr>
              <w:spacing w:after="0"/>
              <w:rPr>
                <w:sz w:val="20"/>
                <w:szCs w:val="20"/>
                <w:color w:val="auto"/>
              </w:rPr>
            </w:pPr>
          </w:p>
        </w:tc>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$32.67 - $113.85</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issued time-based RSUs to employees under the 2021 Plan. The RSUs automatically convert to common stock on a one-for-one basis as the awards vest. The Company measures the value of RSUs at fair value based on the closing price of the underlying common stock on the grant date. The RSUs granted generally vest over a four year vesting period from the grant date, however, the Company also granted certain RSUs with vesting term beginning 12 months from the grant date and vesting immediately on the grant date. The following table summarizes the activity related to the Company’s time-based RSUs: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20" w:type="dxa"/>
            <w:vAlign w:val="bottom"/>
          </w:tcPr>
          <w:p>
            <w:pPr>
              <w:spacing w:after="0"/>
              <w:rPr>
                <w:sz w:val="13"/>
                <w:szCs w:val="13"/>
                <w:color w:val="auto"/>
              </w:rPr>
            </w:pPr>
          </w:p>
        </w:tc>
        <w:tc>
          <w:tcPr>
            <w:tcW w:w="19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r>
      <w:tr>
        <w:trPr>
          <w:trHeight w:val="195"/>
        </w:trPr>
        <w:tc>
          <w:tcPr>
            <w:tcW w:w="6900" w:type="dxa"/>
            <w:vAlign w:val="bottom"/>
          </w:tcPr>
          <w:p>
            <w:pPr>
              <w:spacing w:after="0"/>
              <w:rPr>
                <w:sz w:val="16"/>
                <w:szCs w:val="16"/>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6"/>
                <w:szCs w:val="16"/>
                <w:color w:val="auto"/>
              </w:rPr>
            </w:pPr>
          </w:p>
        </w:tc>
        <w:tc>
          <w:tcPr>
            <w:tcW w:w="19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Fair Value Per Unit</w:t>
            </w:r>
          </w:p>
        </w:tc>
      </w:tr>
      <w:tr>
        <w:trPr>
          <w:trHeight w:val="228"/>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855,061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w:t>
            </w:r>
          </w:p>
        </w:tc>
      </w:tr>
      <w:tr>
        <w:trPr>
          <w:trHeight w:val="230"/>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1,836,177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r>
      <w:tr>
        <w:trPr>
          <w:trHeight w:val="23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w:t>
            </w:r>
          </w:p>
        </w:tc>
      </w:tr>
      <w:tr>
        <w:trPr>
          <w:trHeight w:val="230"/>
        </w:trPr>
        <w:tc>
          <w:tcPr>
            <w:tcW w:w="6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(751,690)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1,507,877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RSUs vested for the year ended December 31, 2023 was $6.6 million.</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2022 the Company issued 18,794 RSUs subject to both service and performance based vesting conditions to the Executive Chairman of the Company, and in 2023 the Company issued an additional 20,666 RSUs. Vesting of the RSUs was based on the achievement of performance goals established for calendar year 2023. As of December 31, 2023, the established performance measures were not achieved for these RSUs and no expense was recorded for the year.</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is included within the consolidated statements of operations and comprehensive loss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29,750</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recorded a reversal of stock-based compensation of $24.7 million and $38.2 million during the years ended December 31, 2023 and 2022, respectively, due to forfeiture activities upon employee terminations. As of December 31, 2023, unrecognized stock-based compensation cost related to the unvested portion of the Company’s stock options was $2.7 million, which is expected to be recognized on a graded-vesting basis over a weighted-average period of 1.4 years. As of December 31, 2023, unrecognized stock-based compensation cost related to the Company’s RSUs was $10.6 million, which is expected to be recognized on a graded-vesting basis over a weighted-average period of 1.7 years.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Income Taxes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income before incomes taxes consisted of the following:</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8"/>
        </w:trPr>
        <w:tc>
          <w:tcPr>
            <w:tcW w:w="8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(598,136)</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 provision (benefit)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(598,032)</w:t>
            </w:r>
          </w:p>
        </w:tc>
      </w:tr>
      <w:tr>
        <w:trPr>
          <w:trHeight w:val="499"/>
        </w:trPr>
        <w:tc>
          <w:tcPr>
            <w:tcW w:w="8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6"/>
        </w:trPr>
        <w:tc>
          <w:tcPr>
            <w:tcW w:w="8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(40,828)</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(49,124)</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provision (benefit)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(49,052)</w:t>
            </w:r>
          </w:p>
        </w:tc>
      </w:tr>
      <w:tr>
        <w:trPr>
          <w:trHeight w:val="21"/>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and 2022, the Company recorded a total income tax benefit of $0.9 million and $49.1 million, respectively. Accordingly, the effective tax rate for the Company for the years ended December 31, 2023 and 2022 was 0.5% and 8.2%, respectively. A reconciliation of the anticipated income tax expense/(benefit) computed by applying the</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statutory federal income tax rate of 21% to loss before income taxes to the amount reported in the statement of operations and comprehensive loss is as follows: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p>
        </w:tc>
        <w:tc>
          <w:tcPr>
            <w:tcW w:w="30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2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21.0%</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stock-based compensation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162(m) Limitation</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Items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fair market value gain on warrants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and carryforwards that give rise to significant portions of the net deferred tax assets and liabilities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spacing w:after="0"/>
              <w:rPr>
                <w:sz w:val="19"/>
                <w:szCs w:val="19"/>
                <w:color w:val="auto"/>
              </w:rPr>
            </w:pPr>
          </w:p>
        </w:tc>
        <w:tc>
          <w:tcPr>
            <w:tcW w:w="35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257,960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199,426</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13,379</w:t>
            </w:r>
          </w:p>
        </w:tc>
        <w:tc>
          <w:tcPr>
            <w:tcW w:w="0" w:type="dxa"/>
            <w:vAlign w:val="bottom"/>
          </w:tcPr>
          <w:p>
            <w:pPr>
              <w:spacing w:after="0"/>
              <w:rPr>
                <w:sz w:val="1"/>
                <w:szCs w:val="1"/>
                <w:color w:val="auto"/>
              </w:rPr>
            </w:pPr>
          </w:p>
        </w:tc>
      </w:tr>
      <w:tr>
        <w:trPr>
          <w:trHeight w:val="230"/>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compensation</w:t>
            </w:r>
          </w:p>
        </w:tc>
        <w:tc>
          <w:tcPr>
            <w:tcW w:w="3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Leases</w:t>
            </w:r>
          </w:p>
        </w:tc>
        <w:tc>
          <w:tcPr>
            <w:tcW w:w="3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0" w:type="dxa"/>
            <w:vAlign w:val="bottom"/>
          </w:tcPr>
          <w:p>
            <w:pPr>
              <w:spacing w:after="0"/>
              <w:rPr>
                <w:sz w:val="1"/>
                <w:szCs w:val="1"/>
                <w:color w:val="auto"/>
              </w:rPr>
            </w:pPr>
          </w:p>
        </w:tc>
      </w:tr>
      <w:tr>
        <w:trPr>
          <w:trHeight w:val="230"/>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w:t>
            </w:r>
          </w:p>
        </w:tc>
        <w:tc>
          <w:tcPr>
            <w:tcW w:w="3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Obsolete inventory reserve</w:t>
            </w:r>
          </w:p>
        </w:tc>
        <w:tc>
          <w:tcPr>
            <w:tcW w:w="3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0" w:type="dxa"/>
            <w:vAlign w:val="bottom"/>
          </w:tcPr>
          <w:p>
            <w:pPr>
              <w:spacing w:after="0"/>
              <w:rPr>
                <w:sz w:val="1"/>
                <w:szCs w:val="1"/>
                <w:color w:val="auto"/>
              </w:rPr>
            </w:pPr>
          </w:p>
        </w:tc>
      </w:tr>
      <w:tr>
        <w:trPr>
          <w:trHeight w:val="230"/>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Third party liability</w:t>
            </w:r>
          </w:p>
        </w:tc>
        <w:tc>
          <w:tcPr>
            <w:tcW w:w="3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10,142</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174 amortization</w:t>
            </w:r>
          </w:p>
        </w:tc>
        <w:tc>
          <w:tcPr>
            <w:tcW w:w="3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23,193</w:t>
            </w:r>
          </w:p>
        </w:tc>
        <w:tc>
          <w:tcPr>
            <w:tcW w:w="0" w:type="dxa"/>
            <w:vAlign w:val="bottom"/>
          </w:tcPr>
          <w:p>
            <w:pPr>
              <w:spacing w:after="0"/>
              <w:rPr>
                <w:sz w:val="1"/>
                <w:szCs w:val="1"/>
                <w:color w:val="auto"/>
              </w:rPr>
            </w:pPr>
          </w:p>
        </w:tc>
      </w:tr>
      <w:tr>
        <w:trPr>
          <w:trHeight w:val="230"/>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Capitalized software</w:t>
            </w:r>
          </w:p>
        </w:tc>
        <w:tc>
          <w:tcPr>
            <w:tcW w:w="3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5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23"/>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280,963</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35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(226,644)</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5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54,319</w:t>
            </w:r>
          </w:p>
        </w:tc>
        <w:tc>
          <w:tcPr>
            <w:tcW w:w="0" w:type="dxa"/>
            <w:vAlign w:val="bottom"/>
          </w:tcPr>
          <w:p>
            <w:pPr>
              <w:spacing w:after="0"/>
              <w:rPr>
                <w:sz w:val="1"/>
                <w:szCs w:val="1"/>
                <w:color w:val="auto"/>
              </w:rPr>
            </w:pPr>
          </w:p>
        </w:tc>
      </w:tr>
      <w:tr>
        <w:trPr>
          <w:trHeight w:val="236"/>
        </w:trPr>
        <w:tc>
          <w:tcPr>
            <w:tcW w:w="4640" w:type="dxa"/>
            <w:vAlign w:val="bottom"/>
            <w:shd w:val="clear" w:color="auto" w:fill="CCEEFF"/>
          </w:tcPr>
          <w:p>
            <w:pPr>
              <w:spacing w:after="0"/>
              <w:rPr>
                <w:sz w:val="20"/>
                <w:szCs w:val="20"/>
                <w:color w:val="auto"/>
              </w:rPr>
            </w:pPr>
          </w:p>
        </w:tc>
        <w:tc>
          <w:tcPr>
            <w:tcW w:w="3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Property and equipment</w:t>
            </w:r>
          </w:p>
        </w:tc>
        <w:tc>
          <w:tcPr>
            <w:tcW w:w="3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ROU asset</w:t>
            </w:r>
          </w:p>
        </w:tc>
        <w:tc>
          <w:tcPr>
            <w:tcW w:w="3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(8,589)</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Capitalized software</w:t>
            </w:r>
          </w:p>
        </w:tc>
        <w:tc>
          <w:tcPr>
            <w:tcW w:w="3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Intangible amortization</w:t>
            </w:r>
          </w:p>
        </w:tc>
        <w:tc>
          <w:tcPr>
            <w:tcW w:w="35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(48,248)</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5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(56,978)</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liability after valuation allowance</w:t>
            </w:r>
          </w:p>
        </w:tc>
        <w:tc>
          <w:tcPr>
            <w:tcW w:w="35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580" w:type="dxa"/>
            <w:vAlign w:val="bottom"/>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64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6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the following tax net operating loss carryforwards available to reduce future federal and state taxable income, and tax credit carryforwards available to offset future federal and Connecticut income taxes: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period</w:t>
            </w:r>
          </w:p>
        </w:tc>
        <w:tc>
          <w:tcPr>
            <w:tcW w:w="0" w:type="dxa"/>
            <w:vAlign w:val="bottom"/>
          </w:tcPr>
          <w:p>
            <w:pPr>
              <w:spacing w:after="0"/>
              <w:rPr>
                <w:sz w:val="1"/>
                <w:szCs w:val="1"/>
                <w:color w:val="auto"/>
              </w:rPr>
            </w:pPr>
          </w:p>
        </w:tc>
      </w:tr>
      <w:tr>
        <w:trPr>
          <w:trHeight w:val="209"/>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net operating loss carryforwards:</w:t>
            </w:r>
          </w:p>
        </w:tc>
        <w:tc>
          <w:tcPr>
            <w:tcW w:w="2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 (pre-2018 net operating losses)</w:t>
            </w: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33,056</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2036-2037</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 (post-2017 net operating losses)</w:t>
            </w:r>
          </w:p>
        </w:tc>
        <w:tc>
          <w:tcPr>
            <w:tcW w:w="2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853,531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 expiration</w:t>
            </w:r>
          </w:p>
        </w:tc>
        <w:tc>
          <w:tcPr>
            <w:tcW w:w="0" w:type="dxa"/>
            <w:vAlign w:val="bottom"/>
          </w:tcPr>
          <w:p>
            <w:pPr>
              <w:spacing w:after="0"/>
              <w:rPr>
                <w:sz w:val="1"/>
                <w:szCs w:val="1"/>
                <w:color w:val="auto"/>
              </w:rPr>
            </w:pPr>
          </w:p>
        </w:tc>
      </w:tr>
      <w:tr>
        <w:trPr>
          <w:trHeight w:val="229"/>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1,278,549</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2028-2042</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2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97,727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 expiration</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 research and development</w:t>
            </w:r>
          </w:p>
        </w:tc>
        <w:tc>
          <w:tcPr>
            <w:tcW w:w="2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2038-2040</w:t>
            </w:r>
          </w:p>
        </w:tc>
        <w:tc>
          <w:tcPr>
            <w:tcW w:w="0" w:type="dxa"/>
            <w:vAlign w:val="bottom"/>
          </w:tcPr>
          <w:p>
            <w:pPr>
              <w:spacing w:after="0"/>
              <w:rPr>
                <w:sz w:val="1"/>
                <w:szCs w:val="1"/>
                <w:color w:val="auto"/>
              </w:rPr>
            </w:pPr>
          </w:p>
        </w:tc>
      </w:tr>
      <w:tr>
        <w:trPr>
          <w:trHeight w:val="230"/>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Connecticut research and experimental</w:t>
            </w: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2035-2036</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Connecticut research and development</w:t>
            </w:r>
          </w:p>
        </w:tc>
        <w:tc>
          <w:tcPr>
            <w:tcW w:w="2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 expiration</w:t>
            </w:r>
          </w:p>
        </w:tc>
        <w:tc>
          <w:tcPr>
            <w:tcW w:w="0" w:type="dxa"/>
            <w:vAlign w:val="bottom"/>
          </w:tcPr>
          <w:p>
            <w:pPr>
              <w:spacing w:after="0"/>
              <w:rPr>
                <w:sz w:val="1"/>
                <w:szCs w:val="1"/>
                <w:color w:val="auto"/>
              </w:rPr>
            </w:pPr>
          </w:p>
        </w:tc>
      </w:tr>
      <w:tr>
        <w:trPr>
          <w:trHeight w:val="473"/>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had the following deferred tax valuation allowance balances:</w:t>
            </w: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2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Balance at the Beginning</w:t>
            </w:r>
          </w:p>
        </w:tc>
        <w:tc>
          <w:tcPr>
            <w:tcW w:w="1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620" w:type="dxa"/>
            <w:vAlign w:val="bottom"/>
          </w:tcPr>
          <w:p>
            <w:pPr>
              <w:spacing w:after="0"/>
              <w:rPr>
                <w:sz w:val="24"/>
                <w:szCs w:val="24"/>
                <w:color w:val="auto"/>
              </w:rPr>
            </w:pPr>
          </w:p>
        </w:tc>
        <w:tc>
          <w:tcPr>
            <w:tcW w:w="22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Balance at the End of</w:t>
            </w:r>
          </w:p>
        </w:tc>
        <w:tc>
          <w:tcPr>
            <w:tcW w:w="0" w:type="dxa"/>
            <w:vAlign w:val="bottom"/>
          </w:tcPr>
          <w:p>
            <w:pPr>
              <w:spacing w:after="0"/>
              <w:rPr>
                <w:sz w:val="1"/>
                <w:szCs w:val="1"/>
                <w:color w:val="auto"/>
              </w:rPr>
            </w:pPr>
          </w:p>
        </w:tc>
      </w:tr>
      <w:tr>
        <w:trPr>
          <w:trHeight w:val="243"/>
        </w:trPr>
        <w:tc>
          <w:tcPr>
            <w:tcW w:w="3920" w:type="dxa"/>
            <w:vAlign w:val="bottom"/>
            <w:tcBorders>
              <w:bottom w:val="single" w:sz="8" w:color="auto"/>
            </w:tcBorders>
            <w:vMerge w:val="continue"/>
          </w:tcPr>
          <w:p>
            <w:pPr>
              <w:spacing w:after="0"/>
              <w:rPr>
                <w:sz w:val="21"/>
                <w:szCs w:val="21"/>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Period</w:t>
            </w:r>
          </w:p>
        </w:tc>
        <w:tc>
          <w:tcPr>
            <w:tcW w:w="10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vMerge w:val="continue"/>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226,644</w:t>
            </w: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44,923</w:t>
            </w:r>
          </w:p>
        </w:tc>
        <w:tc>
          <w:tcPr>
            <w:tcW w:w="6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271,567</w:t>
            </w:r>
          </w:p>
        </w:tc>
        <w:tc>
          <w:tcPr>
            <w:tcW w:w="0" w:type="dxa"/>
            <w:vAlign w:val="bottom"/>
          </w:tcPr>
          <w:p>
            <w:pPr>
              <w:spacing w:after="0"/>
              <w:rPr>
                <w:sz w:val="1"/>
                <w:szCs w:val="1"/>
                <w:color w:val="auto"/>
              </w:rPr>
            </w:pP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20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155,668</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70,976</w:t>
            </w:r>
          </w:p>
        </w:tc>
        <w:tc>
          <w:tcPr>
            <w:tcW w:w="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226,644</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Future realization of the tax benefits of existing temporary differences and carryforwards ultimately depends on the existence of sufficient taxable income within the carryforward period. As of December 31, 2023 and 2022 the Company performed an evaluation to determine whether a valuation allowance was needed. Based on the Company’s analysis, which considered all available evidence, both positive and negative, the Company determined that it is more likely than not that a significant portion of its deferred tax assets will not be realized. Accordingly, the Company maintained a full valuation allowance as of December 31, 2023 and 2022. The valuation allowance increased by $44.9 million in 2023 and $71.0 million in 2022, primarily due to the increase in net operating loss carryforwards.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Internal Revenue Code Section 382, if a corporation undergoes an “ownership change,” the corporation’s ability to use its pre-change NOL carryforwards and other pre-change tax attributes to offset its post-change income may be limited. Generally, an ownership change occurs when certain shareholders increase their aggregated ownership by more than 50 percentage points over their lowest ownership percentage in a testing period (typically three years). Future changes in stock ownership, which may be outside of the Company’s control, may trigger an ownership change. In addition, future equity offerings or acquisitions that have an equity component of the purchase price could result in an ownership change. If an ownership change has occurred or does occur in the future, utilization of the NOL carryforwards or other tax attributes may be limited.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unrecognized tax benefits for the years ended December 31, 2023 and 2022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25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40" w:type="dxa"/>
            <w:vAlign w:val="bottom"/>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 January 1</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7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 tax positions in current period</w:t>
            </w:r>
          </w:p>
        </w:tc>
        <w:tc>
          <w:tcPr>
            <w:tcW w:w="1020" w:type="dxa"/>
            <w:vAlign w:val="bottom"/>
          </w:tcPr>
          <w:p>
            <w:pPr>
              <w:spacing w:after="0"/>
              <w:rPr>
                <w:sz w:val="23"/>
                <w:szCs w:val="23"/>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7"/>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 December 31</w:t>
            </w:r>
          </w:p>
        </w:tc>
        <w:tc>
          <w:tcPr>
            <w:tcW w:w="102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7"/>
        </w:trPr>
        <w:tc>
          <w:tcPr>
            <w:tcW w:w="8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penalties and interest would be assessed on any underpayment of income tax, the Company’s policy is that such amounts would be accrued and classified as a component of income tax expense in the financial statements. The Company had a nominal amount of accrued interest or penalties related to uncertain tax positions as of December 31, 2023 and 2022.</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for U.S federal jurisdiction, various state jurisdictions, and various foreign countries. In the normal course of business, the Company is subject to examination by federal, state and foreign jurisdictions, where applicable. There are currently no pending federal, state or foreign income tax examinations. As a result of the Company’s</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operating loss carryforwards, the Company’s federal and state statutes of limitations remain open from 2016 and forward until the net operating loss carryforwards are utilized or expire prior to utilization.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weighted-average number of shares of common stock outstanding for the period. The following table sets forth the computation of basic and diluted net loss per share attributable to common stockholders: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(175,767)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(548,980)</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 and diluted weighted-average common shares outstanding</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24,311,989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10,236,960</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w:t>
            </w:r>
          </w:p>
        </w:tc>
      </w:tr>
    </w:tbl>
    <w:p>
      <w:pPr>
        <w:spacing w:after="0" w:line="2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May 4, 2023, the Company effected a reverse stock split of its Class A common stock at a ratio of 1-for-33. As a result of the Reverse Stock Split, the Company has retroactively adjusted the weighted-average number of shares of common stock outstanding prior to the Reverse Stock Split by a ratio of 1-for-33 to determine the number of shares of common stock into which they converted.</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302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2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and RSUs to purchase Class A common stock</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2,005,853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1,653,934</w:t>
            </w:r>
          </w:p>
        </w:tc>
      </w:tr>
      <w:tr>
        <w:trPr>
          <w:trHeight w:val="257"/>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warrants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1,466,515</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666,515</w:t>
            </w:r>
          </w:p>
        </w:tc>
      </w:tr>
      <w:tr>
        <w:trPr>
          <w:trHeight w:val="25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earn-out shares</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552,392</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earn-out RSUs</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24,019</w:t>
            </w:r>
          </w:p>
        </w:tc>
      </w:tr>
      <w:tr>
        <w:trPr>
          <w:trHeight w:val="248"/>
        </w:trPr>
        <w:tc>
          <w:tcPr>
            <w:tcW w:w="8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3,472,368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2,896,860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Restructuring Costs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certain information concerning restructuring activity during the year ended December 31, 2023 and December 31, 2022:</w:t>
      </w:r>
    </w:p>
    <w:p>
      <w:pPr>
        <w:spacing w:after="0" w:line="193"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22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Reserve Balance at December 31,</w:t>
            </w:r>
          </w:p>
        </w:tc>
        <w:tc>
          <w:tcPr>
            <w:tcW w:w="24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Charged to Costs and Expenses</w:t>
            </w:r>
          </w:p>
        </w:tc>
        <w:tc>
          <w:tcPr>
            <w:tcW w:w="19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Payments and Other</w:t>
            </w:r>
          </w:p>
        </w:tc>
        <w:tc>
          <w:tcPr>
            <w:tcW w:w="23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Reserve Balance at December 31,</w:t>
            </w:r>
          </w:p>
        </w:tc>
        <w:tc>
          <w:tcPr>
            <w:tcW w:w="0" w:type="dxa"/>
            <w:vAlign w:val="bottom"/>
          </w:tcPr>
          <w:p>
            <w:pPr>
              <w:spacing w:after="0"/>
              <w:rPr>
                <w:sz w:val="1"/>
                <w:szCs w:val="1"/>
                <w:color w:val="auto"/>
              </w:rPr>
            </w:pPr>
          </w:p>
        </w:tc>
      </w:tr>
      <w:tr>
        <w:trPr>
          <w:trHeight w:val="109"/>
        </w:trPr>
        <w:tc>
          <w:tcPr>
            <w:tcW w:w="2200" w:type="dxa"/>
            <w:vAlign w:val="bottom"/>
            <w:vMerge w:val="restart"/>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20" w:type="dxa"/>
            <w:vAlign w:val="bottom"/>
            <w:vMerge w:val="continue"/>
          </w:tcPr>
          <w:p>
            <w:pPr>
              <w:spacing w:after="0"/>
              <w:rPr>
                <w:sz w:val="9"/>
                <w:szCs w:val="9"/>
                <w:color w:val="auto"/>
              </w:rPr>
            </w:pPr>
          </w:p>
        </w:tc>
        <w:tc>
          <w:tcPr>
            <w:tcW w:w="1920" w:type="dxa"/>
            <w:vAlign w:val="bottom"/>
            <w:vMerge w:val="continue"/>
          </w:tcPr>
          <w:p>
            <w:pPr>
              <w:spacing w:after="0"/>
              <w:rPr>
                <w:sz w:val="9"/>
                <w:szCs w:val="9"/>
                <w:color w:val="auto"/>
              </w:rPr>
            </w:pPr>
          </w:p>
        </w:tc>
        <w:tc>
          <w:tcPr>
            <w:tcW w:w="2360" w:type="dxa"/>
            <w:vAlign w:val="bottom"/>
            <w:vMerge w:val="restart"/>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81"/>
        </w:trPr>
        <w:tc>
          <w:tcPr>
            <w:tcW w:w="2200" w:type="dxa"/>
            <w:vAlign w:val="bottom"/>
            <w:vMerge w:val="continue"/>
          </w:tcPr>
          <w:p>
            <w:pPr>
              <w:spacing w:after="0"/>
              <w:rPr>
                <w:sz w:val="7"/>
                <w:szCs w:val="7"/>
                <w:color w:val="auto"/>
              </w:rPr>
            </w:pPr>
          </w:p>
        </w:tc>
        <w:tc>
          <w:tcPr>
            <w:tcW w:w="24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2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540" w:type="dxa"/>
            <w:vAlign w:val="bottom"/>
            <w:tcBorders>
              <w:top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30"/>
        </w:trPr>
        <w:tc>
          <w:tcPr>
            <w:tcW w:w="2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5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180" w:type="dxa"/>
            <w:vAlign w:val="bottom"/>
          </w:tcPr>
          <w:p>
            <w:pPr>
              <w:spacing w:after="0"/>
              <w:rPr>
                <w:sz w:val="24"/>
                <w:szCs w:val="24"/>
                <w:color w:val="auto"/>
              </w:rPr>
            </w:pPr>
          </w:p>
        </w:tc>
        <w:tc>
          <w:tcPr>
            <w:tcW w:w="2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Reserve Balance at December 31,</w:t>
            </w:r>
          </w:p>
        </w:tc>
        <w:tc>
          <w:tcPr>
            <w:tcW w:w="120" w:type="dxa"/>
            <w:vAlign w:val="bottom"/>
          </w:tcPr>
          <w:p>
            <w:pPr>
              <w:spacing w:after="0"/>
              <w:rPr>
                <w:sz w:val="24"/>
                <w:szCs w:val="24"/>
                <w:color w:val="auto"/>
              </w:rPr>
            </w:pPr>
          </w:p>
        </w:tc>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Charged to Costs and Expenses</w:t>
            </w:r>
          </w:p>
        </w:tc>
        <w:tc>
          <w:tcPr>
            <w:tcW w:w="280" w:type="dxa"/>
            <w:vAlign w:val="bottom"/>
          </w:tcPr>
          <w:p>
            <w:pPr>
              <w:spacing w:after="0"/>
              <w:rPr>
                <w:sz w:val="24"/>
                <w:szCs w:val="24"/>
                <w:color w:val="auto"/>
              </w:rPr>
            </w:pPr>
          </w:p>
        </w:tc>
        <w:tc>
          <w:tcPr>
            <w:tcW w:w="2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Payments and Other</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Reserve Balance at December 31,</w:t>
            </w:r>
          </w:p>
        </w:tc>
        <w:tc>
          <w:tcPr>
            <w:tcW w:w="0" w:type="dxa"/>
            <w:vAlign w:val="bottom"/>
          </w:tcPr>
          <w:p>
            <w:pPr>
              <w:spacing w:after="0"/>
              <w:rPr>
                <w:sz w:val="1"/>
                <w:szCs w:val="1"/>
                <w:color w:val="auto"/>
              </w:rPr>
            </w:pPr>
          </w:p>
        </w:tc>
      </w:tr>
      <w:tr>
        <w:trPr>
          <w:trHeight w:val="109"/>
        </w:trPr>
        <w:tc>
          <w:tcPr>
            <w:tcW w:w="2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60" w:type="dxa"/>
            <w:vAlign w:val="bottom"/>
            <w:vMerge w:val="restart"/>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1660" w:type="dxa"/>
            <w:vAlign w:val="bottom"/>
            <w:vMerge w:val="restart"/>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86"/>
        </w:trPr>
        <w:tc>
          <w:tcPr>
            <w:tcW w:w="2180" w:type="dxa"/>
            <w:vAlign w:val="bottom"/>
            <w:tcBorders>
              <w:bottom w:val="single" w:sz="8" w:color="CCEEFF"/>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5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54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48"/>
        </w:trPr>
        <w:tc>
          <w:tcPr>
            <w:tcW w:w="2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auto"/>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30, 2023, the Company announced a continued strategic realignment of its organization to key priorities which includes the elimination of approximately 50 positions impacted on August 23, 2023, and approximately 35 positions impacted on October 30, 2023. Together these actions reduced the size of the Company’s workforce by 10% from the total number that existed at the time of the August reduction in force. In total, the Company announced cost saving initiatives,</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including but not limited to these reductions in force, that are expected to result in an excess of $40 million in annual cost reduction. The Company expects that all remaining cash severance payments will be complete in less than one year.</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the Company’s Compensation Committee of the Board of Directors approved by written consents, dated February 17, 2022, May 2, 2022 and August 11, 2022, a restructuring plan which was fully executed by management and restructuring charges were incurred and recorded in connection therewith, including an exit of the Company’s somatic tumor testing business. These costs include severance packages offered to the employees impacted by the plan, third party consulting costs, and costs related to closing the Company’s laboratory in Branford, CT. The plan resulted in the Company eliminating approximately 250 positions.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2022, the Company announced its strategic realignment resulting in the exit of its reproductive and women’s health testing business, which included carrier screening, noninvasive prenatal, and other ancillary reproductive testing offerings. The Company ceased accepting samples for these tests on December 14, 2022 and notified its customers impacted by the decision immediately. As a result, the Company eliminated approximately 500 positions, and ceased operations at its Stamford, CT laboratory. When combined with the Company’s prior reductions in workforce during 2022, the exit resulted in the elimination of approximately 32.5% of the Company’s workforce which existed at the time of the announcement.</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incur additional expenses not currently contemplated due to events associated with the reduction in force. The charges that the Company expects to incur in connection with the reduction in force are estimates and subject to a number of assumptions, and actual results may differ materially.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Supplemental Financial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on the consolidated balance sheets to the total of the same amounts shown on the consolidated statements of cash flows: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8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123,933</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13,470</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138,303</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cash included within prepaid expenses and other current assets as of December 31, 2022 includes $12.1 million held in escrow as restricted cash related to the closing of the Acquisition which was released upon expiration of the one year escrow period in May 2023. Restricted cash included in other assets as of December 31, 2023 and 2022 primarily consists of money market deposit accounts that secure an irrevocable standby letter of credit that serves as collateral for security deposit operating leases.</w:t>
      </w:r>
    </w:p>
    <w:p>
      <w:pPr>
        <w:sectPr>
          <w:pgSz w:w="11900" w:h="16838" w:orient="portrait"/>
          <w:cols w:equalWidth="0" w:num="1">
            <w:col w:w="11240"/>
          </w:cols>
          <w:pgMar w:left="320" w:top="121" w:right="339" w:bottom="1440" w:gutter="0" w:footer="0" w:header="0"/>
        </w:sectPr>
      </w:pP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437515</wp:posOffset>
            </wp:positionV>
            <wp:extent cx="7115175"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Accrued purchases</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Reserves for refunds to insurance carriers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15175"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711517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8"/>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46,017</w:t>
            </w:r>
          </w:p>
        </w:tc>
      </w:tr>
      <w:tr>
        <w:trPr>
          <w:trHeight w:val="252"/>
        </w:trPr>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20,314</w:t>
            </w:r>
          </w:p>
        </w:tc>
      </w:tr>
      <w:tr>
        <w:trPr>
          <w:trHeight w:val="256"/>
        </w:trPr>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15,039</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17,001</w:t>
            </w:r>
          </w:p>
        </w:tc>
      </w:tr>
      <w:tr>
        <w:trPr>
          <w:trHeight w:val="256"/>
        </w:trPr>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84,878</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00" w:space="720"/>
            <w:col w:w="3020"/>
          </w:cols>
          <w:pgMar w:left="320" w:top="121"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831"/>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 consisted of the following:</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8"/>
        </w:trPr>
        <w:tc>
          <w:tcPr>
            <w:tcW w:w="128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1280" w:type="dxa"/>
            <w:vAlign w:val="bottom"/>
            <w:tcBorders>
              <w:bottom w:val="single" w:sz="8" w:color="CCEEFF"/>
            </w:tcBorders>
          </w:tcPr>
          <w:p>
            <w:pPr>
              <w:spacing w:after="0"/>
              <w:rPr>
                <w:sz w:val="19"/>
                <w:szCs w:val="19"/>
                <w:color w:val="auto"/>
              </w:rPr>
            </w:pPr>
          </w:p>
        </w:tc>
        <w:tc>
          <w:tcPr>
            <w:tcW w:w="69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w:t>
            </w:r>
          </w:p>
        </w:tc>
      </w:tr>
      <w:tr>
        <w:trPr>
          <w:trHeight w:val="27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w:t>
            </w:r>
          </w:p>
        </w:tc>
      </w:tr>
      <w:tr>
        <w:trPr>
          <w:trHeight w:val="27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benefits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r>
      <w:tr>
        <w:trPr>
          <w:trHeight w:val="27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commissions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7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severance</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w:t>
            </w:r>
          </w:p>
        </w:tc>
      </w:tr>
      <w:tr>
        <w:trPr>
          <w:trHeight w:val="27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r>
      <w:tr>
        <w:trPr>
          <w:trHeight w:val="27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Indemnification liabilities</w:t>
            </w:r>
          </w:p>
        </w:tc>
        <w:tc>
          <w:tcPr>
            <w:tcW w:w="3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13,470</w:t>
            </w:r>
          </w:p>
        </w:tc>
      </w:tr>
      <w:tr>
        <w:trPr>
          <w:trHeight w:val="27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the contingent consideration liabilities</w:t>
            </w:r>
          </w:p>
        </w:tc>
        <w:tc>
          <w:tcPr>
            <w:tcW w:w="34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w:t>
            </w:r>
          </w:p>
        </w:tc>
      </w:tr>
      <w:tr>
        <w:trPr>
          <w:trHeight w:val="27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debt issuance costs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5,177</w:t>
            </w:r>
          </w:p>
        </w:tc>
      </w:tr>
      <w:tr>
        <w:trPr>
          <w:trHeight w:val="248"/>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 consisted of the following:</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Warrant liability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Earn-out contingent liability</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Third party payor reserve</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Reporting</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19113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16" w:lineRule="exact"/>
        <w:rPr>
          <w:sz w:val="20"/>
          <w:szCs w:val="20"/>
          <w:color w:val="auto"/>
        </w:rPr>
      </w:pPr>
    </w:p>
    <w:p>
      <w:pPr>
        <w:ind w:left="56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-5213985</wp:posOffset>
            </wp:positionH>
            <wp:positionV relativeFrom="paragraph">
              <wp:posOffset>19685</wp:posOffset>
            </wp:positionV>
            <wp:extent cx="713232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45"/>
        </w:trPr>
        <w:tc>
          <w:tcPr>
            <w:tcW w:w="5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56"/>
        </w:trPr>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22,000</w:t>
            </w:r>
          </w:p>
        </w:tc>
      </w:tr>
      <w:tr>
        <w:trPr>
          <w:trHeight w:val="223"/>
        </w:trPr>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24,018</w:t>
            </w:r>
          </w:p>
        </w:tc>
      </w:tr>
      <w:tr>
        <w:trPr>
          <w:trHeight w:val="21"/>
        </w:trPr>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-5213985</wp:posOffset>
            </wp:positionH>
            <wp:positionV relativeFrom="paragraph">
              <wp:posOffset>-351155</wp:posOffset>
            </wp:positionV>
            <wp:extent cx="7132320"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02" w:lineRule="exact"/>
        <w:rPr>
          <w:sz w:val="20"/>
          <w:szCs w:val="20"/>
          <w:color w:val="auto"/>
        </w:rPr>
      </w:pPr>
    </w:p>
    <w:p>
      <w:pPr>
        <w:sectPr>
          <w:pgSz w:w="11900" w:h="16838" w:orient="portrait"/>
          <w:cols w:equalWidth="0" w:num="2">
            <w:col w:w="7500" w:space="720"/>
            <w:col w:w="3020"/>
          </w:cols>
          <w:pgMar w:left="320" w:top="108" w:right="339" w:bottom="1440" w:gutter="0" w:footer="0" w:header="0"/>
          <w:type w:val="continuous"/>
        </w:sect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business is aligned with how the chief operating decision maker (“CODM”) reviews performance and makes decisions in managing the Company. At December 31, 2023, the Company has identified two reportable segments: (i) GeneDx inclusive of Legacy GeneDx and Legacy Sema4 data revenues and associated costs and (ii) Legacy Sema4 diagnostics. The GeneDx segment primarily provides pediatric and rare disease diagnostics with a focus on whole exome and genome sequencing and, to a lesser extent, data and information services. The Legacy Sema4 diagnostics segment provided reproductive and women’s health and somatic oncology diagnostic testing and screening products and has been completely shut down. Segment information is consistent with how management reviews the business, makes investing and resource allocation decisions and assesses operating performance. The CODM evaluates segment performance based on revenue and adjusted gross margin.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3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3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96"/>
        </w:trPr>
        <w:tc>
          <w:tcPr>
            <w:tcW w:w="3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GeneDx</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Legacy Sema4</w:t>
            </w:r>
          </w:p>
        </w:tc>
        <w:tc>
          <w:tcPr>
            <w:tcW w:w="280" w:type="dxa"/>
            <w:vAlign w:val="bottom"/>
          </w:tcPr>
          <w:p>
            <w:pPr>
              <w:spacing w:after="0"/>
              <w:rPr>
                <w:sz w:val="17"/>
                <w:szCs w:val="17"/>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GeneDx</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Legacy Sema4</w:t>
            </w:r>
          </w:p>
        </w:tc>
        <w:tc>
          <w:tcPr>
            <w:tcW w:w="300" w:type="dxa"/>
            <w:vAlign w:val="bottom"/>
          </w:tcPr>
          <w:p>
            <w:pPr>
              <w:spacing w:after="0"/>
              <w:rPr>
                <w:sz w:val="17"/>
                <w:szCs w:val="17"/>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3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202,566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234,694</w:t>
            </w:r>
          </w:p>
        </w:tc>
      </w:tr>
      <w:tr>
        <w:trPr>
          <w:trHeight w:val="230"/>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Adjusted cost of services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223,110</w:t>
            </w:r>
          </w:p>
        </w:tc>
      </w:tr>
      <w:tr>
        <w:trPr>
          <w:trHeight w:val="223"/>
        </w:trPr>
        <w:tc>
          <w:tcPr>
            <w:tcW w:w="324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Adjusted gross profit (loss)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11,584</w:t>
            </w:r>
          </w:p>
        </w:tc>
      </w:tr>
      <w:tr>
        <w:trPr>
          <w:trHeight w:val="257"/>
        </w:trPr>
        <w:tc>
          <w:tcPr>
            <w:tcW w:w="3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Reconciliations: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31,328</w:t>
            </w:r>
          </w:p>
        </w:tc>
      </w:tr>
      <w:tr>
        <w:trPr>
          <w:trHeight w:val="230"/>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r>
      <w:tr>
        <w:trPr>
          <w:trHeight w:val="229"/>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w:t>
            </w:r>
          </w:p>
        </w:tc>
      </w:tr>
      <w:tr>
        <w:trPr>
          <w:trHeight w:val="248"/>
        </w:trPr>
        <w:tc>
          <w:tcPr>
            <w:tcW w:w="3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90,006</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(26,750)</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Cost of Services and Adjusted Gross Profit exclude depreciation and amortization expense, stock-based compensation expense and restructuring costs.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manages assets on a total company basis, not by reporting segment. The CODM does not regularly review any asset information by reporting segment and, accordingly, the Company does not report asset information by reporting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Disclosure controls and procedures that are designed to ensure that information required to be disclosed in our reports filed or submitted under the Exchange Act is recorded, processed, summarized and reported within the time periods specified in the SEC’s rules and forms.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December 31, 2023. Based on that evaluation, our Chief Executive Officer and Chief Financial Officer concluded that our disclosure controls and procedures were not effective as of December 31, 2023 because of the material weaknesses in internal control over financial reporting discussed below.</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material weaknesses in internal control over financial reporting described below, our management has concluded that our consolidated financial statements included in this Annual Report on Form 10-K are fairly stated in all material respects in accordance with accounting principles generally accepted in the United States of America (“U.S. GAAP”).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under the supervision and with the participation of our management, including our Chief Executive Officer and our Chief Financial Officer, to provide reasonable assurance regarding the reliability of financial reporting and the preparation of financial statements for external purposes in accordance with accounting principles generally accepted in the United States of America.</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our Chief Financial Officer and oversight of the Board of Directors, our management conducted an evaluation of the effectiveness of our internal control over financial reporting as of December 31, 2023, based on the criteria set forth in Internal Control-Integrated Framework issued by the Committee of Sponsoring Organizations of the Treadway Commission (2013 COSO framework). Based on this evaluation, due to the material weaknesses described below, management concluded that the Company’s internal control over financial reporting were not effective.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the preparation of the Annual Report on Form 10-K as of December 31, 2022, we previously reported three material weaknesses in our internal controls over financial reporting, as follows:</w:t>
      </w:r>
    </w:p>
    <w:p>
      <w:pPr>
        <w:spacing w:after="0" w:line="108" w:lineRule="exact"/>
        <w:rPr>
          <w:sz w:val="20"/>
          <w:szCs w:val="20"/>
          <w:color w:val="auto"/>
        </w:rPr>
      </w:pPr>
    </w:p>
    <w:p>
      <w:pPr>
        <w:jc w:val="both"/>
        <w:ind w:left="660" w:right="20" w:hanging="328"/>
        <w:spacing w:after="0" w:line="257"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have sufficient, qualified finance and accounting staff with the appropriate U.S. GAAP technical accounting expertise to effectively maintain processes and controls that allow for the timely production of accurate financial information with internal financial reporting timelines, commensurate with our size and the nature and complexity of our operations.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maintain formal processes and controls to achieve complete, accurate and timely financial accounting, reporting and disclosures, including controls over the preparation and review of account reconciliations, journal entries, classification of certain costs, non-recurring complex transactions and the accounting in accordance with U.S. GAAP.</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operating systems lacked controls over access, and program change management that are needed to ensure access to financial data is adequately restricted to appropriate personnel, including consideration of the appropriate segregation of duties. As a result, it is possible that the Company’s business process controls that depend on the accuracy and completeness of data or financial reports generated by the Company's information technology</w:t>
      </w:r>
    </w:p>
    <w:p>
      <w:pPr>
        <w:spacing w:after="0" w:line="200" w:lineRule="exact"/>
        <w:rPr>
          <w:sz w:val="20"/>
          <w:szCs w:val="20"/>
          <w:color w:val="auto"/>
        </w:rPr>
      </w:pPr>
    </w:p>
    <w:p>
      <w:pPr>
        <w:spacing w:after="0" w:line="2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system could be adversely affected due to the lack of operating effectiveness of the information technology general controls (“ITGCs”).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the three previously reported material weaknesses noted above, the first two items have been remediated as of December 31, 2023 and due to significant enhancement during 2023, only portions of the third remains unremediated as of December 31, 2023. Specifically, our accounting and operating systems lacked controls over user access and program change management that are needed to ensure access to financial data is adequately restricted to appropriate personnel, including consideration of the appropriate segregation of duties.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is actively engaged and committed to taking the steps necessary to remediate the material weakness over user access and program change management in order to establish a strong internal control environment. During 2023, we designed and implemented the following measures as part of the remediation efforts over the lack of operating effectiveness of the information technology general controls (“ITGCs”):</w:t>
      </w:r>
    </w:p>
    <w:p>
      <w:pPr>
        <w:spacing w:after="0" w:line="132" w:lineRule="exact"/>
        <w:rPr>
          <w:sz w:val="20"/>
          <w:szCs w:val="20"/>
          <w:color w:val="auto"/>
        </w:rPr>
      </w:pPr>
    </w:p>
    <w:p>
      <w:pPr>
        <w:ind w:left="660" w:hanging="328"/>
        <w:spacing w:after="0" w:line="261"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expanded the available resources with experience designing and implementing ITGCs, through hired information technology (“IT”) employees and use of outside consultants.</w:t>
      </w:r>
    </w:p>
    <w:p>
      <w:pPr>
        <w:ind w:left="660" w:right="20" w:hanging="328"/>
        <w:spacing w:after="0" w:line="250"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role redesign for certain systems, including rationalization user roles and permissions and establishing appropriate segregation of duties, where applicable.</w:t>
      </w:r>
    </w:p>
    <w:p>
      <w:pPr>
        <w:ind w:left="660" w:hanging="328"/>
        <w:spacing w:after="0" w:line="250"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process improvements and standardized certain practices across relevant systems, including access provisioning, deprovisioning and user access review (UAR) processes.</w:t>
      </w:r>
    </w:p>
    <w:p>
      <w:pPr>
        <w:ind w:left="660" w:hanging="328"/>
        <w:spacing w:after="0" w:line="250"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conducted training for personnel responsible for internal control performers to deepen their comprehension of risk assessment concepts and to refine their execution of controls pertaining to financial reporting.</w:t>
      </w: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strengthened and documented our accounting policies and procedures around ITGCs and communicated the policies to relevant personnel.</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implemented action plans to address remaining issues that still exist within user access and change management, and continue to enforce consistent execution of key internal control procedures.</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significant progress has been made to strengthen the design and operating effectiveness of our ITGCs, management has concluded that as of December 31, 2023, there was not a sufficient period of time available to sufficiently test nor conclude that enhanced internal controls were fully implemented and operating effectively. We will continue to monitor the effectiveness of our remediation measures in connection with our future assessments of the effectiveness of internal control over financial reporting and disclosure controls and procedures, and we will make any changes to the design of our plan and take such other actions that we deem appropriate given the circumstances.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continue to monitor the effectiveness of ITGC remediation actions in connection with future assessments of the effectiveness of internal control over financial reporting and disclosure controls and procedures. Assessment results will be used to validate the efficacy of our ITGC remediation efforts and identify any additional actions necessary to ensure ongoing design and operating effectiveness.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of Previously-Reported Material Weaknesses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management believes the following two previously reported material weaknesses have been remediated:</w:t>
      </w:r>
    </w:p>
    <w:p>
      <w:pPr>
        <w:spacing w:after="0" w:line="171" w:lineRule="exact"/>
        <w:rPr>
          <w:sz w:val="20"/>
          <w:szCs w:val="20"/>
          <w:color w:val="auto"/>
        </w:rPr>
      </w:pPr>
    </w:p>
    <w:p>
      <w:pPr>
        <w:jc w:val="both"/>
        <w:ind w:left="660" w:hanging="328"/>
        <w:spacing w:after="0" w:line="257"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have sufficient, qualified finance and accounting staff with the appropriate U.S. GAAP technical accounting expertise to effectively maintain processes and controls that allow for the timely production of accurate financial information in accordance with internal financial reporting timelines, commensurate with our size and the nature and complexity of our operations.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maintain formal processes and controls to achieve complete, accurate and timely financial accounting, reporting and disclosures, including controls over the preparation and review of account reconciliations, journal entries, classification of certain costs, non-recurring complex transactions and the accounting in accordance with U.S. GAAP.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remediate these material weaknesses, the Company documented and implemented the following actions:</w:t>
      </w:r>
    </w:p>
    <w:p>
      <w:pPr>
        <w:spacing w:after="0" w:line="171" w:lineRule="exact"/>
        <w:rPr>
          <w:sz w:val="20"/>
          <w:szCs w:val="20"/>
          <w:color w:val="auto"/>
        </w:rPr>
      </w:pPr>
    </w:p>
    <w:p>
      <w:pPr>
        <w:jc w:val="both"/>
        <w:ind w:left="66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hired key personnel, obtained qualified accountants and retained additional resources with the appropriate technical accounting skills to achieve complete, accurate, and timely financial accounting and reporting. In addition, we formalized roles and review responsibilities to align the team’s skills and experience, including consideration related to the segregation of duties, to the risk and complexity of our transactions.</w:t>
      </w:r>
    </w:p>
    <w:p>
      <w:pPr>
        <w:spacing w:after="0" w:line="39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hanging="328"/>
        <w:spacing w:after="0" w:line="257"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a gap analysis of the processes supporting our internal control over financial reporting to identify areas where new controls are needed and where existing controls required improvement. Based on that analysis, we formalized detailed remediation plans at the risk and control level to improve our internal control framework.</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strengthened and documented our internal accounting policies and procedures and communicated them to all relevant personnel.</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standardized business practices and implemented various improvements within financial functional areas, including account reconciliation reviews and automation of certain close processes.</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it has effectively designed and tested the operating effectiveness related to the previously-reported material weaknesses noted above. Accordingly, management has concluded that these material weaknesses have been remediated because each component of the material weakness has been operating effectively for a sufficient period of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has evaluated, with the participation of our Chief Executive Officer and Chief Financial Officer, changes in our internal controls over financial reporting (as defined in Rule 13a-15(f) and 15d-15(f) of the Exchange Act) during the fourth quarter of 2023. Except as described above with respect to the remediation of certain previously-reported material weaknesses, there were no changes in the Company’s internal control over financial reporting that occurred during the quarter ended December 31, 2023 that have materially affected, or are reasonably likely to materially affect, our internal control over financial reporting. We continue to take steps to remediate the material weakness in our information technology general controls over financial reporting, as discussed above.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 on the Effectiveness of Internal Control</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expiration of his employment agreement on December 31, 2023 in accordance with its terms, on February 23, 2024, Jason Ryan resigned from his officer position as the Executive Chairman of the Company, effective February 23, 2024. Mr. Ryan continues to serve as a member of and as the Chairman of the Board of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Plan Adoptions and Modifications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set forth below, the information required by this Item is incorporated by reference from our definitive proxy statement for our 2024 Annual Meeting of Stockholders to be filed with the SEC within 120 days after the end of our fiscal year ended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2024 Annual Meeting of Stockholders to be filed with the SEC within 120 days after the end of our fiscal year ended December 31, 2023.</w:t>
      </w:r>
    </w:p>
    <w:p>
      <w:pPr>
        <w:spacing w:after="0" w:line="10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2024 Annual Meeting of Stockholders to be filed with the SEC within 120 days after the end of our fiscal year ended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2024 Annual Meeting of Stockholders to be filed with the SEC within 120 days after the end of our fiscal year ended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2024 Annual Meeting of Stockholders to be filed with the SEC within 120 days after the end of our fiscal year ended December 31, 2023.</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75" w:lineRule="exact"/>
        <w:rPr>
          <w:sz w:val="20"/>
          <w:szCs w:val="20"/>
          <w:color w:val="auto"/>
        </w:rPr>
      </w:pPr>
    </w:p>
    <w:p>
      <w:pPr>
        <w:ind w:left="200" w:hanging="192"/>
        <w:spacing w:after="0"/>
        <w:tabs>
          <w:tab w:leader="none" w:pos="2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this Annual Report.</w:t>
      </w:r>
    </w:p>
    <w:p>
      <w:pPr>
        <w:spacing w:after="0" w:line="171" w:lineRule="exact"/>
        <w:rPr>
          <w:rFonts w:ascii="Times New Roman" w:cs="Times New Roman" w:eastAsia="Times New Roman" w:hAnsi="Times New Roman"/>
          <w:sz w:val="18"/>
          <w:szCs w:val="18"/>
          <w:color w:val="auto"/>
        </w:rPr>
      </w:pPr>
    </w:p>
    <w:p>
      <w:pPr>
        <w:ind w:left="660" w:right="20" w:hanging="247"/>
        <w:spacing w:after="0" w:line="282" w:lineRule="auto"/>
        <w:tabs>
          <w:tab w:leader="none" w:pos="62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The consolidated financial statements are set forth under “Item 8. Financial Statements and Supplementary Data” of this Annual Report on Form 10-K.</w:t>
      </w:r>
    </w:p>
    <w:p>
      <w:pPr>
        <w:spacing w:after="0" w:line="107" w:lineRule="exact"/>
        <w:rPr>
          <w:rFonts w:ascii="Times New Roman" w:cs="Times New Roman" w:eastAsia="Times New Roman" w:hAnsi="Times New Roman"/>
          <w:sz w:val="18"/>
          <w:szCs w:val="18"/>
          <w:color w:val="auto"/>
        </w:rPr>
      </w:pPr>
    </w:p>
    <w:p>
      <w:pPr>
        <w:ind w:left="660" w:hanging="247"/>
        <w:spacing w:after="0" w:line="282" w:lineRule="auto"/>
        <w:tabs>
          <w:tab w:leader="none" w:pos="62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All schedules have been omitted because they are not required, not applicable, or the required information is included in the consolidated financial statements or notes thereto.</w:t>
      </w:r>
    </w:p>
    <w:p>
      <w:pPr>
        <w:spacing w:after="0" w:line="107" w:lineRule="exact"/>
        <w:rPr>
          <w:rFonts w:ascii="Times New Roman" w:cs="Times New Roman" w:eastAsia="Times New Roman" w:hAnsi="Times New Roman"/>
          <w:sz w:val="18"/>
          <w:szCs w:val="18"/>
          <w:color w:val="auto"/>
        </w:rPr>
      </w:pPr>
    </w:p>
    <w:p>
      <w:pPr>
        <w:ind w:left="600" w:hanging="187"/>
        <w:spacing w:after="0"/>
        <w:tabs>
          <w:tab w:leader="none" w:pos="6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in the accompanying Exhibit Index are filed or incorporated by reference as part of this Annual Report on Form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No.</w:t>
            </w:r>
          </w:p>
        </w:tc>
        <w:tc>
          <w:tcPr>
            <w:tcW w:w="8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5420" w:type="dxa"/>
            <w:vAlign w:val="bottom"/>
            <w:tcBorders>
              <w:top w:val="single" w:sz="8" w:color="auto"/>
              <w:bottom w:val="single" w:sz="8" w:color="auto"/>
            </w:tcBorders>
            <w:gridSpan w:val="34"/>
          </w:tcPr>
          <w:p>
            <w:pPr>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0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10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Filed Herewith</w:t>
            </w:r>
          </w:p>
        </w:tc>
      </w:tr>
      <w:tr>
        <w:trPr>
          <w:trHeight w:val="175"/>
        </w:trPr>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20" w:type="dxa"/>
            <w:vAlign w:val="bottom"/>
            <w:gridSpan w:val="34"/>
            <w:shd w:val="clear" w:color="auto" w:fill="CCEEFF"/>
          </w:tcPr>
          <w:p>
            <w:pPr>
              <w:spacing w:after="0" w:line="175"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Underwriting Agreement by and between GeneDx Holdings Corp. and Jefferies</w:t>
              </w:r>
            </w:hyperlink>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01/30/2023</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3"/>
        </w:trPr>
        <w:tc>
          <w:tcPr>
            <w:tcW w:w="8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180" w:type="dxa"/>
            <w:vAlign w:val="bottom"/>
            <w:tcBorders>
              <w:top w:val="single" w:sz="8" w:color="0000FF"/>
            </w:tcBorders>
            <w:gridSpan w:val="25"/>
            <w:shd w:val="clear" w:color="auto" w:fill="CCEEFF"/>
          </w:tcPr>
          <w:p>
            <w:pPr>
              <w:spacing w:after="0" w:line="155"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LLC, dated January 26, 2023.</w:t>
              </w:r>
            </w:hyperlink>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r>
      <w:tr>
        <w:trPr>
          <w:trHeight w:val="54"/>
        </w:trPr>
        <w:tc>
          <w:tcPr>
            <w:tcW w:w="8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r>
      <w:tr>
        <w:trPr>
          <w:trHeight w:val="175"/>
        </w:trPr>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6"/>
              </w:rPr>
              <w:t>2.1+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50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Agreement and Plan of Merger, dated February 9, 2021, by and among CMLS,</w:t>
              </w:r>
            </w:hyperlink>
          </w:p>
        </w:tc>
        <w:tc>
          <w:tcPr>
            <w:tcW w:w="120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DEF14M</w:t>
            </w:r>
          </w:p>
        </w:tc>
        <w:tc>
          <w:tcPr>
            <w:tcW w:w="1220" w:type="dxa"/>
            <w:vAlign w:val="bottom"/>
            <w:gridSpan w:val="2"/>
            <w:shd w:val="clear" w:color="auto" w:fill="CCEEFF"/>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w w:val="99"/>
              </w:rPr>
              <w:t>Annex A</w:t>
            </w:r>
          </w:p>
        </w:tc>
        <w:tc>
          <w:tcPr>
            <w:tcW w:w="112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07/02/2021</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56"/>
        </w:trPr>
        <w:tc>
          <w:tcPr>
            <w:tcW w:w="8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140" w:type="dxa"/>
            <w:vAlign w:val="bottom"/>
            <w:tcBorders>
              <w:top w:val="single" w:sz="8" w:color="0000FF"/>
              <w:bottom w:val="single" w:sz="8" w:color="0000FF"/>
            </w:tcBorders>
            <w:gridSpan w:val="23"/>
            <w:shd w:val="clear" w:color="auto" w:fill="CCEEFF"/>
          </w:tcPr>
          <w:p>
            <w:pPr>
              <w:spacing w:after="0" w:line="155"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Merger Sub and Legacy Sema4, as amended by Amendment to Agreement and</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203"/>
        </w:trPr>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160" w:type="dxa"/>
            <w:vAlign w:val="bottom"/>
            <w:gridSpan w:val="24"/>
            <w:shd w:val="clear" w:color="auto" w:fill="CCEEFF"/>
          </w:tcPr>
          <w:p>
            <w:pPr>
              <w:spacing w:after="0" w:line="169"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Plan of Merger dated May 3, 2021.</w:t>
              </w:r>
            </w:hyperlink>
          </w:p>
        </w:tc>
        <w:tc>
          <w:tcPr>
            <w:tcW w:w="8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54"/>
        </w:trPr>
        <w:tc>
          <w:tcPr>
            <w:tcW w:w="8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r>
      <w:tr>
        <w:trPr>
          <w:trHeight w:val="175"/>
        </w:trPr>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2.2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50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Agreement and Plan of Merger and Reorganization, dated as of January 14, 2022,</w:t>
              </w:r>
            </w:hyperlink>
          </w:p>
        </w:tc>
        <w:tc>
          <w:tcPr>
            <w:tcW w:w="120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01/18/2022</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56"/>
        </w:trPr>
        <w:tc>
          <w:tcPr>
            <w:tcW w:w="8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300" w:type="dxa"/>
            <w:vAlign w:val="bottom"/>
            <w:tcBorders>
              <w:top w:val="single" w:sz="8" w:color="0000FF"/>
            </w:tcBorders>
            <w:gridSpan w:val="28"/>
            <w:shd w:val="clear" w:color="auto" w:fill="CCEEFF"/>
          </w:tcPr>
          <w:p>
            <w:pPr>
              <w:spacing w:after="0" w:line="155"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by and among, Orion Merger Sub I, Inc., Orion Merger Sub II, LLC, GeneDx,</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r>
      <w:tr>
        <w:trPr>
          <w:trHeight w:val="203"/>
        </w:trPr>
        <w:tc>
          <w:tcPr>
            <w:tcW w:w="8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100" w:type="dxa"/>
            <w:vAlign w:val="bottom"/>
            <w:tcBorders>
              <w:top w:val="single" w:sz="8" w:color="0000FF"/>
            </w:tcBorders>
            <w:gridSpan w:val="21"/>
            <w:shd w:val="clear" w:color="auto" w:fill="CCEEFF"/>
          </w:tcPr>
          <w:p>
            <w:pPr>
              <w:spacing w:after="0" w:line="169"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Inc., GeneDx Holding 2, Inc. and OPKO Health, Inc.</w:t>
              </w:r>
            </w:hyperlink>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4"/>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r>
      <w:tr>
        <w:trPr>
          <w:trHeight w:val="54"/>
        </w:trPr>
        <w:tc>
          <w:tcPr>
            <w:tcW w:w="8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r>
      <w:tr>
        <w:trPr>
          <w:trHeight w:val="176"/>
        </w:trPr>
        <w:tc>
          <w:tcPr>
            <w:tcW w:w="8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6"/>
              </w:rPr>
              <w:t>2.3+</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120" w:type="dxa"/>
            <w:vAlign w:val="bottom"/>
            <w:tcBorders>
              <w:bottom w:val="single" w:sz="8" w:color="0000FF"/>
            </w:tcBorders>
            <w:gridSpan w:val="22"/>
            <w:shd w:val="clear" w:color="auto" w:fill="CCEEFF"/>
          </w:tcPr>
          <w:p>
            <w:pPr>
              <w:spacing w:after="0" w:line="175"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Amendment to Agreement and Plan of Merger and Reorganization, dated as of</w:t>
              </w:r>
            </w:hyperlink>
          </w:p>
        </w:tc>
        <w:tc>
          <w:tcPr>
            <w:tcW w:w="380" w:type="dxa"/>
            <w:vAlign w:val="bottom"/>
            <w:tcBorders>
              <w:bottom w:val="single" w:sz="8" w:color="CCEEFF"/>
            </w:tcBorders>
            <w:gridSpan w:val="13"/>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99.2</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05/02/2022</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156"/>
        </w:trPr>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500" w:type="dxa"/>
            <w:vAlign w:val="bottom"/>
            <w:gridSpan w:val="35"/>
            <w:shd w:val="clear" w:color="auto" w:fill="CCEEFF"/>
          </w:tcPr>
          <w:p>
            <w:pPr>
              <w:spacing w:after="0" w:line="155"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April 29, 2022, by and among, Sema4 Holdings Corp., Orion Merger Sub I, Inc.,</w:t>
              </w:r>
            </w:hyperlink>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9"/>
        </w:trPr>
        <w:tc>
          <w:tcPr>
            <w:tcW w:w="8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0000FF"/>
            </w:tcBorders>
            <w:gridSpan w:val="27"/>
            <w:shd w:val="clear" w:color="auto" w:fill="CCEEFF"/>
          </w:tcPr>
          <w:p>
            <w:pPr>
              <w:spacing w:after="0" w:line="169"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Orion Merger Sub II, LLC, GeneDx, Inc., GeneDx Holding 2, Inc. and OPKO</w:t>
              </w:r>
            </w:hyperlink>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r>
      <w:tr>
        <w:trPr>
          <w:trHeight w:val="203"/>
        </w:trPr>
        <w:tc>
          <w:tcPr>
            <w:tcW w:w="8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80" w:type="dxa"/>
            <w:vAlign w:val="bottom"/>
            <w:tcBorders>
              <w:top w:val="single" w:sz="8" w:color="0000FF"/>
            </w:tcBorders>
            <w:gridSpan w:val="20"/>
            <w:shd w:val="clear" w:color="auto" w:fill="CCEEFF"/>
          </w:tcPr>
          <w:p>
            <w:pPr>
              <w:spacing w:after="0" w:line="155"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Health, Inc.</w:t>
              </w:r>
            </w:hyperlink>
          </w:p>
        </w:tc>
        <w:tc>
          <w:tcPr>
            <w:tcW w:w="160" w:type="dxa"/>
            <w:vAlign w:val="bottom"/>
            <w:tcBorders>
              <w:top w:val="single" w:sz="8" w:color="CCEEFF"/>
            </w:tcBorders>
            <w:gridSpan w:val="6"/>
            <w:shd w:val="clear" w:color="auto" w:fill="CCEEFF"/>
          </w:tcPr>
          <w:p>
            <w:pPr>
              <w:spacing w:after="0"/>
              <w:rPr>
                <w:sz w:val="17"/>
                <w:szCs w:val="17"/>
                <w:color w:val="auto"/>
              </w:rPr>
            </w:pPr>
          </w:p>
        </w:tc>
        <w:tc>
          <w:tcPr>
            <w:tcW w:w="80" w:type="dxa"/>
            <w:vAlign w:val="bottom"/>
            <w:tcBorders>
              <w:top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r>
      <w:tr>
        <w:trPr>
          <w:trHeight w:val="54"/>
        </w:trPr>
        <w:tc>
          <w:tcPr>
            <w:tcW w:w="8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66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r>
      <w:tr>
        <w:trPr>
          <w:trHeight w:val="175"/>
        </w:trPr>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50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Third Amended and Restated Certificate of Incorporation of Sema4 Holdings</w:t>
              </w:r>
            </w:hyperlink>
          </w:p>
        </w:tc>
        <w:tc>
          <w:tcPr>
            <w:tcW w:w="120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07/28/2021</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3"/>
        </w:trPr>
        <w:tc>
          <w:tcPr>
            <w:tcW w:w="8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20" w:type="dxa"/>
            <w:vAlign w:val="bottom"/>
            <w:tcBorders>
              <w:top w:val="single" w:sz="8" w:color="0000FF"/>
            </w:tcBorders>
            <w:gridSpan w:val="18"/>
            <w:shd w:val="clear" w:color="auto" w:fill="CCEEFF"/>
          </w:tcPr>
          <w:p>
            <w:pPr>
              <w:spacing w:after="0" w:line="155"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Corp.</w:t>
              </w:r>
            </w:hyperlink>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gridSpan w:val="7"/>
            <w:shd w:val="clear" w:color="auto" w:fill="CCEEFF"/>
          </w:tcPr>
          <w:p>
            <w:pPr>
              <w:spacing w:after="0"/>
              <w:rPr>
                <w:sz w:val="17"/>
                <w:szCs w:val="17"/>
                <w:color w:val="auto"/>
              </w:rPr>
            </w:pPr>
          </w:p>
        </w:tc>
        <w:tc>
          <w:tcPr>
            <w:tcW w:w="80" w:type="dxa"/>
            <w:vAlign w:val="bottom"/>
            <w:tcBorders>
              <w:top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r>
      <w:tr>
        <w:trPr>
          <w:trHeight w:val="54"/>
        </w:trPr>
        <w:tc>
          <w:tcPr>
            <w:tcW w:w="8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66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r>
      <w:tr>
        <w:trPr>
          <w:trHeight w:val="176"/>
        </w:trPr>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50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First Certificate of Amendment of Restated Certificate of Incorporation of Sema4</w:t>
              </w:r>
            </w:hyperlink>
          </w:p>
        </w:tc>
        <w:tc>
          <w:tcPr>
            <w:tcW w:w="120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01/09/2023</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3"/>
        </w:trPr>
        <w:tc>
          <w:tcPr>
            <w:tcW w:w="8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340" w:type="dxa"/>
            <w:vAlign w:val="bottom"/>
            <w:tcBorders>
              <w:top w:val="single" w:sz="8" w:color="0000FF"/>
            </w:tcBorders>
            <w:gridSpan w:val="30"/>
            <w:shd w:val="clear" w:color="auto" w:fill="CCEEFF"/>
          </w:tcPr>
          <w:p>
            <w:pPr>
              <w:spacing w:after="0" w:line="155"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Holdings Corp.</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r>
      <w:tr>
        <w:trPr>
          <w:trHeight w:val="54"/>
        </w:trPr>
        <w:tc>
          <w:tcPr>
            <w:tcW w:w="8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6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r>
      <w:tr>
        <w:trPr>
          <w:trHeight w:val="175"/>
        </w:trPr>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50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Second Certificate of Amendment to the Third Amended and Restated Certificate</w:t>
              </w:r>
            </w:hyperlink>
          </w:p>
        </w:tc>
        <w:tc>
          <w:tcPr>
            <w:tcW w:w="120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04/17/2023</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3"/>
        </w:trPr>
        <w:tc>
          <w:tcPr>
            <w:tcW w:w="8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320" w:type="dxa"/>
            <w:vAlign w:val="bottom"/>
            <w:tcBorders>
              <w:top w:val="single" w:sz="8" w:color="0000FF"/>
            </w:tcBorders>
            <w:gridSpan w:val="29"/>
            <w:shd w:val="clear" w:color="auto" w:fill="CCEEFF"/>
          </w:tcPr>
          <w:p>
            <w:pPr>
              <w:spacing w:after="0" w:line="155"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of Incorporation of GeneDx Holdings Corp.</w:t>
              </w:r>
            </w:hyperlink>
          </w:p>
        </w:tc>
        <w:tc>
          <w:tcPr>
            <w:tcW w:w="4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r>
      <w:tr>
        <w:trPr>
          <w:trHeight w:val="54"/>
        </w:trPr>
        <w:tc>
          <w:tcPr>
            <w:tcW w:w="8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r>
      <w:tr>
        <w:trPr>
          <w:trHeight w:val="175"/>
        </w:trPr>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50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Third Certificate of Amendment to the Third Amended and Restated Certificate of</w:t>
              </w:r>
            </w:hyperlink>
          </w:p>
        </w:tc>
        <w:tc>
          <w:tcPr>
            <w:tcW w:w="120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04/28/2023</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3"/>
        </w:trPr>
        <w:tc>
          <w:tcPr>
            <w:tcW w:w="8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0" w:type="dxa"/>
            <w:vAlign w:val="bottom"/>
            <w:tcBorders>
              <w:top w:val="single" w:sz="8" w:color="0000FF"/>
            </w:tcBorders>
            <w:gridSpan w:val="33"/>
            <w:shd w:val="clear" w:color="auto" w:fill="CCEEFF"/>
          </w:tcPr>
          <w:p>
            <w:pPr>
              <w:spacing w:after="0" w:line="155"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Incorporation of GeneDx Holdings Corp.</w:t>
              </w:r>
            </w:hyperlink>
          </w:p>
        </w:tc>
        <w:tc>
          <w:tcPr>
            <w:tcW w:w="100" w:type="dxa"/>
            <w:vAlign w:val="bottom"/>
            <w:tcBorders>
              <w:top w:val="single" w:sz="8" w:color="CCEEFF"/>
            </w:tcBorders>
            <w:gridSpan w:val="2"/>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r>
      <w:tr>
        <w:trPr>
          <w:trHeight w:val="54"/>
        </w:trPr>
        <w:tc>
          <w:tcPr>
            <w:tcW w:w="8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r>
      <w:tr>
        <w:trPr>
          <w:trHeight w:val="210"/>
        </w:trPr>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50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Amended and Restated Bylaws of GeneDx Holdings Corp.</w:t>
              </w:r>
            </w:hyperlink>
          </w:p>
        </w:tc>
        <w:tc>
          <w:tcPr>
            <w:tcW w:w="120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01/09/2023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54"/>
        </w:trPr>
        <w:tc>
          <w:tcPr>
            <w:tcW w:w="8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r>
      <w:tr>
        <w:trPr>
          <w:trHeight w:val="209"/>
        </w:trPr>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50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Specimen Class A Common Stock Certificate.</w:t>
              </w:r>
            </w:hyperlink>
          </w:p>
        </w:tc>
        <w:tc>
          <w:tcPr>
            <w:tcW w:w="120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w w:val="99"/>
              </w:rPr>
              <w:t>S-1/A</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08/24/2020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54"/>
        </w:trPr>
        <w:tc>
          <w:tcPr>
            <w:tcW w:w="8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r>
      <w:tr>
        <w:trPr>
          <w:trHeight w:val="210"/>
        </w:trPr>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50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Specimen Warrant Certificate.</w:t>
              </w:r>
            </w:hyperlink>
          </w:p>
        </w:tc>
        <w:tc>
          <w:tcPr>
            <w:tcW w:w="120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w w:val="99"/>
              </w:rPr>
              <w:t>S-1/A</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08/24/2020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54"/>
        </w:trPr>
        <w:tc>
          <w:tcPr>
            <w:tcW w:w="8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r>
      <w:tr>
        <w:trPr>
          <w:trHeight w:val="175"/>
        </w:trPr>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50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Warrant Agreement, dated as of September 1, 2020, by and between CM Life</w:t>
              </w:r>
            </w:hyperlink>
          </w:p>
        </w:tc>
        <w:tc>
          <w:tcPr>
            <w:tcW w:w="120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09/04/2020</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3"/>
        </w:trPr>
        <w:tc>
          <w:tcPr>
            <w:tcW w:w="8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40" w:type="dxa"/>
            <w:vAlign w:val="bottom"/>
            <w:tcBorders>
              <w:top w:val="single" w:sz="8" w:color="0000FF"/>
            </w:tcBorders>
            <w:gridSpan w:val="19"/>
            <w:shd w:val="clear" w:color="auto" w:fill="CCEEFF"/>
          </w:tcPr>
          <w:p>
            <w:pPr>
              <w:spacing w:after="0" w:line="155"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Sciences, Inc. and Continental Stock Transfer &amp; Trust Company, as warrant</w:t>
              </w:r>
            </w:hyperlink>
          </w:p>
        </w:tc>
        <w:tc>
          <w:tcPr>
            <w:tcW w:w="460" w:type="dxa"/>
            <w:vAlign w:val="bottom"/>
            <w:tcBorders>
              <w:top w:val="single" w:sz="8" w:color="CCEEFF"/>
            </w:tcBorders>
            <w:gridSpan w:val="16"/>
            <w:shd w:val="clear" w:color="auto" w:fill="CCEEFF"/>
          </w:tcPr>
          <w:p>
            <w:pPr>
              <w:spacing w:after="0" w:line="155"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agent.</w:t>
              </w:r>
            </w:hyperlink>
          </w:p>
        </w:tc>
        <w:tc>
          <w:tcPr>
            <w:tcW w:w="1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r>
      <w:tr>
        <w:trPr>
          <w:trHeight w:val="54"/>
        </w:trPr>
        <w:tc>
          <w:tcPr>
            <w:tcW w:w="8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r>
      <w:tr>
        <w:trPr>
          <w:trHeight w:val="175"/>
        </w:trPr>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50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Warrant to Purchase Stock, dated October 27, 2023, by and among the Company</w:t>
              </w:r>
            </w:hyperlink>
          </w:p>
        </w:tc>
        <w:tc>
          <w:tcPr>
            <w:tcW w:w="120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10/30/2023</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3"/>
        </w:trPr>
        <w:tc>
          <w:tcPr>
            <w:tcW w:w="8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40" w:type="dxa"/>
            <w:vAlign w:val="bottom"/>
            <w:tcBorders>
              <w:top w:val="single" w:sz="8" w:color="0000FF"/>
            </w:tcBorders>
            <w:gridSpan w:val="26"/>
            <w:shd w:val="clear" w:color="auto" w:fill="CCEEFF"/>
          </w:tcPr>
          <w:p>
            <w:pPr>
              <w:spacing w:after="0" w:line="155"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and Perceptive Credit Holdings IV, LP.</w:t>
              </w:r>
            </w:hyperlink>
          </w:p>
        </w:tc>
        <w:tc>
          <w:tcPr>
            <w:tcW w:w="120" w:type="dxa"/>
            <w:vAlign w:val="bottom"/>
            <w:tcBorders>
              <w:top w:val="single" w:sz="8" w:color="CCEEFF"/>
            </w:tcBorders>
            <w:gridSpan w:val="5"/>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3"/>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r>
      <w:tr>
        <w:trPr>
          <w:trHeight w:val="54"/>
        </w:trPr>
        <w:tc>
          <w:tcPr>
            <w:tcW w:w="8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r>
      <w:tr>
        <w:trPr>
          <w:trHeight w:val="210"/>
        </w:trPr>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500" w:type="dxa"/>
            <w:vAlign w:val="bottom"/>
            <w:gridSpan w:val="3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Description of Securities.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54"/>
        </w:trPr>
        <w:tc>
          <w:tcPr>
            <w:tcW w:w="8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r>
      <w:tr>
        <w:trPr>
          <w:trHeight w:val="176"/>
        </w:trPr>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50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Amended and Restated Registration Rights Agreement, dated as of July 22, 2021,</w:t>
              </w:r>
            </w:hyperlink>
          </w:p>
        </w:tc>
        <w:tc>
          <w:tcPr>
            <w:tcW w:w="120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07/28/2021</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55"/>
        </w:trPr>
        <w:tc>
          <w:tcPr>
            <w:tcW w:w="8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360" w:type="dxa"/>
            <w:vAlign w:val="bottom"/>
            <w:tcBorders>
              <w:top w:val="single" w:sz="8" w:color="0000FF"/>
              <w:bottom w:val="single" w:sz="8" w:color="0000FF"/>
            </w:tcBorders>
            <w:gridSpan w:val="31"/>
            <w:shd w:val="clear" w:color="auto" w:fill="CCEEFF"/>
          </w:tcPr>
          <w:p>
            <w:pPr>
              <w:spacing w:after="0" w:line="155"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by and among the Company, certain equity holders of the Company named therein</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203"/>
        </w:trPr>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380" w:type="dxa"/>
            <w:vAlign w:val="bottom"/>
            <w:gridSpan w:val="32"/>
            <w:shd w:val="clear" w:color="auto" w:fill="CCEEFF"/>
          </w:tcPr>
          <w:p>
            <w:pPr>
              <w:spacing w:after="0" w:line="169"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and certain equity holders of Sema4 named therein.</w:t>
              </w:r>
            </w:hyperlink>
          </w:p>
        </w:tc>
        <w:tc>
          <w:tcPr>
            <w:tcW w:w="120" w:type="dxa"/>
            <w:vAlign w:val="bottom"/>
            <w:gridSpan w:val="3"/>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54"/>
        </w:trPr>
        <w:tc>
          <w:tcPr>
            <w:tcW w:w="8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r>
      <w:tr>
        <w:trPr>
          <w:trHeight w:val="210"/>
        </w:trPr>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50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Form Director of and Officer Indemnification Agreement.</w:t>
              </w:r>
            </w:hyperlink>
          </w:p>
        </w:tc>
        <w:tc>
          <w:tcPr>
            <w:tcW w:w="120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07/28/2021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54"/>
        </w:trPr>
        <w:tc>
          <w:tcPr>
            <w:tcW w:w="8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r>
      <w:tr>
        <w:trPr>
          <w:trHeight w:val="209"/>
        </w:trPr>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50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GeneDx Holdings Corp. Amended and Restated 2021 Equity Incentive Plan.</w:t>
              </w:r>
            </w:hyperlink>
          </w:p>
        </w:tc>
        <w:tc>
          <w:tcPr>
            <w:tcW w:w="120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04/17/2023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54"/>
        </w:trPr>
        <w:tc>
          <w:tcPr>
            <w:tcW w:w="8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r>
      <w:tr>
        <w:trPr>
          <w:trHeight w:val="176"/>
        </w:trPr>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500" w:type="dxa"/>
            <w:vAlign w:val="bottom"/>
            <w:gridSpan w:val="35"/>
            <w:shd w:val="clear" w:color="auto" w:fill="CCEEFF"/>
          </w:tcPr>
          <w:p>
            <w:pPr>
              <w:spacing w:after="0" w:line="175"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Form of Stock Option Agreement under the 2021 Equity Incentive Plan.</w:t>
              </w:r>
            </w:hyperlink>
          </w:p>
        </w:tc>
        <w:tc>
          <w:tcPr>
            <w:tcW w:w="120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ind w:left="200"/>
              <w:spacing w:after="0" w:line="175" w:lineRule="exact"/>
              <w:rPr>
                <w:sz w:val="20"/>
                <w:szCs w:val="20"/>
                <w:color w:val="auto"/>
              </w:rPr>
            </w:pPr>
            <w:r>
              <w:rPr>
                <w:rFonts w:ascii="Times New Roman" w:cs="Times New Roman" w:eastAsia="Times New Roman" w:hAnsi="Times New Roman"/>
                <w:sz w:val="16"/>
                <w:szCs w:val="16"/>
                <w:color w:val="auto"/>
              </w:rPr>
              <w:t>07/28/2021</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34"/>
        </w:trPr>
        <w:tc>
          <w:tcPr>
            <w:tcW w:w="8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9"/>
              </w:rPr>
              <w:t>10.5*</w:t>
            </w:r>
          </w:p>
        </w:tc>
        <w:tc>
          <w:tcPr>
            <w:tcW w:w="5640" w:type="dxa"/>
            <w:vAlign w:val="bottom"/>
            <w:gridSpan w:val="46"/>
            <w:shd w:val="clear" w:color="auto" w:fill="CCEEFF"/>
          </w:tcPr>
          <w:p>
            <w:pPr>
              <w:spacing w:after="0"/>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Form of RSU Agreement under the 2021 Equity Incentive Plan.</w:t>
              </w:r>
            </w:hyperlink>
          </w:p>
        </w:tc>
        <w:tc>
          <w:tcPr>
            <w:tcW w:w="102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2460" w:type="dxa"/>
            <w:vAlign w:val="bottom"/>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rPr>
              <w:t>07/28/2021</w:t>
            </w:r>
          </w:p>
        </w:tc>
      </w:tr>
      <w:tr>
        <w:trPr>
          <w:trHeight w:val="54"/>
        </w:trPr>
        <w:tc>
          <w:tcPr>
            <w:tcW w:w="100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209"/>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10.6*</w:t>
            </w:r>
          </w:p>
        </w:tc>
        <w:tc>
          <w:tcPr>
            <w:tcW w:w="5640" w:type="dxa"/>
            <w:vAlign w:val="bottom"/>
            <w:gridSpan w:val="46"/>
            <w:shd w:val="clear" w:color="auto" w:fill="CCEEFF"/>
          </w:tcPr>
          <w:p>
            <w:pPr>
              <w:spacing w:after="0" w:line="175"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Form of Earn-Out RSU Agreement.</w:t>
              </w:r>
            </w:hyperlink>
          </w:p>
        </w:tc>
        <w:tc>
          <w:tcPr>
            <w:tcW w:w="1020" w:type="dxa"/>
            <w:vAlign w:val="bottom"/>
            <w:shd w:val="clear" w:color="auto" w:fill="CCEEFF"/>
          </w:tcPr>
          <w:p>
            <w:pPr>
              <w:jc w:val="center"/>
              <w:ind w:right="11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10.8</w:t>
            </w:r>
          </w:p>
        </w:tc>
        <w:tc>
          <w:tcPr>
            <w:tcW w:w="2460" w:type="dxa"/>
            <w:vAlign w:val="bottom"/>
            <w:shd w:val="clear" w:color="auto" w:fill="CCEEFF"/>
          </w:tcPr>
          <w:p>
            <w:pPr>
              <w:jc w:val="right"/>
              <w:ind w:right="1319"/>
              <w:spacing w:after="0" w:line="175" w:lineRule="exact"/>
              <w:rPr>
                <w:sz w:val="20"/>
                <w:szCs w:val="20"/>
                <w:color w:val="auto"/>
              </w:rPr>
            </w:pPr>
            <w:r>
              <w:rPr>
                <w:rFonts w:ascii="Times New Roman" w:cs="Times New Roman" w:eastAsia="Times New Roman" w:hAnsi="Times New Roman"/>
                <w:sz w:val="16"/>
                <w:szCs w:val="16"/>
                <w:color w:val="auto"/>
              </w:rPr>
              <w:t>07/28/2021</w:t>
            </w:r>
          </w:p>
        </w:tc>
      </w:tr>
      <w:tr>
        <w:trPr>
          <w:trHeight w:val="54"/>
        </w:trPr>
        <w:tc>
          <w:tcPr>
            <w:tcW w:w="100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210"/>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10.7*</w:t>
            </w:r>
          </w:p>
        </w:tc>
        <w:tc>
          <w:tcPr>
            <w:tcW w:w="5640" w:type="dxa"/>
            <w:vAlign w:val="bottom"/>
            <w:gridSpan w:val="46"/>
            <w:shd w:val="clear" w:color="auto" w:fill="CCEEFF"/>
          </w:tcPr>
          <w:p>
            <w:pPr>
              <w:spacing w:after="0" w:line="175"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2021 Employee Stock Purchase Plan.</w:t>
              </w:r>
            </w:hyperlink>
          </w:p>
        </w:tc>
        <w:tc>
          <w:tcPr>
            <w:tcW w:w="1020" w:type="dxa"/>
            <w:vAlign w:val="bottom"/>
            <w:shd w:val="clear" w:color="auto" w:fill="CCEEFF"/>
          </w:tcPr>
          <w:p>
            <w:pPr>
              <w:jc w:val="center"/>
              <w:ind w:right="11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10.9</w:t>
            </w:r>
          </w:p>
        </w:tc>
        <w:tc>
          <w:tcPr>
            <w:tcW w:w="2460" w:type="dxa"/>
            <w:vAlign w:val="bottom"/>
            <w:shd w:val="clear" w:color="auto" w:fill="CCEEFF"/>
          </w:tcPr>
          <w:p>
            <w:pPr>
              <w:jc w:val="right"/>
              <w:ind w:right="1319"/>
              <w:spacing w:after="0" w:line="175" w:lineRule="exact"/>
              <w:rPr>
                <w:sz w:val="20"/>
                <w:szCs w:val="20"/>
                <w:color w:val="auto"/>
              </w:rPr>
            </w:pPr>
            <w:r>
              <w:rPr>
                <w:rFonts w:ascii="Times New Roman" w:cs="Times New Roman" w:eastAsia="Times New Roman" w:hAnsi="Times New Roman"/>
                <w:sz w:val="16"/>
                <w:szCs w:val="16"/>
                <w:color w:val="auto"/>
              </w:rPr>
              <w:t>07/28/2021</w:t>
            </w:r>
          </w:p>
        </w:tc>
      </w:tr>
      <w:tr>
        <w:trPr>
          <w:trHeight w:val="54"/>
        </w:trPr>
        <w:tc>
          <w:tcPr>
            <w:tcW w:w="100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210"/>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10.8*</w:t>
            </w:r>
          </w:p>
        </w:tc>
        <w:tc>
          <w:tcPr>
            <w:tcW w:w="5640" w:type="dxa"/>
            <w:vAlign w:val="bottom"/>
            <w:gridSpan w:val="46"/>
            <w:shd w:val="clear" w:color="auto" w:fill="CCEEFF"/>
          </w:tcPr>
          <w:p>
            <w:pPr>
              <w:spacing w:after="0" w:line="175"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GeneDx Holdings Corp. 2023 Equity Inducement Plan.</w:t>
              </w:r>
            </w:hyperlink>
          </w:p>
        </w:tc>
        <w:tc>
          <w:tcPr>
            <w:tcW w:w="1020" w:type="dxa"/>
            <w:vAlign w:val="bottom"/>
            <w:shd w:val="clear" w:color="auto" w:fill="CCEEFF"/>
          </w:tcPr>
          <w:p>
            <w:pPr>
              <w:jc w:val="center"/>
              <w:ind w:right="11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2460" w:type="dxa"/>
            <w:vAlign w:val="bottom"/>
            <w:shd w:val="clear" w:color="auto" w:fill="CCEEFF"/>
          </w:tcPr>
          <w:p>
            <w:pPr>
              <w:jc w:val="right"/>
              <w:ind w:right="1319"/>
              <w:spacing w:after="0" w:line="175" w:lineRule="exact"/>
              <w:rPr>
                <w:sz w:val="20"/>
                <w:szCs w:val="20"/>
                <w:color w:val="auto"/>
              </w:rPr>
            </w:pPr>
            <w:r>
              <w:rPr>
                <w:rFonts w:ascii="Times New Roman" w:cs="Times New Roman" w:eastAsia="Times New Roman" w:hAnsi="Times New Roman"/>
                <w:sz w:val="16"/>
                <w:szCs w:val="16"/>
                <w:color w:val="auto"/>
              </w:rPr>
              <w:t>07/24/2023</w:t>
            </w:r>
          </w:p>
        </w:tc>
      </w:tr>
      <w:tr>
        <w:trPr>
          <w:trHeight w:val="54"/>
        </w:trPr>
        <w:tc>
          <w:tcPr>
            <w:tcW w:w="100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209"/>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10.9*</w:t>
            </w:r>
          </w:p>
        </w:tc>
        <w:tc>
          <w:tcPr>
            <w:tcW w:w="5640" w:type="dxa"/>
            <w:vAlign w:val="bottom"/>
            <w:gridSpan w:val="46"/>
            <w:shd w:val="clear" w:color="auto" w:fill="CCEEFF"/>
          </w:tcPr>
          <w:p>
            <w:pPr>
              <w:spacing w:after="0" w:line="175"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Form of Option Award Agreement under the 2023 Equity Inducement Plan.</w:t>
              </w:r>
            </w:hyperlink>
          </w:p>
        </w:tc>
        <w:tc>
          <w:tcPr>
            <w:tcW w:w="1020" w:type="dxa"/>
            <w:vAlign w:val="bottom"/>
            <w:shd w:val="clear" w:color="auto" w:fill="CCEEFF"/>
          </w:tcPr>
          <w:p>
            <w:pPr>
              <w:jc w:val="center"/>
              <w:ind w:right="11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2460" w:type="dxa"/>
            <w:vAlign w:val="bottom"/>
            <w:shd w:val="clear" w:color="auto" w:fill="CCEEFF"/>
          </w:tcPr>
          <w:p>
            <w:pPr>
              <w:jc w:val="right"/>
              <w:ind w:right="1319"/>
              <w:spacing w:after="0" w:line="175" w:lineRule="exact"/>
              <w:rPr>
                <w:sz w:val="20"/>
                <w:szCs w:val="20"/>
                <w:color w:val="auto"/>
              </w:rPr>
            </w:pPr>
            <w:r>
              <w:rPr>
                <w:rFonts w:ascii="Times New Roman" w:cs="Times New Roman" w:eastAsia="Times New Roman" w:hAnsi="Times New Roman"/>
                <w:sz w:val="16"/>
                <w:szCs w:val="16"/>
                <w:color w:val="auto"/>
              </w:rPr>
              <w:t>07/24/2023</w:t>
            </w:r>
          </w:p>
        </w:tc>
      </w:tr>
      <w:tr>
        <w:trPr>
          <w:trHeight w:val="54"/>
        </w:trPr>
        <w:tc>
          <w:tcPr>
            <w:tcW w:w="100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10.10*</w:t>
            </w:r>
          </w:p>
        </w:tc>
        <w:tc>
          <w:tcPr>
            <w:tcW w:w="5640" w:type="dxa"/>
            <w:vAlign w:val="bottom"/>
            <w:gridSpan w:val="46"/>
            <w:shd w:val="clear" w:color="auto" w:fill="CCEEFF"/>
          </w:tcPr>
          <w:p>
            <w:pPr>
              <w:spacing w:after="0" w:line="175"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Form of Restricted Stock Unit Award Agreement under the 2023 Equity</w:t>
              </w:r>
            </w:hyperlink>
          </w:p>
        </w:tc>
        <w:tc>
          <w:tcPr>
            <w:tcW w:w="1020" w:type="dxa"/>
            <w:vAlign w:val="bottom"/>
            <w:shd w:val="clear" w:color="auto" w:fill="CCEEFF"/>
          </w:tcPr>
          <w:p>
            <w:pPr>
              <w:jc w:val="center"/>
              <w:ind w:right="11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w:t>
            </w:r>
          </w:p>
        </w:tc>
        <w:tc>
          <w:tcPr>
            <w:tcW w:w="2460" w:type="dxa"/>
            <w:vAlign w:val="bottom"/>
            <w:shd w:val="clear" w:color="auto" w:fill="CCEEFF"/>
          </w:tcPr>
          <w:p>
            <w:pPr>
              <w:jc w:val="right"/>
              <w:ind w:right="1319"/>
              <w:spacing w:after="0" w:line="175" w:lineRule="exact"/>
              <w:rPr>
                <w:sz w:val="20"/>
                <w:szCs w:val="20"/>
                <w:color w:val="auto"/>
              </w:rPr>
            </w:pPr>
            <w:r>
              <w:rPr>
                <w:rFonts w:ascii="Times New Roman" w:cs="Times New Roman" w:eastAsia="Times New Roman" w:hAnsi="Times New Roman"/>
                <w:sz w:val="16"/>
                <w:szCs w:val="16"/>
                <w:color w:val="auto"/>
              </w:rPr>
              <w:t>07/24/2023</w:t>
            </w: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4680" w:type="dxa"/>
            <w:vAlign w:val="bottom"/>
            <w:tcBorders>
              <w:top w:val="single" w:sz="8" w:color="0000FF"/>
            </w:tcBorders>
            <w:gridSpan w:val="22"/>
            <w:shd w:val="clear" w:color="auto" w:fill="CCEEFF"/>
          </w:tcPr>
          <w:p>
            <w:pPr>
              <w:spacing w:after="0" w:line="155"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Inducement Plan.</w:t>
              </w:r>
            </w:hyperlink>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10.11</w:t>
            </w:r>
          </w:p>
        </w:tc>
        <w:tc>
          <w:tcPr>
            <w:tcW w:w="5640" w:type="dxa"/>
            <w:vAlign w:val="bottom"/>
            <w:gridSpan w:val="46"/>
            <w:shd w:val="clear" w:color="auto" w:fill="CCEEFF"/>
          </w:tcPr>
          <w:p>
            <w:pPr>
              <w:spacing w:after="0" w:line="175"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Sub-Sublease, dated as of June 6, 2017, by and between Icahn School of Medicine</w:t>
              </w:r>
            </w:hyperlink>
          </w:p>
        </w:tc>
        <w:tc>
          <w:tcPr>
            <w:tcW w:w="1020" w:type="dxa"/>
            <w:vAlign w:val="bottom"/>
            <w:shd w:val="clear" w:color="auto" w:fill="CCEEFF"/>
          </w:tcPr>
          <w:p>
            <w:pPr>
              <w:jc w:val="center"/>
              <w:ind w:right="11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10.17</w:t>
            </w:r>
          </w:p>
        </w:tc>
        <w:tc>
          <w:tcPr>
            <w:tcW w:w="2460" w:type="dxa"/>
            <w:vAlign w:val="bottom"/>
            <w:shd w:val="clear" w:color="auto" w:fill="CCEEFF"/>
          </w:tcPr>
          <w:p>
            <w:pPr>
              <w:jc w:val="right"/>
              <w:ind w:right="1319"/>
              <w:spacing w:after="0" w:line="175" w:lineRule="exact"/>
              <w:rPr>
                <w:sz w:val="20"/>
                <w:szCs w:val="20"/>
                <w:color w:val="auto"/>
              </w:rPr>
            </w:pPr>
            <w:r>
              <w:rPr>
                <w:rFonts w:ascii="Times New Roman" w:cs="Times New Roman" w:eastAsia="Times New Roman" w:hAnsi="Times New Roman"/>
                <w:sz w:val="16"/>
                <w:szCs w:val="16"/>
                <w:color w:val="auto"/>
              </w:rPr>
              <w:t>07/28/2021</w:t>
            </w: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5340" w:type="dxa"/>
            <w:vAlign w:val="bottom"/>
            <w:tcBorders>
              <w:top w:val="single" w:sz="8" w:color="0000FF"/>
            </w:tcBorders>
            <w:gridSpan w:val="42"/>
            <w:shd w:val="clear" w:color="auto" w:fill="CCEEFF"/>
          </w:tcPr>
          <w:p>
            <w:pPr>
              <w:spacing w:after="0" w:line="155"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at Mount Sinai and the Company, as amended July 31, 2019.</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10.12</w:t>
            </w:r>
          </w:p>
        </w:tc>
        <w:tc>
          <w:tcPr>
            <w:tcW w:w="5640" w:type="dxa"/>
            <w:vAlign w:val="bottom"/>
            <w:gridSpan w:val="46"/>
            <w:shd w:val="clear" w:color="auto" w:fill="CCEEFF"/>
          </w:tcPr>
          <w:p>
            <w:pPr>
              <w:spacing w:after="0" w:line="175"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Sublease Agreement, dated as of November 8, 2019, by and between Marriott</w:t>
              </w:r>
            </w:hyperlink>
          </w:p>
        </w:tc>
        <w:tc>
          <w:tcPr>
            <w:tcW w:w="1020" w:type="dxa"/>
            <w:vAlign w:val="bottom"/>
            <w:shd w:val="clear" w:color="auto" w:fill="CCEEFF"/>
          </w:tcPr>
          <w:p>
            <w:pPr>
              <w:jc w:val="center"/>
              <w:ind w:right="11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10.18</w:t>
            </w:r>
          </w:p>
        </w:tc>
        <w:tc>
          <w:tcPr>
            <w:tcW w:w="2460" w:type="dxa"/>
            <w:vAlign w:val="bottom"/>
            <w:shd w:val="clear" w:color="auto" w:fill="CCEEFF"/>
          </w:tcPr>
          <w:p>
            <w:pPr>
              <w:jc w:val="right"/>
              <w:ind w:right="1319"/>
              <w:spacing w:after="0" w:line="175" w:lineRule="exact"/>
              <w:rPr>
                <w:sz w:val="20"/>
                <w:szCs w:val="20"/>
                <w:color w:val="auto"/>
              </w:rPr>
            </w:pPr>
            <w:r>
              <w:rPr>
                <w:rFonts w:ascii="Times New Roman" w:cs="Times New Roman" w:eastAsia="Times New Roman" w:hAnsi="Times New Roman"/>
                <w:sz w:val="16"/>
                <w:szCs w:val="16"/>
                <w:color w:val="auto"/>
              </w:rPr>
              <w:t>07/28/2021</w:t>
            </w: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5040" w:type="dxa"/>
            <w:vAlign w:val="bottom"/>
            <w:tcBorders>
              <w:top w:val="single" w:sz="8" w:color="0000FF"/>
            </w:tcBorders>
            <w:gridSpan w:val="30"/>
            <w:shd w:val="clear" w:color="auto" w:fill="CCEEFF"/>
          </w:tcPr>
          <w:p>
            <w:pPr>
              <w:spacing w:after="0" w:line="155"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International, Inc. and the Company.</w:t>
              </w:r>
            </w:hyperlink>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10.13</w:t>
            </w:r>
          </w:p>
        </w:tc>
        <w:tc>
          <w:tcPr>
            <w:tcW w:w="5640" w:type="dxa"/>
            <w:vAlign w:val="bottom"/>
            <w:gridSpan w:val="46"/>
            <w:shd w:val="clear" w:color="auto" w:fill="CCEEFF"/>
          </w:tcPr>
          <w:p>
            <w:pPr>
              <w:spacing w:after="0" w:line="175"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Sublease, dated as of June 1, 2017, by and between Icahn School of Medicine at</w:t>
              </w:r>
            </w:hyperlink>
          </w:p>
        </w:tc>
        <w:tc>
          <w:tcPr>
            <w:tcW w:w="1020" w:type="dxa"/>
            <w:vAlign w:val="bottom"/>
            <w:shd w:val="clear" w:color="auto" w:fill="CCEEFF"/>
          </w:tcPr>
          <w:p>
            <w:pPr>
              <w:jc w:val="center"/>
              <w:ind w:right="11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10.19</w:t>
            </w:r>
          </w:p>
        </w:tc>
        <w:tc>
          <w:tcPr>
            <w:tcW w:w="2460" w:type="dxa"/>
            <w:vAlign w:val="bottom"/>
            <w:shd w:val="clear" w:color="auto" w:fill="CCEEFF"/>
          </w:tcPr>
          <w:p>
            <w:pPr>
              <w:jc w:val="right"/>
              <w:ind w:right="1319"/>
              <w:spacing w:after="0" w:line="175" w:lineRule="exact"/>
              <w:rPr>
                <w:sz w:val="20"/>
                <w:szCs w:val="20"/>
                <w:color w:val="auto"/>
              </w:rPr>
            </w:pPr>
            <w:r>
              <w:rPr>
                <w:rFonts w:ascii="Times New Roman" w:cs="Times New Roman" w:eastAsia="Times New Roman" w:hAnsi="Times New Roman"/>
                <w:sz w:val="16"/>
                <w:szCs w:val="16"/>
                <w:color w:val="auto"/>
              </w:rPr>
              <w:t>07/28/2021</w:t>
            </w: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5200" w:type="dxa"/>
            <w:vAlign w:val="bottom"/>
            <w:tcBorders>
              <w:top w:val="single" w:sz="8" w:color="0000FF"/>
            </w:tcBorders>
            <w:gridSpan w:val="36"/>
            <w:shd w:val="clear" w:color="auto" w:fill="CCEEFF"/>
          </w:tcPr>
          <w:p>
            <w:pPr>
              <w:spacing w:after="0" w:line="155"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Mount Sinai and the Company, as amended December 22, 2017.</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10.14</w:t>
            </w:r>
          </w:p>
        </w:tc>
        <w:tc>
          <w:tcPr>
            <w:tcW w:w="5640" w:type="dxa"/>
            <w:vAlign w:val="bottom"/>
            <w:gridSpan w:val="46"/>
            <w:shd w:val="clear" w:color="auto" w:fill="CCEEFF"/>
          </w:tcPr>
          <w:p>
            <w:pPr>
              <w:spacing w:after="0" w:line="175"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Sublease, dated as of April 23, 2019, by and between Icahn School of Medicine at</w:t>
              </w:r>
            </w:hyperlink>
          </w:p>
        </w:tc>
        <w:tc>
          <w:tcPr>
            <w:tcW w:w="1020" w:type="dxa"/>
            <w:vAlign w:val="bottom"/>
            <w:shd w:val="clear" w:color="auto" w:fill="CCEEFF"/>
          </w:tcPr>
          <w:p>
            <w:pPr>
              <w:jc w:val="center"/>
              <w:ind w:right="11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10.20</w:t>
            </w:r>
          </w:p>
        </w:tc>
        <w:tc>
          <w:tcPr>
            <w:tcW w:w="2460" w:type="dxa"/>
            <w:vAlign w:val="bottom"/>
            <w:shd w:val="clear" w:color="auto" w:fill="CCEEFF"/>
          </w:tcPr>
          <w:p>
            <w:pPr>
              <w:jc w:val="right"/>
              <w:ind w:right="1319"/>
              <w:spacing w:after="0" w:line="175" w:lineRule="exact"/>
              <w:rPr>
                <w:sz w:val="20"/>
                <w:szCs w:val="20"/>
                <w:color w:val="auto"/>
              </w:rPr>
            </w:pPr>
            <w:r>
              <w:rPr>
                <w:rFonts w:ascii="Times New Roman" w:cs="Times New Roman" w:eastAsia="Times New Roman" w:hAnsi="Times New Roman"/>
                <w:sz w:val="16"/>
                <w:szCs w:val="16"/>
                <w:color w:val="auto"/>
              </w:rPr>
              <w:t>07/28/2021</w:t>
            </w: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5320" w:type="dxa"/>
            <w:vAlign w:val="bottom"/>
            <w:tcBorders>
              <w:top w:val="single" w:sz="8" w:color="0000FF"/>
            </w:tcBorders>
            <w:gridSpan w:val="41"/>
            <w:shd w:val="clear" w:color="auto" w:fill="CCEEFF"/>
          </w:tcPr>
          <w:p>
            <w:pPr>
              <w:spacing w:after="0" w:line="155"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Mount Sinai and the Company.</w:t>
              </w:r>
            </w:hyperlink>
          </w:p>
        </w:tc>
        <w:tc>
          <w:tcPr>
            <w:tcW w:w="4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10.15</w:t>
            </w:r>
          </w:p>
        </w:tc>
        <w:tc>
          <w:tcPr>
            <w:tcW w:w="5640" w:type="dxa"/>
            <w:vAlign w:val="bottom"/>
            <w:gridSpan w:val="46"/>
            <w:shd w:val="clear" w:color="auto" w:fill="CCEEFF"/>
          </w:tcPr>
          <w:p>
            <w:pPr>
              <w:spacing w:after="0" w:line="175"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Lease Agreement, dated as of January 31, 2020, by and between 1 Commercial</w:t>
              </w:r>
            </w:hyperlink>
          </w:p>
        </w:tc>
        <w:tc>
          <w:tcPr>
            <w:tcW w:w="1020" w:type="dxa"/>
            <w:vAlign w:val="bottom"/>
            <w:shd w:val="clear" w:color="auto" w:fill="CCEEFF"/>
          </w:tcPr>
          <w:p>
            <w:pPr>
              <w:jc w:val="center"/>
              <w:ind w:right="11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10.21</w:t>
            </w:r>
          </w:p>
        </w:tc>
        <w:tc>
          <w:tcPr>
            <w:tcW w:w="2460" w:type="dxa"/>
            <w:vAlign w:val="bottom"/>
            <w:shd w:val="clear" w:color="auto" w:fill="CCEEFF"/>
          </w:tcPr>
          <w:p>
            <w:pPr>
              <w:jc w:val="right"/>
              <w:ind w:right="1319"/>
              <w:spacing w:after="0" w:line="175" w:lineRule="exact"/>
              <w:rPr>
                <w:sz w:val="20"/>
                <w:szCs w:val="20"/>
                <w:color w:val="auto"/>
              </w:rPr>
            </w:pPr>
            <w:r>
              <w:rPr>
                <w:rFonts w:ascii="Times New Roman" w:cs="Times New Roman" w:eastAsia="Times New Roman" w:hAnsi="Times New Roman"/>
                <w:sz w:val="16"/>
                <w:szCs w:val="16"/>
                <w:color w:val="auto"/>
              </w:rPr>
              <w:t>07/28/2021</w:t>
            </w: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5140" w:type="dxa"/>
            <w:vAlign w:val="bottom"/>
            <w:tcBorders>
              <w:top w:val="single" w:sz="8" w:color="0000FF"/>
            </w:tcBorders>
            <w:gridSpan w:val="33"/>
            <w:shd w:val="clear" w:color="auto" w:fill="CCEEFF"/>
          </w:tcPr>
          <w:p>
            <w:pPr>
              <w:spacing w:after="0" w:line="155"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Street Associates, LLC and the Company.</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10.16#</w:t>
            </w:r>
          </w:p>
        </w:tc>
        <w:tc>
          <w:tcPr>
            <w:tcW w:w="5640" w:type="dxa"/>
            <w:vAlign w:val="bottom"/>
            <w:gridSpan w:val="46"/>
            <w:shd w:val="clear" w:color="auto" w:fill="CCEEFF"/>
          </w:tcPr>
          <w:p>
            <w:pPr>
              <w:spacing w:after="0" w:line="175"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Master Services Agreement, dated as of April 2, 2018, by and among the</w:t>
              </w:r>
            </w:hyperlink>
          </w:p>
        </w:tc>
        <w:tc>
          <w:tcPr>
            <w:tcW w:w="1020" w:type="dxa"/>
            <w:vAlign w:val="bottom"/>
            <w:shd w:val="clear" w:color="auto" w:fill="CCEEFF"/>
          </w:tcPr>
          <w:p>
            <w:pPr>
              <w:jc w:val="center"/>
              <w:ind w:right="11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10.22</w:t>
            </w:r>
          </w:p>
        </w:tc>
        <w:tc>
          <w:tcPr>
            <w:tcW w:w="2460" w:type="dxa"/>
            <w:vAlign w:val="bottom"/>
            <w:shd w:val="clear" w:color="auto" w:fill="CCEEFF"/>
          </w:tcPr>
          <w:p>
            <w:pPr>
              <w:jc w:val="right"/>
              <w:ind w:right="1319"/>
              <w:spacing w:after="0" w:line="175" w:lineRule="exact"/>
              <w:rPr>
                <w:sz w:val="20"/>
                <w:szCs w:val="20"/>
                <w:color w:val="auto"/>
              </w:rPr>
            </w:pPr>
            <w:r>
              <w:rPr>
                <w:rFonts w:ascii="Times New Roman" w:cs="Times New Roman" w:eastAsia="Times New Roman" w:hAnsi="Times New Roman"/>
                <w:sz w:val="16"/>
                <w:szCs w:val="16"/>
                <w:color w:val="auto"/>
              </w:rPr>
              <w:t>07/28/2021</w:t>
            </w:r>
          </w:p>
        </w:tc>
      </w:tr>
      <w:tr>
        <w:trPr>
          <w:trHeight w:val="156"/>
        </w:trPr>
        <w:tc>
          <w:tcPr>
            <w:tcW w:w="1000" w:type="dxa"/>
            <w:vAlign w:val="bottom"/>
            <w:tcBorders>
              <w:top w:val="single" w:sz="8" w:color="CCEEFF"/>
            </w:tcBorders>
            <w:shd w:val="clear" w:color="auto" w:fill="CCEEFF"/>
          </w:tcPr>
          <w:p>
            <w:pPr>
              <w:spacing w:after="0"/>
              <w:rPr>
                <w:sz w:val="13"/>
                <w:szCs w:val="13"/>
                <w:color w:val="auto"/>
              </w:rPr>
            </w:pPr>
          </w:p>
        </w:tc>
        <w:tc>
          <w:tcPr>
            <w:tcW w:w="4720" w:type="dxa"/>
            <w:vAlign w:val="bottom"/>
            <w:tcBorders>
              <w:top w:val="single" w:sz="8" w:color="0000FF"/>
            </w:tcBorders>
            <w:gridSpan w:val="23"/>
            <w:shd w:val="clear" w:color="auto" w:fill="CCEEFF"/>
          </w:tcPr>
          <w:p>
            <w:pPr>
              <w:spacing w:after="0" w:line="155"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Company, Icahn School of Medicine at Mount Sinai, The Mount Sinai</w:t>
              </w:r>
            </w:hyperlink>
          </w:p>
        </w:tc>
        <w:tc>
          <w:tcPr>
            <w:tcW w:w="920" w:type="dxa"/>
            <w:vAlign w:val="bottom"/>
            <w:tcBorders>
              <w:top w:val="single" w:sz="8" w:color="CCEEFF"/>
            </w:tcBorders>
            <w:gridSpan w:val="23"/>
            <w:shd w:val="clear" w:color="auto" w:fill="CCEEFF"/>
          </w:tcPr>
          <w:p>
            <w:pPr>
              <w:jc w:val="center"/>
              <w:ind w:right="460"/>
              <w:spacing w:after="0" w:line="155" w:lineRule="exact"/>
              <w:rPr>
                <w:rFonts w:ascii="Times New Roman" w:cs="Times New Roman" w:eastAsia="Times New Roman" w:hAnsi="Times New Roman"/>
                <w:sz w:val="16"/>
                <w:szCs w:val="16"/>
                <w:color w:val="0000FF"/>
                <w:w w:val="78"/>
              </w:rPr>
            </w:pPr>
            <w:hyperlink r:id="rId162">
              <w:r>
                <w:rPr>
                  <w:rFonts w:ascii="Times New Roman" w:cs="Times New Roman" w:eastAsia="Times New Roman" w:hAnsi="Times New Roman"/>
                  <w:sz w:val="16"/>
                  <w:szCs w:val="16"/>
                  <w:color w:val="0000FF"/>
                  <w:w w:val="78"/>
                </w:rPr>
                <w:t>Hospital,</w:t>
              </w:r>
            </w:hyperlink>
          </w:p>
        </w:tc>
        <w:tc>
          <w:tcPr>
            <w:tcW w:w="10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2460" w:type="dxa"/>
            <w:vAlign w:val="bottom"/>
            <w:tcBorders>
              <w:top w:val="single" w:sz="8" w:color="CCEEFF"/>
            </w:tcBorders>
            <w:shd w:val="clear" w:color="auto" w:fill="CCEEFF"/>
          </w:tcPr>
          <w:p>
            <w:pPr>
              <w:spacing w:after="0"/>
              <w:rPr>
                <w:sz w:val="13"/>
                <w:szCs w:val="13"/>
                <w:color w:val="auto"/>
              </w:rPr>
            </w:pP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5180" w:type="dxa"/>
            <w:vAlign w:val="bottom"/>
            <w:tcBorders>
              <w:top w:val="single" w:sz="8" w:color="0000FF"/>
            </w:tcBorders>
            <w:gridSpan w:val="35"/>
            <w:shd w:val="clear" w:color="auto" w:fill="CCEEFF"/>
          </w:tcPr>
          <w:p>
            <w:pPr>
              <w:spacing w:after="0" w:line="169"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and the parties thereto, as amended July 31, 2019.</w:t>
              </w:r>
            </w:hyperlink>
          </w:p>
        </w:tc>
        <w:tc>
          <w:tcPr>
            <w:tcW w:w="4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10.17#</w:t>
            </w:r>
          </w:p>
        </w:tc>
        <w:tc>
          <w:tcPr>
            <w:tcW w:w="5640" w:type="dxa"/>
            <w:vAlign w:val="bottom"/>
            <w:gridSpan w:val="46"/>
            <w:shd w:val="clear" w:color="auto" w:fill="CCEEFF"/>
          </w:tcPr>
          <w:p>
            <w:pPr>
              <w:spacing w:after="0" w:line="175"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Master Services Agreement, dated as of May 10, 2018, by and between the</w:t>
              </w:r>
            </w:hyperlink>
          </w:p>
        </w:tc>
        <w:tc>
          <w:tcPr>
            <w:tcW w:w="1020" w:type="dxa"/>
            <w:vAlign w:val="bottom"/>
            <w:shd w:val="clear" w:color="auto" w:fill="CCEEFF"/>
          </w:tcPr>
          <w:p>
            <w:pPr>
              <w:jc w:val="center"/>
              <w:ind w:right="11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10.23</w:t>
            </w:r>
          </w:p>
        </w:tc>
        <w:tc>
          <w:tcPr>
            <w:tcW w:w="2460" w:type="dxa"/>
            <w:vAlign w:val="bottom"/>
            <w:shd w:val="clear" w:color="auto" w:fill="CCEEFF"/>
          </w:tcPr>
          <w:p>
            <w:pPr>
              <w:jc w:val="right"/>
              <w:ind w:right="1319"/>
              <w:spacing w:after="0" w:line="175" w:lineRule="exact"/>
              <w:rPr>
                <w:sz w:val="20"/>
                <w:szCs w:val="20"/>
                <w:color w:val="auto"/>
              </w:rPr>
            </w:pPr>
            <w:r>
              <w:rPr>
                <w:rFonts w:ascii="Times New Roman" w:cs="Times New Roman" w:eastAsia="Times New Roman" w:hAnsi="Times New Roman"/>
                <w:sz w:val="16"/>
                <w:szCs w:val="16"/>
                <w:color w:val="auto"/>
              </w:rPr>
              <w:t>07/28/2021</w:t>
            </w:r>
          </w:p>
        </w:tc>
      </w:tr>
      <w:tr>
        <w:trPr>
          <w:trHeight w:val="156"/>
        </w:trPr>
        <w:tc>
          <w:tcPr>
            <w:tcW w:w="1000" w:type="dxa"/>
            <w:vAlign w:val="bottom"/>
            <w:tcBorders>
              <w:top w:val="single" w:sz="8" w:color="CCEEFF"/>
            </w:tcBorders>
            <w:shd w:val="clear" w:color="auto" w:fill="CCEEFF"/>
          </w:tcPr>
          <w:p>
            <w:pPr>
              <w:spacing w:after="0"/>
              <w:rPr>
                <w:sz w:val="13"/>
                <w:szCs w:val="13"/>
                <w:color w:val="auto"/>
              </w:rPr>
            </w:pPr>
          </w:p>
        </w:tc>
        <w:tc>
          <w:tcPr>
            <w:tcW w:w="4860" w:type="dxa"/>
            <w:vAlign w:val="bottom"/>
            <w:tcBorders>
              <w:top w:val="single" w:sz="8" w:color="0000FF"/>
            </w:tcBorders>
            <w:gridSpan w:val="25"/>
            <w:shd w:val="clear" w:color="auto" w:fill="CCEEFF"/>
          </w:tcPr>
          <w:p>
            <w:pPr>
              <w:spacing w:after="0" w:line="155"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Company and Icahn School of Medicine at Mount Sinai, as amended July</w:t>
              </w:r>
            </w:hyperlink>
          </w:p>
        </w:tc>
        <w:tc>
          <w:tcPr>
            <w:tcW w:w="200" w:type="dxa"/>
            <w:vAlign w:val="bottom"/>
            <w:tcBorders>
              <w:top w:val="single" w:sz="8" w:color="CCEEFF"/>
            </w:tcBorders>
            <w:gridSpan w:val="6"/>
            <w:shd w:val="clear" w:color="auto" w:fill="CCEEFF"/>
          </w:tcPr>
          <w:p>
            <w:pPr>
              <w:jc w:val="center"/>
              <w:ind w:right="20"/>
              <w:spacing w:after="0" w:line="156" w:lineRule="exact"/>
              <w:rPr>
                <w:rFonts w:ascii="Times New Roman" w:cs="Times New Roman" w:eastAsia="Times New Roman" w:hAnsi="Times New Roman"/>
                <w:sz w:val="15"/>
                <w:szCs w:val="15"/>
                <w:color w:val="0000FF"/>
                <w:w w:val="74"/>
              </w:rPr>
            </w:pPr>
            <w:hyperlink r:id="rId163">
              <w:r>
                <w:rPr>
                  <w:rFonts w:ascii="Times New Roman" w:cs="Times New Roman" w:eastAsia="Times New Roman" w:hAnsi="Times New Roman"/>
                  <w:sz w:val="15"/>
                  <w:szCs w:val="15"/>
                  <w:color w:val="0000FF"/>
                  <w:w w:val="74"/>
                </w:rPr>
                <w:t>31,</w:t>
              </w:r>
            </w:hyperlink>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2460" w:type="dxa"/>
            <w:vAlign w:val="bottom"/>
            <w:tcBorders>
              <w:top w:val="single" w:sz="8" w:color="CCEEFF"/>
            </w:tcBorders>
            <w:shd w:val="clear" w:color="auto" w:fill="CCEEFF"/>
          </w:tcPr>
          <w:p>
            <w:pPr>
              <w:spacing w:after="0"/>
              <w:rPr>
                <w:sz w:val="13"/>
                <w:szCs w:val="13"/>
                <w:color w:val="auto"/>
              </w:rPr>
            </w:pPr>
          </w:p>
        </w:tc>
      </w:tr>
      <w:tr>
        <w:trPr>
          <w:trHeight w:val="208"/>
        </w:trPr>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0000FF"/>
              <w:bottom w:val="single" w:sz="8" w:color="0000FF"/>
            </w:tcBorders>
            <w:shd w:val="clear" w:color="auto" w:fill="CCEEFF"/>
          </w:tcPr>
          <w:p>
            <w:pPr>
              <w:spacing w:after="0" w:line="169" w:lineRule="exact"/>
              <w:rPr>
                <w:rFonts w:ascii="Times New Roman" w:cs="Times New Roman" w:eastAsia="Times New Roman" w:hAnsi="Times New Roman"/>
                <w:sz w:val="16"/>
                <w:szCs w:val="16"/>
                <w:color w:val="0000FF"/>
                <w:w w:val="94"/>
              </w:rPr>
            </w:pPr>
            <w:hyperlink r:id="rId163">
              <w:r>
                <w:rPr>
                  <w:rFonts w:ascii="Times New Roman" w:cs="Times New Roman" w:eastAsia="Times New Roman" w:hAnsi="Times New Roman"/>
                  <w:sz w:val="16"/>
                  <w:szCs w:val="16"/>
                  <w:color w:val="0000FF"/>
                  <w:w w:val="94"/>
                </w:rPr>
                <w:t>2019.</w:t>
              </w:r>
            </w:hyperlink>
          </w:p>
        </w:tc>
        <w:tc>
          <w:tcPr>
            <w:tcW w:w="70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480" w:type="dxa"/>
            <w:vAlign w:val="bottom"/>
            <w:tcBorders>
              <w:top w:val="single" w:sz="8" w:color="0000FF"/>
              <w:bottom w:val="single" w:sz="8" w:color="CCEEFF"/>
            </w:tcBorders>
            <w:shd w:val="clear" w:color="auto" w:fill="CCEEFF"/>
          </w:tcPr>
          <w:p>
            <w:pPr>
              <w:spacing w:after="0"/>
              <w:rPr>
                <w:sz w:val="17"/>
                <w:szCs w:val="17"/>
                <w:color w:val="auto"/>
              </w:rPr>
            </w:pPr>
          </w:p>
        </w:tc>
        <w:tc>
          <w:tcPr>
            <w:tcW w:w="100" w:type="dxa"/>
            <w:vAlign w:val="bottom"/>
            <w:tcBorders>
              <w:top w:val="single" w:sz="8" w:color="0000FF"/>
              <w:bottom w:val="single" w:sz="8" w:color="CCEEFF"/>
            </w:tcBorders>
            <w:shd w:val="clear" w:color="auto" w:fill="CCEEFF"/>
          </w:tcPr>
          <w:p>
            <w:pPr>
              <w:spacing w:after="0"/>
              <w:rPr>
                <w:sz w:val="17"/>
                <w:szCs w:val="17"/>
                <w:color w:val="auto"/>
              </w:rPr>
            </w:pPr>
          </w:p>
        </w:tc>
        <w:tc>
          <w:tcPr>
            <w:tcW w:w="22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30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160" w:type="dxa"/>
            <w:vAlign w:val="bottom"/>
            <w:tcBorders>
              <w:top w:val="single" w:sz="8" w:color="0000FF"/>
              <w:bottom w:val="single" w:sz="8" w:color="CCEEFF"/>
            </w:tcBorders>
            <w:shd w:val="clear" w:color="auto" w:fill="CCEEFF"/>
          </w:tcPr>
          <w:p>
            <w:pPr>
              <w:spacing w:after="0"/>
              <w:rPr>
                <w:sz w:val="17"/>
                <w:szCs w:val="17"/>
                <w:color w:val="auto"/>
              </w:rPr>
            </w:pPr>
          </w:p>
        </w:tc>
        <w:tc>
          <w:tcPr>
            <w:tcW w:w="120" w:type="dxa"/>
            <w:vAlign w:val="bottom"/>
            <w:tcBorders>
              <w:top w:val="single" w:sz="8" w:color="0000FF"/>
              <w:bottom w:val="single" w:sz="8" w:color="CCEEFF"/>
            </w:tcBorders>
            <w:shd w:val="clear" w:color="auto" w:fill="CCEEFF"/>
          </w:tcPr>
          <w:p>
            <w:pPr>
              <w:spacing w:after="0"/>
              <w:rPr>
                <w:sz w:val="17"/>
                <w:szCs w:val="17"/>
                <w:color w:val="auto"/>
              </w:rPr>
            </w:pPr>
          </w:p>
        </w:tc>
        <w:tc>
          <w:tcPr>
            <w:tcW w:w="160" w:type="dxa"/>
            <w:vAlign w:val="bottom"/>
            <w:tcBorders>
              <w:top w:val="single" w:sz="8" w:color="0000FF"/>
              <w:bottom w:val="single" w:sz="8" w:color="CCEEFF"/>
            </w:tcBorders>
            <w:shd w:val="clear" w:color="auto" w:fill="CCEEFF"/>
          </w:tcPr>
          <w:p>
            <w:pPr>
              <w:spacing w:after="0"/>
              <w:rPr>
                <w:sz w:val="17"/>
                <w:szCs w:val="17"/>
                <w:color w:val="auto"/>
              </w:rPr>
            </w:pPr>
          </w:p>
        </w:tc>
        <w:tc>
          <w:tcPr>
            <w:tcW w:w="38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3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340" w:type="dxa"/>
            <w:vAlign w:val="bottom"/>
            <w:tcBorders>
              <w:top w:val="single" w:sz="8" w:color="0000FF"/>
              <w:bottom w:val="single" w:sz="8" w:color="CCEEFF"/>
            </w:tcBorders>
            <w:shd w:val="clear" w:color="auto" w:fill="CCEEFF"/>
          </w:tcPr>
          <w:p>
            <w:pPr>
              <w:spacing w:after="0"/>
              <w:rPr>
                <w:sz w:val="17"/>
                <w:szCs w:val="17"/>
                <w:color w:val="auto"/>
              </w:rPr>
            </w:pPr>
          </w:p>
        </w:tc>
        <w:tc>
          <w:tcPr>
            <w:tcW w:w="20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300" w:type="dxa"/>
            <w:vAlign w:val="bottom"/>
            <w:tcBorders>
              <w:top w:val="single" w:sz="8" w:color="0000FF"/>
              <w:bottom w:val="single" w:sz="8" w:color="CCEEFF"/>
            </w:tcBorders>
            <w:shd w:val="clear" w:color="auto" w:fill="CCEEFF"/>
          </w:tcPr>
          <w:p>
            <w:pPr>
              <w:spacing w:after="0"/>
              <w:rPr>
                <w:sz w:val="17"/>
                <w:szCs w:val="17"/>
                <w:color w:val="auto"/>
              </w:rPr>
            </w:pPr>
          </w:p>
        </w:tc>
        <w:tc>
          <w:tcPr>
            <w:tcW w:w="20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1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10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24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tcBorders>
              <w:bottom w:val="single" w:sz="8" w:color="CCEEFF"/>
            </w:tcBorders>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10.18#</w:t>
            </w:r>
          </w:p>
        </w:tc>
        <w:tc>
          <w:tcPr>
            <w:tcW w:w="5060" w:type="dxa"/>
            <w:vAlign w:val="bottom"/>
            <w:tcBorders>
              <w:bottom w:val="single" w:sz="8" w:color="0000FF"/>
            </w:tcBorders>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Data Structuring and Curation Agreement, dated as of August 1, 2019, by and</w:t>
              </w:r>
            </w:hyperlink>
          </w:p>
        </w:tc>
        <w:tc>
          <w:tcPr>
            <w:tcW w:w="580" w:type="dxa"/>
            <w:vAlign w:val="bottom"/>
            <w:tcBorders>
              <w:bottom w:val="single" w:sz="8" w:color="CCEEFF"/>
            </w:tcBorders>
            <w:gridSpan w:val="15"/>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center"/>
              <w:ind w:right="11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10.24</w:t>
            </w:r>
          </w:p>
        </w:tc>
        <w:tc>
          <w:tcPr>
            <w:tcW w:w="2460" w:type="dxa"/>
            <w:vAlign w:val="bottom"/>
            <w:tcBorders>
              <w:bottom w:val="single" w:sz="8" w:color="CCEEFF"/>
            </w:tcBorders>
            <w:shd w:val="clear" w:color="auto" w:fill="CCEEFF"/>
          </w:tcPr>
          <w:p>
            <w:pPr>
              <w:jc w:val="right"/>
              <w:ind w:right="1319"/>
              <w:spacing w:after="0" w:line="175" w:lineRule="exact"/>
              <w:rPr>
                <w:sz w:val="20"/>
                <w:szCs w:val="20"/>
                <w:color w:val="auto"/>
              </w:rPr>
            </w:pPr>
            <w:r>
              <w:rPr>
                <w:rFonts w:ascii="Times New Roman" w:cs="Times New Roman" w:eastAsia="Times New Roman" w:hAnsi="Times New Roman"/>
                <w:sz w:val="16"/>
                <w:szCs w:val="16"/>
                <w:color w:val="auto"/>
              </w:rPr>
              <w:t>07/28/2021</w:t>
            </w:r>
          </w:p>
        </w:tc>
      </w:tr>
      <w:tr>
        <w:trPr>
          <w:trHeight w:val="156"/>
        </w:trPr>
        <w:tc>
          <w:tcPr>
            <w:tcW w:w="1000" w:type="dxa"/>
            <w:vAlign w:val="bottom"/>
            <w:shd w:val="clear" w:color="auto" w:fill="CCEEFF"/>
          </w:tcPr>
          <w:p>
            <w:pPr>
              <w:spacing w:after="0"/>
              <w:rPr>
                <w:sz w:val="13"/>
                <w:szCs w:val="13"/>
                <w:color w:val="auto"/>
              </w:rPr>
            </w:pPr>
          </w:p>
        </w:tc>
        <w:tc>
          <w:tcPr>
            <w:tcW w:w="5640" w:type="dxa"/>
            <w:vAlign w:val="bottom"/>
            <w:gridSpan w:val="46"/>
            <w:shd w:val="clear" w:color="auto" w:fill="CCEEFF"/>
          </w:tcPr>
          <w:p>
            <w:pPr>
              <w:spacing w:after="0" w:line="155"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between Icahn School of Medicine at Mount Sinai and the Company, as amended</w:t>
              </w:r>
            </w:hyperlink>
          </w:p>
        </w:tc>
        <w:tc>
          <w:tcPr>
            <w:tcW w:w="10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5280" w:type="dxa"/>
            <w:vAlign w:val="bottom"/>
            <w:tcBorders>
              <w:top w:val="single" w:sz="8" w:color="0000FF"/>
            </w:tcBorders>
            <w:gridSpan w:val="39"/>
            <w:shd w:val="clear" w:color="auto" w:fill="CCEEFF"/>
          </w:tcPr>
          <w:p>
            <w:pPr>
              <w:spacing w:after="0" w:line="169"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March 11, 2020.</w:t>
              </w:r>
            </w:hyperlink>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10.19#</w:t>
            </w:r>
          </w:p>
        </w:tc>
        <w:tc>
          <w:tcPr>
            <w:tcW w:w="5640" w:type="dxa"/>
            <w:vAlign w:val="bottom"/>
            <w:gridSpan w:val="46"/>
            <w:shd w:val="clear" w:color="auto" w:fill="CCEEFF"/>
          </w:tcPr>
          <w:p>
            <w:pPr>
              <w:spacing w:after="0" w:line="175"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BioMe Biospecimen and Data Access Agreement, dated as of July 19, 2019, by</w:t>
              </w:r>
            </w:hyperlink>
          </w:p>
        </w:tc>
        <w:tc>
          <w:tcPr>
            <w:tcW w:w="1020" w:type="dxa"/>
            <w:vAlign w:val="bottom"/>
            <w:shd w:val="clear" w:color="auto" w:fill="CCEEFF"/>
          </w:tcPr>
          <w:p>
            <w:pPr>
              <w:jc w:val="center"/>
              <w:ind w:right="11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10.25</w:t>
            </w:r>
          </w:p>
        </w:tc>
        <w:tc>
          <w:tcPr>
            <w:tcW w:w="2460" w:type="dxa"/>
            <w:vAlign w:val="bottom"/>
            <w:shd w:val="clear" w:color="auto" w:fill="CCEEFF"/>
          </w:tcPr>
          <w:p>
            <w:pPr>
              <w:jc w:val="right"/>
              <w:ind w:right="1319"/>
              <w:spacing w:after="0" w:line="175" w:lineRule="exact"/>
              <w:rPr>
                <w:sz w:val="20"/>
                <w:szCs w:val="20"/>
                <w:color w:val="auto"/>
              </w:rPr>
            </w:pPr>
            <w:r>
              <w:rPr>
                <w:rFonts w:ascii="Times New Roman" w:cs="Times New Roman" w:eastAsia="Times New Roman" w:hAnsi="Times New Roman"/>
                <w:sz w:val="16"/>
                <w:szCs w:val="16"/>
                <w:color w:val="auto"/>
              </w:rPr>
              <w:t>07/28/2021</w:t>
            </w: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5160" w:type="dxa"/>
            <w:vAlign w:val="bottom"/>
            <w:tcBorders>
              <w:top w:val="single" w:sz="8" w:color="0000FF"/>
            </w:tcBorders>
            <w:gridSpan w:val="34"/>
            <w:shd w:val="clear" w:color="auto" w:fill="CCEEFF"/>
          </w:tcPr>
          <w:p>
            <w:pPr>
              <w:spacing w:after="0" w:line="155"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and between Icahn School of Medicine at Mount Sinai and the Company.</w:t>
              </w:r>
            </w:hyperlink>
          </w:p>
        </w:tc>
        <w:tc>
          <w:tcPr>
            <w:tcW w:w="60" w:type="dxa"/>
            <w:vAlign w:val="bottom"/>
            <w:tcBorders>
              <w:top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10.20#</w:t>
            </w:r>
          </w:p>
        </w:tc>
        <w:tc>
          <w:tcPr>
            <w:tcW w:w="5640" w:type="dxa"/>
            <w:vAlign w:val="bottom"/>
            <w:gridSpan w:val="46"/>
            <w:shd w:val="clear" w:color="auto" w:fill="CCEEFF"/>
          </w:tcPr>
          <w:p>
            <w:pPr>
              <w:spacing w:after="0" w:line="175"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Non-Exclusive Patent License Agreement, dated as of June 1, 2017, by and</w:t>
              </w:r>
            </w:hyperlink>
          </w:p>
        </w:tc>
        <w:tc>
          <w:tcPr>
            <w:tcW w:w="1020" w:type="dxa"/>
            <w:vAlign w:val="bottom"/>
            <w:shd w:val="clear" w:color="auto" w:fill="CCEEFF"/>
          </w:tcPr>
          <w:p>
            <w:pPr>
              <w:jc w:val="center"/>
              <w:ind w:right="11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10.26</w:t>
            </w:r>
          </w:p>
        </w:tc>
        <w:tc>
          <w:tcPr>
            <w:tcW w:w="2460" w:type="dxa"/>
            <w:vAlign w:val="bottom"/>
            <w:shd w:val="clear" w:color="auto" w:fill="CCEEFF"/>
          </w:tcPr>
          <w:p>
            <w:pPr>
              <w:jc w:val="right"/>
              <w:ind w:right="1319"/>
              <w:spacing w:after="0" w:line="175" w:lineRule="exact"/>
              <w:rPr>
                <w:sz w:val="20"/>
                <w:szCs w:val="20"/>
                <w:color w:val="auto"/>
              </w:rPr>
            </w:pPr>
            <w:r>
              <w:rPr>
                <w:rFonts w:ascii="Times New Roman" w:cs="Times New Roman" w:eastAsia="Times New Roman" w:hAnsi="Times New Roman"/>
                <w:sz w:val="16"/>
                <w:szCs w:val="16"/>
                <w:color w:val="auto"/>
              </w:rPr>
              <w:t>07/28/2021</w:t>
            </w: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4880" w:type="dxa"/>
            <w:vAlign w:val="bottom"/>
            <w:tcBorders>
              <w:top w:val="single" w:sz="8" w:color="0000FF"/>
            </w:tcBorders>
            <w:gridSpan w:val="26"/>
            <w:shd w:val="clear" w:color="auto" w:fill="CCEEFF"/>
          </w:tcPr>
          <w:p>
            <w:pPr>
              <w:spacing w:after="0" w:line="155"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between the Company and Icahn School of Medicine at Mount Sinai.</w:t>
              </w:r>
            </w:hyperlink>
          </w:p>
        </w:tc>
        <w:tc>
          <w:tcPr>
            <w:tcW w:w="4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tcBorders>
            <w:gridSpan w:val="4"/>
            <w:shd w:val="clear" w:color="auto" w:fill="CCEEFF"/>
          </w:tcPr>
          <w:p>
            <w:pPr>
              <w:spacing w:after="0"/>
              <w:rPr>
                <w:sz w:val="17"/>
                <w:szCs w:val="17"/>
                <w:color w:val="auto"/>
              </w:rPr>
            </w:pPr>
          </w:p>
        </w:tc>
        <w:tc>
          <w:tcPr>
            <w:tcW w:w="100" w:type="dxa"/>
            <w:vAlign w:val="bottom"/>
            <w:tcBorders>
              <w:top w:val="single" w:sz="8" w:color="CCEEFF"/>
            </w:tcBorders>
            <w:gridSpan w:val="5"/>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10.21#</w:t>
            </w:r>
          </w:p>
        </w:tc>
        <w:tc>
          <w:tcPr>
            <w:tcW w:w="5640" w:type="dxa"/>
            <w:vAlign w:val="bottom"/>
            <w:gridSpan w:val="46"/>
            <w:shd w:val="clear" w:color="auto" w:fill="CCEEFF"/>
          </w:tcPr>
          <w:p>
            <w:pPr>
              <w:spacing w:after="0" w:line="175"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Supply Agreement, dated as of June 20, 2014, by and between the Company and</w:t>
              </w:r>
            </w:hyperlink>
          </w:p>
        </w:tc>
        <w:tc>
          <w:tcPr>
            <w:tcW w:w="1020" w:type="dxa"/>
            <w:vAlign w:val="bottom"/>
            <w:shd w:val="clear" w:color="auto" w:fill="CCEEFF"/>
          </w:tcPr>
          <w:p>
            <w:pPr>
              <w:jc w:val="center"/>
              <w:ind w:right="11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10.27</w:t>
            </w:r>
          </w:p>
        </w:tc>
        <w:tc>
          <w:tcPr>
            <w:tcW w:w="2460" w:type="dxa"/>
            <w:vAlign w:val="bottom"/>
            <w:shd w:val="clear" w:color="auto" w:fill="CCEEFF"/>
          </w:tcPr>
          <w:p>
            <w:pPr>
              <w:jc w:val="right"/>
              <w:ind w:right="1319"/>
              <w:spacing w:after="0" w:line="175" w:lineRule="exact"/>
              <w:rPr>
                <w:sz w:val="20"/>
                <w:szCs w:val="20"/>
                <w:color w:val="auto"/>
              </w:rPr>
            </w:pPr>
            <w:r>
              <w:rPr>
                <w:rFonts w:ascii="Times New Roman" w:cs="Times New Roman" w:eastAsia="Times New Roman" w:hAnsi="Times New Roman"/>
                <w:sz w:val="16"/>
                <w:szCs w:val="16"/>
                <w:color w:val="auto"/>
              </w:rPr>
              <w:t>07/28/2021</w:t>
            </w: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5220" w:type="dxa"/>
            <w:vAlign w:val="bottom"/>
            <w:tcBorders>
              <w:top w:val="single" w:sz="8" w:color="0000FF"/>
            </w:tcBorders>
            <w:gridSpan w:val="37"/>
            <w:shd w:val="clear" w:color="auto" w:fill="CCEEFF"/>
          </w:tcPr>
          <w:p>
            <w:pPr>
              <w:spacing w:after="0" w:line="155"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Illumina, Inc., and amendments thereto.</w:t>
              </w:r>
            </w:hyperlink>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10.22*</w:t>
            </w:r>
          </w:p>
        </w:tc>
        <w:tc>
          <w:tcPr>
            <w:tcW w:w="5640" w:type="dxa"/>
            <w:vAlign w:val="bottom"/>
            <w:gridSpan w:val="46"/>
            <w:shd w:val="clear" w:color="auto" w:fill="CCEEFF"/>
          </w:tcPr>
          <w:p>
            <w:pPr>
              <w:spacing w:after="0" w:line="175"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Mount Sinai Genomics, Inc. 2017 Equity Incentive Plan, as amended, and forms of</w:t>
              </w:r>
            </w:hyperlink>
          </w:p>
        </w:tc>
        <w:tc>
          <w:tcPr>
            <w:tcW w:w="1020" w:type="dxa"/>
            <w:vAlign w:val="bottom"/>
            <w:shd w:val="clear" w:color="auto" w:fill="CCEEFF"/>
          </w:tcPr>
          <w:p>
            <w:pPr>
              <w:jc w:val="center"/>
              <w:ind w:right="119"/>
              <w:spacing w:after="0" w:line="175" w:lineRule="exact"/>
              <w:rPr>
                <w:sz w:val="20"/>
                <w:szCs w:val="20"/>
                <w:color w:val="auto"/>
              </w:rPr>
            </w:pPr>
            <w:r>
              <w:rPr>
                <w:rFonts w:ascii="Times New Roman" w:cs="Times New Roman" w:eastAsia="Times New Roman" w:hAnsi="Times New Roman"/>
                <w:sz w:val="16"/>
                <w:szCs w:val="16"/>
                <w:color w:val="auto"/>
                <w:w w:val="98"/>
              </w:rPr>
              <w:t>S-8</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99.6</w:t>
            </w:r>
          </w:p>
        </w:tc>
        <w:tc>
          <w:tcPr>
            <w:tcW w:w="2460" w:type="dxa"/>
            <w:vAlign w:val="bottom"/>
            <w:shd w:val="clear" w:color="auto" w:fill="CCEEFF"/>
          </w:tcPr>
          <w:p>
            <w:pPr>
              <w:jc w:val="right"/>
              <w:ind w:right="1319"/>
              <w:spacing w:after="0" w:line="175" w:lineRule="exact"/>
              <w:rPr>
                <w:sz w:val="20"/>
                <w:szCs w:val="20"/>
                <w:color w:val="auto"/>
              </w:rPr>
            </w:pPr>
            <w:r>
              <w:rPr>
                <w:rFonts w:ascii="Times New Roman" w:cs="Times New Roman" w:eastAsia="Times New Roman" w:hAnsi="Times New Roman"/>
                <w:sz w:val="16"/>
                <w:szCs w:val="16"/>
                <w:color w:val="auto"/>
              </w:rPr>
              <w:t>09/27/2021</w:t>
            </w: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5400" w:type="dxa"/>
            <w:vAlign w:val="bottom"/>
            <w:tcBorders>
              <w:top w:val="single" w:sz="8" w:color="0000FF"/>
            </w:tcBorders>
            <w:gridSpan w:val="45"/>
            <w:shd w:val="clear" w:color="auto" w:fill="CCEEFF"/>
          </w:tcPr>
          <w:p>
            <w:pPr>
              <w:spacing w:after="0" w:line="155"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equity agreements thereunder.</w:t>
              </w:r>
            </w:hyperlink>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10.23</w:t>
            </w:r>
          </w:p>
        </w:tc>
        <w:tc>
          <w:tcPr>
            <w:tcW w:w="5640" w:type="dxa"/>
            <w:vAlign w:val="bottom"/>
            <w:gridSpan w:val="46"/>
            <w:shd w:val="clear" w:color="auto" w:fill="CCEEFF"/>
          </w:tcPr>
          <w:p>
            <w:pPr>
              <w:spacing w:after="0" w:line="175"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Loan and Security Agreement, dated as of November 15, 2021, between Silicon</w:t>
              </w:r>
            </w:hyperlink>
          </w:p>
        </w:tc>
        <w:tc>
          <w:tcPr>
            <w:tcW w:w="1020" w:type="dxa"/>
            <w:vAlign w:val="bottom"/>
            <w:shd w:val="clear" w:color="auto" w:fill="CCEEFF"/>
          </w:tcPr>
          <w:p>
            <w:pPr>
              <w:jc w:val="center"/>
              <w:ind w:right="119"/>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10.26</w:t>
            </w:r>
          </w:p>
        </w:tc>
        <w:tc>
          <w:tcPr>
            <w:tcW w:w="2460" w:type="dxa"/>
            <w:vAlign w:val="bottom"/>
            <w:shd w:val="clear" w:color="auto" w:fill="CCEEFF"/>
          </w:tcPr>
          <w:p>
            <w:pPr>
              <w:jc w:val="right"/>
              <w:ind w:right="1319"/>
              <w:spacing w:after="0" w:line="175" w:lineRule="exact"/>
              <w:rPr>
                <w:sz w:val="20"/>
                <w:szCs w:val="20"/>
                <w:color w:val="auto"/>
              </w:rPr>
            </w:pPr>
            <w:r>
              <w:rPr>
                <w:rFonts w:ascii="Times New Roman" w:cs="Times New Roman" w:eastAsia="Times New Roman" w:hAnsi="Times New Roman"/>
                <w:sz w:val="16"/>
                <w:szCs w:val="16"/>
                <w:color w:val="auto"/>
              </w:rPr>
              <w:t>11/15/2021</w:t>
            </w: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5380" w:type="dxa"/>
            <w:vAlign w:val="bottom"/>
            <w:tcBorders>
              <w:top w:val="single" w:sz="8" w:color="0000FF"/>
            </w:tcBorders>
            <w:gridSpan w:val="44"/>
            <w:shd w:val="clear" w:color="auto" w:fill="CCEEFF"/>
          </w:tcPr>
          <w:p>
            <w:pPr>
              <w:spacing w:after="0" w:line="155"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Valley Bank, the Company and Sema4 OpCo, Inc.</w:t>
              </w:r>
            </w:hyperlink>
          </w:p>
        </w:tc>
        <w:tc>
          <w:tcPr>
            <w:tcW w:w="260" w:type="dxa"/>
            <w:vAlign w:val="bottom"/>
            <w:tcBorders>
              <w:top w:val="single" w:sz="8" w:color="CCEEFF"/>
            </w:tcBorders>
            <w:gridSpan w:val="2"/>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10.24</w:t>
            </w:r>
          </w:p>
        </w:tc>
        <w:tc>
          <w:tcPr>
            <w:tcW w:w="5640" w:type="dxa"/>
            <w:vAlign w:val="bottom"/>
            <w:gridSpan w:val="46"/>
            <w:shd w:val="clear" w:color="auto" w:fill="CCEEFF"/>
          </w:tcPr>
          <w:p>
            <w:pPr>
              <w:spacing w:after="0" w:line="175"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Subscription Agreement, dated as of February 9, 2021, by and among the</w:t>
              </w:r>
            </w:hyperlink>
          </w:p>
        </w:tc>
        <w:tc>
          <w:tcPr>
            <w:tcW w:w="1020" w:type="dxa"/>
            <w:vAlign w:val="bottom"/>
            <w:shd w:val="clear" w:color="auto" w:fill="CCEEFF"/>
          </w:tcPr>
          <w:p>
            <w:pPr>
              <w:jc w:val="center"/>
              <w:ind w:right="11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2460" w:type="dxa"/>
            <w:vAlign w:val="bottom"/>
            <w:shd w:val="clear" w:color="auto" w:fill="CCEEFF"/>
          </w:tcPr>
          <w:p>
            <w:pPr>
              <w:jc w:val="right"/>
              <w:ind w:right="1319"/>
              <w:spacing w:after="0" w:line="175" w:lineRule="exact"/>
              <w:rPr>
                <w:sz w:val="20"/>
                <w:szCs w:val="20"/>
                <w:color w:val="auto"/>
              </w:rPr>
            </w:pPr>
            <w:r>
              <w:rPr>
                <w:rFonts w:ascii="Times New Roman" w:cs="Times New Roman" w:eastAsia="Times New Roman" w:hAnsi="Times New Roman"/>
                <w:sz w:val="16"/>
                <w:szCs w:val="16"/>
                <w:color w:val="auto"/>
              </w:rPr>
              <w:t>02/11/2021</w:t>
            </w: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4740" w:type="dxa"/>
            <w:vAlign w:val="bottom"/>
            <w:tcBorders>
              <w:top w:val="single" w:sz="8" w:color="0000FF"/>
            </w:tcBorders>
            <w:gridSpan w:val="24"/>
            <w:shd w:val="clear" w:color="auto" w:fill="CCEEFF"/>
          </w:tcPr>
          <w:p>
            <w:pPr>
              <w:spacing w:after="0" w:line="155"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Company and the subscriber parties thereto.</w:t>
              </w:r>
            </w:hyperlink>
          </w:p>
        </w:tc>
        <w:tc>
          <w:tcPr>
            <w:tcW w:w="180" w:type="dxa"/>
            <w:vAlign w:val="bottom"/>
            <w:tcBorders>
              <w:top w:val="single" w:sz="8" w:color="CCEEFF"/>
            </w:tcBorders>
            <w:gridSpan w:val="4"/>
            <w:shd w:val="clear" w:color="auto" w:fill="CCEEFF"/>
          </w:tcPr>
          <w:p>
            <w:pPr>
              <w:spacing w:after="0"/>
              <w:rPr>
                <w:sz w:val="17"/>
                <w:szCs w:val="17"/>
                <w:color w:val="auto"/>
              </w:rPr>
            </w:pPr>
          </w:p>
        </w:tc>
        <w:tc>
          <w:tcPr>
            <w:tcW w:w="200" w:type="dxa"/>
            <w:vAlign w:val="bottom"/>
            <w:tcBorders>
              <w:top w:val="single" w:sz="8" w:color="CCEEFF"/>
            </w:tcBorders>
            <w:gridSpan w:val="4"/>
            <w:shd w:val="clear" w:color="auto" w:fill="CCEEFF"/>
          </w:tcPr>
          <w:p>
            <w:pPr>
              <w:spacing w:after="0"/>
              <w:rPr>
                <w:sz w:val="17"/>
                <w:szCs w:val="17"/>
                <w:color w:val="auto"/>
              </w:rPr>
            </w:pPr>
          </w:p>
        </w:tc>
        <w:tc>
          <w:tcPr>
            <w:tcW w:w="120" w:type="dxa"/>
            <w:vAlign w:val="bottom"/>
            <w:tcBorders>
              <w:top w:val="single" w:sz="8" w:color="CCEEFF"/>
            </w:tcBorders>
            <w:gridSpan w:val="6"/>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tcBorders>
            <w:gridSpan w:val="3"/>
            <w:shd w:val="clear" w:color="auto" w:fill="CCEEFF"/>
          </w:tcPr>
          <w:p>
            <w:pPr>
              <w:spacing w:after="0"/>
              <w:rPr>
                <w:sz w:val="17"/>
                <w:szCs w:val="17"/>
                <w:color w:val="auto"/>
              </w:rPr>
            </w:pPr>
          </w:p>
        </w:tc>
        <w:tc>
          <w:tcPr>
            <w:tcW w:w="280" w:type="dxa"/>
            <w:vAlign w:val="bottom"/>
            <w:tcBorders>
              <w:top w:val="single" w:sz="8" w:color="CCEEFF"/>
            </w:tcBorders>
            <w:gridSpan w:val="3"/>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10.25</w:t>
            </w:r>
          </w:p>
        </w:tc>
        <w:tc>
          <w:tcPr>
            <w:tcW w:w="5640" w:type="dxa"/>
            <w:vAlign w:val="bottom"/>
            <w:gridSpan w:val="46"/>
            <w:shd w:val="clear" w:color="auto" w:fill="CCEEFF"/>
          </w:tcPr>
          <w:p>
            <w:pPr>
              <w:spacing w:after="0" w:line="175"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Form of Subscription Agreement, dated as of January 14, 2022 by and among the</w:t>
              </w:r>
            </w:hyperlink>
          </w:p>
        </w:tc>
        <w:tc>
          <w:tcPr>
            <w:tcW w:w="1020" w:type="dxa"/>
            <w:vAlign w:val="bottom"/>
            <w:shd w:val="clear" w:color="auto" w:fill="CCEEFF"/>
          </w:tcPr>
          <w:p>
            <w:pPr>
              <w:jc w:val="center"/>
              <w:ind w:right="11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2460" w:type="dxa"/>
            <w:vAlign w:val="bottom"/>
            <w:shd w:val="clear" w:color="auto" w:fill="CCEEFF"/>
          </w:tcPr>
          <w:p>
            <w:pPr>
              <w:jc w:val="right"/>
              <w:ind w:right="1319"/>
              <w:spacing w:after="0" w:line="175" w:lineRule="exact"/>
              <w:rPr>
                <w:sz w:val="20"/>
                <w:szCs w:val="20"/>
                <w:color w:val="auto"/>
              </w:rPr>
            </w:pPr>
            <w:r>
              <w:rPr>
                <w:rFonts w:ascii="Times New Roman" w:cs="Times New Roman" w:eastAsia="Times New Roman" w:hAnsi="Times New Roman"/>
                <w:sz w:val="16"/>
                <w:szCs w:val="16"/>
                <w:color w:val="auto"/>
              </w:rPr>
              <w:t>01/18/2022</w:t>
            </w: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5300" w:type="dxa"/>
            <w:vAlign w:val="bottom"/>
            <w:tcBorders>
              <w:top w:val="single" w:sz="8" w:color="0000FF"/>
            </w:tcBorders>
            <w:gridSpan w:val="40"/>
            <w:shd w:val="clear" w:color="auto" w:fill="CCEEFF"/>
          </w:tcPr>
          <w:p>
            <w:pPr>
              <w:spacing w:after="0" w:line="155"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Company and the subscriber parties thereto.</w:t>
              </w:r>
            </w:hyperlink>
          </w:p>
        </w:tc>
        <w:tc>
          <w:tcPr>
            <w:tcW w:w="60" w:type="dxa"/>
            <w:vAlign w:val="bottom"/>
            <w:tcBorders>
              <w:top w:val="single" w:sz="8" w:color="CCEEFF"/>
            </w:tcBorders>
            <w:gridSpan w:val="3"/>
            <w:shd w:val="clear" w:color="auto" w:fill="CCEEFF"/>
          </w:tcPr>
          <w:p>
            <w:pPr>
              <w:spacing w:after="0"/>
              <w:rPr>
                <w:sz w:val="17"/>
                <w:szCs w:val="17"/>
                <w:color w:val="auto"/>
              </w:rPr>
            </w:pPr>
          </w:p>
        </w:tc>
        <w:tc>
          <w:tcPr>
            <w:tcW w:w="280" w:type="dxa"/>
            <w:vAlign w:val="bottom"/>
            <w:tcBorders>
              <w:top w:val="single" w:sz="8" w:color="CCEEFF"/>
            </w:tcBorders>
            <w:gridSpan w:val="3"/>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10.26</w:t>
            </w:r>
          </w:p>
        </w:tc>
        <w:tc>
          <w:tcPr>
            <w:tcW w:w="5640" w:type="dxa"/>
            <w:vAlign w:val="bottom"/>
            <w:gridSpan w:val="46"/>
            <w:shd w:val="clear" w:color="auto" w:fill="CCEEFF"/>
          </w:tcPr>
          <w:p>
            <w:pPr>
              <w:spacing w:after="0" w:line="175"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Form of Shareholder Agreement, dated as of January 14, 2022 by and among the</w:t>
              </w:r>
            </w:hyperlink>
          </w:p>
        </w:tc>
        <w:tc>
          <w:tcPr>
            <w:tcW w:w="1020" w:type="dxa"/>
            <w:vAlign w:val="bottom"/>
            <w:shd w:val="clear" w:color="auto" w:fill="CCEEFF"/>
          </w:tcPr>
          <w:p>
            <w:pPr>
              <w:jc w:val="center"/>
              <w:ind w:right="11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2460" w:type="dxa"/>
            <w:vAlign w:val="bottom"/>
            <w:shd w:val="clear" w:color="auto" w:fill="CCEEFF"/>
          </w:tcPr>
          <w:p>
            <w:pPr>
              <w:jc w:val="right"/>
              <w:ind w:right="1319"/>
              <w:spacing w:after="0" w:line="175" w:lineRule="exact"/>
              <w:rPr>
                <w:sz w:val="20"/>
                <w:szCs w:val="20"/>
                <w:color w:val="auto"/>
              </w:rPr>
            </w:pPr>
            <w:r>
              <w:rPr>
                <w:rFonts w:ascii="Times New Roman" w:cs="Times New Roman" w:eastAsia="Times New Roman" w:hAnsi="Times New Roman"/>
                <w:sz w:val="16"/>
                <w:szCs w:val="16"/>
                <w:color w:val="auto"/>
              </w:rPr>
              <w:t>01/18/2022</w:t>
            </w: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5240" w:type="dxa"/>
            <w:vAlign w:val="bottom"/>
            <w:tcBorders>
              <w:top w:val="single" w:sz="8" w:color="0000FF"/>
            </w:tcBorders>
            <w:gridSpan w:val="38"/>
            <w:shd w:val="clear" w:color="auto" w:fill="CCEEFF"/>
          </w:tcPr>
          <w:p>
            <w:pPr>
              <w:spacing w:after="0" w:line="155"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Company and the stockholder parties identified therein.</w:t>
              </w:r>
            </w:hyperlink>
          </w:p>
        </w:tc>
        <w:tc>
          <w:tcPr>
            <w:tcW w:w="120" w:type="dxa"/>
            <w:vAlign w:val="bottom"/>
            <w:tcBorders>
              <w:top w:val="single" w:sz="8" w:color="CCEEFF"/>
            </w:tcBorders>
            <w:gridSpan w:val="5"/>
            <w:shd w:val="clear" w:color="auto" w:fill="CCEEFF"/>
          </w:tcPr>
          <w:p>
            <w:pPr>
              <w:spacing w:after="0"/>
              <w:rPr>
                <w:sz w:val="17"/>
                <w:szCs w:val="17"/>
                <w:color w:val="auto"/>
              </w:rPr>
            </w:pPr>
          </w:p>
        </w:tc>
        <w:tc>
          <w:tcPr>
            <w:tcW w:w="280" w:type="dxa"/>
            <w:vAlign w:val="bottom"/>
            <w:tcBorders>
              <w:top w:val="single" w:sz="8" w:color="CCEEFF"/>
            </w:tcBorders>
            <w:gridSpan w:val="3"/>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10.27</w:t>
            </w:r>
          </w:p>
        </w:tc>
        <w:tc>
          <w:tcPr>
            <w:tcW w:w="5640" w:type="dxa"/>
            <w:vAlign w:val="bottom"/>
            <w:gridSpan w:val="46"/>
            <w:shd w:val="clear" w:color="auto" w:fill="CCEEFF"/>
          </w:tcPr>
          <w:p>
            <w:pPr>
              <w:spacing w:after="0" w:line="175"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Form of Support Agreement dated as of January 14, 2022 by and among the</w:t>
              </w:r>
            </w:hyperlink>
          </w:p>
        </w:tc>
        <w:tc>
          <w:tcPr>
            <w:tcW w:w="1020" w:type="dxa"/>
            <w:vAlign w:val="bottom"/>
            <w:shd w:val="clear" w:color="auto" w:fill="CCEEFF"/>
          </w:tcPr>
          <w:p>
            <w:pPr>
              <w:jc w:val="center"/>
              <w:ind w:right="11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w:t>
            </w:r>
          </w:p>
        </w:tc>
        <w:tc>
          <w:tcPr>
            <w:tcW w:w="2460" w:type="dxa"/>
            <w:vAlign w:val="bottom"/>
            <w:shd w:val="clear" w:color="auto" w:fill="CCEEFF"/>
          </w:tcPr>
          <w:p>
            <w:pPr>
              <w:jc w:val="right"/>
              <w:ind w:right="1319"/>
              <w:spacing w:after="0" w:line="175" w:lineRule="exact"/>
              <w:rPr>
                <w:sz w:val="20"/>
                <w:szCs w:val="20"/>
                <w:color w:val="auto"/>
              </w:rPr>
            </w:pPr>
            <w:r>
              <w:rPr>
                <w:rFonts w:ascii="Times New Roman" w:cs="Times New Roman" w:eastAsia="Times New Roman" w:hAnsi="Times New Roman"/>
                <w:sz w:val="16"/>
                <w:szCs w:val="16"/>
                <w:color w:val="auto"/>
              </w:rPr>
              <w:t>01/18/2022</w:t>
            </w: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4920" w:type="dxa"/>
            <w:vAlign w:val="bottom"/>
            <w:tcBorders>
              <w:top w:val="single" w:sz="8" w:color="0000FF"/>
            </w:tcBorders>
            <w:gridSpan w:val="28"/>
            <w:shd w:val="clear" w:color="auto" w:fill="CCEEFF"/>
          </w:tcPr>
          <w:p>
            <w:pPr>
              <w:spacing w:after="0" w:line="155"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Company and the stockholder parties identified therein.</w:t>
              </w:r>
            </w:hyperlink>
          </w:p>
        </w:tc>
        <w:tc>
          <w:tcPr>
            <w:tcW w:w="200" w:type="dxa"/>
            <w:vAlign w:val="bottom"/>
            <w:tcBorders>
              <w:top w:val="single" w:sz="8" w:color="CCEEFF"/>
            </w:tcBorders>
            <w:gridSpan w:val="4"/>
            <w:shd w:val="clear" w:color="auto" w:fill="CCEEFF"/>
          </w:tcPr>
          <w:p>
            <w:pPr>
              <w:spacing w:after="0"/>
              <w:rPr>
                <w:sz w:val="17"/>
                <w:szCs w:val="17"/>
                <w:color w:val="auto"/>
              </w:rPr>
            </w:pPr>
          </w:p>
        </w:tc>
        <w:tc>
          <w:tcPr>
            <w:tcW w:w="240" w:type="dxa"/>
            <w:vAlign w:val="bottom"/>
            <w:tcBorders>
              <w:top w:val="single" w:sz="8" w:color="CCEEFF"/>
            </w:tcBorders>
            <w:gridSpan w:val="11"/>
            <w:shd w:val="clear" w:color="auto" w:fill="CCEEFF"/>
          </w:tcPr>
          <w:p>
            <w:pPr>
              <w:spacing w:after="0"/>
              <w:rPr>
                <w:sz w:val="17"/>
                <w:szCs w:val="17"/>
                <w:color w:val="auto"/>
              </w:rPr>
            </w:pPr>
          </w:p>
        </w:tc>
        <w:tc>
          <w:tcPr>
            <w:tcW w:w="280" w:type="dxa"/>
            <w:vAlign w:val="bottom"/>
            <w:tcBorders>
              <w:top w:val="single" w:sz="8" w:color="CCEEFF"/>
            </w:tcBorders>
            <w:gridSpan w:val="3"/>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10.28</w:t>
            </w:r>
          </w:p>
        </w:tc>
        <w:tc>
          <w:tcPr>
            <w:tcW w:w="5640" w:type="dxa"/>
            <w:vAlign w:val="bottom"/>
            <w:gridSpan w:val="46"/>
            <w:shd w:val="clear" w:color="auto" w:fill="CCEEFF"/>
          </w:tcPr>
          <w:p>
            <w:pPr>
              <w:spacing w:after="0" w:line="175"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Form of Lock-Up Agreement, by and among the Company and the stockholder</w:t>
              </w:r>
            </w:hyperlink>
          </w:p>
        </w:tc>
        <w:tc>
          <w:tcPr>
            <w:tcW w:w="1020" w:type="dxa"/>
            <w:vAlign w:val="bottom"/>
            <w:shd w:val="clear" w:color="auto" w:fill="CCEEFF"/>
          </w:tcPr>
          <w:p>
            <w:pPr>
              <w:jc w:val="center"/>
              <w:ind w:right="11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w:t>
            </w:r>
          </w:p>
        </w:tc>
        <w:tc>
          <w:tcPr>
            <w:tcW w:w="2460" w:type="dxa"/>
            <w:vAlign w:val="bottom"/>
            <w:shd w:val="clear" w:color="auto" w:fill="CCEEFF"/>
          </w:tcPr>
          <w:p>
            <w:pPr>
              <w:jc w:val="right"/>
              <w:ind w:right="1319"/>
              <w:spacing w:after="0" w:line="175" w:lineRule="exact"/>
              <w:rPr>
                <w:sz w:val="20"/>
                <w:szCs w:val="20"/>
                <w:color w:val="auto"/>
              </w:rPr>
            </w:pPr>
            <w:r>
              <w:rPr>
                <w:rFonts w:ascii="Times New Roman" w:cs="Times New Roman" w:eastAsia="Times New Roman" w:hAnsi="Times New Roman"/>
                <w:sz w:val="16"/>
                <w:szCs w:val="16"/>
                <w:color w:val="auto"/>
              </w:rPr>
              <w:t>01/18/2022</w:t>
            </w: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5120" w:type="dxa"/>
            <w:vAlign w:val="bottom"/>
            <w:tcBorders>
              <w:top w:val="single" w:sz="8" w:color="0000FF"/>
            </w:tcBorders>
            <w:gridSpan w:val="32"/>
            <w:shd w:val="clear" w:color="auto" w:fill="CCEEFF"/>
          </w:tcPr>
          <w:p>
            <w:pPr>
              <w:spacing w:after="0" w:line="155"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parties identified therein.</w:t>
              </w:r>
            </w:hyperlink>
          </w:p>
        </w:tc>
        <w:tc>
          <w:tcPr>
            <w:tcW w:w="240" w:type="dxa"/>
            <w:vAlign w:val="bottom"/>
            <w:tcBorders>
              <w:top w:val="single" w:sz="8" w:color="CCEEFF"/>
            </w:tcBorders>
            <w:gridSpan w:val="11"/>
            <w:shd w:val="clear" w:color="auto" w:fill="CCEEFF"/>
          </w:tcPr>
          <w:p>
            <w:pPr>
              <w:spacing w:after="0"/>
              <w:rPr>
                <w:sz w:val="17"/>
                <w:szCs w:val="17"/>
                <w:color w:val="auto"/>
              </w:rPr>
            </w:pPr>
          </w:p>
        </w:tc>
        <w:tc>
          <w:tcPr>
            <w:tcW w:w="280" w:type="dxa"/>
            <w:vAlign w:val="bottom"/>
            <w:tcBorders>
              <w:top w:val="single" w:sz="8" w:color="CCEEFF"/>
            </w:tcBorders>
            <w:gridSpan w:val="3"/>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6"/>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10.29*</w:t>
            </w:r>
          </w:p>
        </w:tc>
        <w:tc>
          <w:tcPr>
            <w:tcW w:w="5640" w:type="dxa"/>
            <w:vAlign w:val="bottom"/>
            <w:gridSpan w:val="46"/>
            <w:shd w:val="clear" w:color="auto" w:fill="CCEEFF"/>
          </w:tcPr>
          <w:p>
            <w:pPr>
              <w:spacing w:after="0" w:line="175"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Executive Chairman Agreement, dated as of January 17, 2022, by and between the</w:t>
              </w:r>
            </w:hyperlink>
          </w:p>
        </w:tc>
        <w:tc>
          <w:tcPr>
            <w:tcW w:w="1020" w:type="dxa"/>
            <w:vAlign w:val="bottom"/>
            <w:shd w:val="clear" w:color="auto" w:fill="CCEEFF"/>
          </w:tcPr>
          <w:p>
            <w:pPr>
              <w:jc w:val="center"/>
              <w:ind w:right="119"/>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11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10.31</w:t>
            </w:r>
          </w:p>
        </w:tc>
        <w:tc>
          <w:tcPr>
            <w:tcW w:w="2460" w:type="dxa"/>
            <w:vAlign w:val="bottom"/>
            <w:shd w:val="clear" w:color="auto" w:fill="CCEEFF"/>
          </w:tcPr>
          <w:p>
            <w:pPr>
              <w:jc w:val="right"/>
              <w:ind w:right="1319"/>
              <w:spacing w:after="0" w:line="175" w:lineRule="exact"/>
              <w:rPr>
                <w:sz w:val="20"/>
                <w:szCs w:val="20"/>
                <w:color w:val="auto"/>
              </w:rPr>
            </w:pPr>
            <w:r>
              <w:rPr>
                <w:rFonts w:ascii="Times New Roman" w:cs="Times New Roman" w:eastAsia="Times New Roman" w:hAnsi="Times New Roman"/>
                <w:sz w:val="16"/>
                <w:szCs w:val="16"/>
                <w:color w:val="auto"/>
              </w:rPr>
              <w:t>03/14/2022</w:t>
            </w:r>
          </w:p>
        </w:tc>
      </w:tr>
      <w:tr>
        <w:trPr>
          <w:trHeight w:val="155"/>
        </w:trPr>
        <w:tc>
          <w:tcPr>
            <w:tcW w:w="1000" w:type="dxa"/>
            <w:vAlign w:val="bottom"/>
            <w:tcBorders>
              <w:top w:val="single" w:sz="8" w:color="CCEEFF"/>
            </w:tcBorders>
            <w:shd w:val="clear" w:color="auto" w:fill="CCEEFF"/>
          </w:tcPr>
          <w:p>
            <w:pPr>
              <w:spacing w:after="0"/>
              <w:rPr>
                <w:sz w:val="13"/>
                <w:szCs w:val="13"/>
                <w:color w:val="auto"/>
              </w:rPr>
            </w:pPr>
          </w:p>
        </w:tc>
        <w:tc>
          <w:tcPr>
            <w:tcW w:w="5360" w:type="dxa"/>
            <w:vAlign w:val="bottom"/>
            <w:tcBorders>
              <w:top w:val="single" w:sz="8" w:color="0000FF"/>
            </w:tcBorders>
            <w:gridSpan w:val="43"/>
            <w:shd w:val="clear" w:color="auto" w:fill="CCEEFF"/>
          </w:tcPr>
          <w:p>
            <w:pPr>
              <w:spacing w:after="0" w:line="155"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Company and Jason Ryan.</w:t>
              </w:r>
            </w:hyperlink>
          </w:p>
        </w:tc>
        <w:tc>
          <w:tcPr>
            <w:tcW w:w="280" w:type="dxa"/>
            <w:vAlign w:val="bottom"/>
            <w:tcBorders>
              <w:top w:val="single" w:sz="8" w:color="CCEEFF"/>
            </w:tcBorders>
            <w:gridSpan w:val="3"/>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2460" w:type="dxa"/>
            <w:vAlign w:val="bottom"/>
            <w:tcBorders>
              <w:top w:val="single" w:sz="8" w:color="CCEEFF"/>
            </w:tcBorders>
            <w:shd w:val="clear" w:color="auto" w:fill="CCEEFF"/>
          </w:tcPr>
          <w:p>
            <w:pPr>
              <w:spacing w:after="0"/>
              <w:rPr>
                <w:sz w:val="13"/>
                <w:szCs w:val="13"/>
                <w:color w:val="auto"/>
              </w:rPr>
            </w:pPr>
          </w:p>
        </w:tc>
      </w:tr>
      <w:tr>
        <w:trPr>
          <w:trHeight w:val="47"/>
        </w:trPr>
        <w:tc>
          <w:tcPr>
            <w:tcW w:w="10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9"/>
              </w:rPr>
              <w:t>10.30*</w:t>
            </w:r>
          </w:p>
        </w:tc>
        <w:tc>
          <w:tcPr>
            <w:tcW w:w="5660" w:type="dxa"/>
            <w:vAlign w:val="bottom"/>
            <w:gridSpan w:val="30"/>
            <w:shd w:val="clear" w:color="auto" w:fill="CCEEFF"/>
          </w:tcPr>
          <w:p>
            <w:pPr>
              <w:spacing w:after="0"/>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Amendment No. 1 to Executive Chairman Agreement.</w:t>
              </w:r>
            </w:hyperlink>
          </w:p>
        </w:tc>
        <w:tc>
          <w:tcPr>
            <w:tcW w:w="100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10.1</w:t>
            </w:r>
          </w:p>
        </w:tc>
        <w:tc>
          <w:tcPr>
            <w:tcW w:w="2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04/14/2023</w:t>
            </w:r>
          </w:p>
        </w:tc>
      </w:tr>
      <w:tr>
        <w:trPr>
          <w:trHeight w:val="54"/>
        </w:trPr>
        <w:tc>
          <w:tcPr>
            <w:tcW w:w="1000" w:type="dxa"/>
            <w:vAlign w:val="bottom"/>
            <w:tcBorders>
              <w:top w:val="single" w:sz="8" w:color="CCEE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6"/>
        </w:trPr>
        <w:tc>
          <w:tcPr>
            <w:tcW w:w="100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rPr>
              <w:t>10.31+</w:t>
            </w:r>
          </w:p>
        </w:tc>
        <w:tc>
          <w:tcPr>
            <w:tcW w:w="5660" w:type="dxa"/>
            <w:vAlign w:val="bottom"/>
            <w:gridSpan w:val="30"/>
            <w:shd w:val="clear" w:color="auto" w:fill="CCEEFF"/>
          </w:tcPr>
          <w:p>
            <w:pPr>
              <w:spacing w:after="0" w:line="175"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Transition Services Agreement, dated as of April 29, 2022, by and between</w:t>
              </w:r>
            </w:hyperlink>
          </w:p>
        </w:tc>
        <w:tc>
          <w:tcPr>
            <w:tcW w:w="1000" w:type="dxa"/>
            <w:vAlign w:val="bottom"/>
            <w:shd w:val="clear" w:color="auto" w:fill="CCEEFF"/>
          </w:tcPr>
          <w:p>
            <w:pPr>
              <w:jc w:val="center"/>
              <w:ind w:right="9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ind w:left="19"/>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2460" w:type="dxa"/>
            <w:vAlign w:val="bottom"/>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05/02/2022</w:t>
            </w: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4880" w:type="dxa"/>
            <w:vAlign w:val="bottom"/>
            <w:tcBorders>
              <w:top w:val="single" w:sz="8" w:color="0000FF"/>
            </w:tcBorders>
            <w:gridSpan w:val="16"/>
            <w:shd w:val="clear" w:color="auto" w:fill="CCEEFF"/>
          </w:tcPr>
          <w:p>
            <w:pPr>
              <w:spacing w:after="0" w:line="155"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GeneDx, Inc. and OPKO Health, Inc.</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6"/>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10.32*</w:t>
            </w:r>
          </w:p>
        </w:tc>
        <w:tc>
          <w:tcPr>
            <w:tcW w:w="5660" w:type="dxa"/>
            <w:vAlign w:val="bottom"/>
            <w:gridSpan w:val="30"/>
            <w:shd w:val="clear" w:color="auto" w:fill="CCEEFF"/>
          </w:tcPr>
          <w:p>
            <w:pPr>
              <w:spacing w:after="0" w:line="175"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Employment Agreement, dated as of January 14, 2022, as amended April 29, 2022,</w:t>
              </w:r>
            </w:hyperlink>
          </w:p>
        </w:tc>
        <w:tc>
          <w:tcPr>
            <w:tcW w:w="1000" w:type="dxa"/>
            <w:vAlign w:val="bottom"/>
            <w:shd w:val="clear" w:color="auto" w:fill="CCEEFF"/>
          </w:tcPr>
          <w:p>
            <w:pPr>
              <w:jc w:val="center"/>
              <w:ind w:right="9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ind w:left="19"/>
              <w:spacing w:after="0" w:line="175" w:lineRule="exact"/>
              <w:rPr>
                <w:sz w:val="20"/>
                <w:szCs w:val="20"/>
                <w:color w:val="auto"/>
              </w:rPr>
            </w:pPr>
            <w:r>
              <w:rPr>
                <w:rFonts w:ascii="Times New Roman" w:cs="Times New Roman" w:eastAsia="Times New Roman" w:hAnsi="Times New Roman"/>
                <w:sz w:val="16"/>
                <w:szCs w:val="16"/>
                <w:color w:val="auto"/>
              </w:rPr>
              <w:t>10.2</w:t>
            </w:r>
          </w:p>
        </w:tc>
        <w:tc>
          <w:tcPr>
            <w:tcW w:w="2460" w:type="dxa"/>
            <w:vAlign w:val="bottom"/>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05/02/2022</w:t>
            </w: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5420" w:type="dxa"/>
            <w:vAlign w:val="bottom"/>
            <w:tcBorders>
              <w:top w:val="single" w:sz="8" w:color="0000FF"/>
            </w:tcBorders>
            <w:gridSpan w:val="29"/>
            <w:shd w:val="clear" w:color="auto" w:fill="CCEEFF"/>
          </w:tcPr>
          <w:p>
            <w:pPr>
              <w:spacing w:after="0" w:line="155"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by and between Sema4 Holdings Corp. and Katherine Stueland.</w:t>
              </w:r>
            </w:hyperlink>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209"/>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10.33*</w:t>
            </w:r>
          </w:p>
        </w:tc>
        <w:tc>
          <w:tcPr>
            <w:tcW w:w="5660" w:type="dxa"/>
            <w:vAlign w:val="bottom"/>
            <w:gridSpan w:val="30"/>
            <w:shd w:val="clear" w:color="auto" w:fill="CCEEFF"/>
          </w:tcPr>
          <w:p>
            <w:pPr>
              <w:spacing w:after="0" w:line="175"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Employment Agreement of Kevin Feeley, dated January 14, 2022.</w:t>
              </w:r>
            </w:hyperlink>
          </w:p>
        </w:tc>
        <w:tc>
          <w:tcPr>
            <w:tcW w:w="1000" w:type="dxa"/>
            <w:vAlign w:val="bottom"/>
            <w:shd w:val="clear" w:color="auto" w:fill="CCEEFF"/>
          </w:tcPr>
          <w:p>
            <w:pPr>
              <w:jc w:val="center"/>
              <w:ind w:right="99"/>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1120" w:type="dxa"/>
            <w:vAlign w:val="bottom"/>
            <w:shd w:val="clear" w:color="auto" w:fill="CCEEFF"/>
          </w:tcPr>
          <w:p>
            <w:pPr>
              <w:jc w:val="center"/>
              <w:ind w:left="19"/>
              <w:spacing w:after="0" w:line="175" w:lineRule="exact"/>
              <w:rPr>
                <w:sz w:val="20"/>
                <w:szCs w:val="20"/>
                <w:color w:val="auto"/>
              </w:rPr>
            </w:pPr>
            <w:r>
              <w:rPr>
                <w:rFonts w:ascii="Times New Roman" w:cs="Times New Roman" w:eastAsia="Times New Roman" w:hAnsi="Times New Roman"/>
                <w:sz w:val="16"/>
                <w:szCs w:val="16"/>
                <w:color w:val="auto"/>
              </w:rPr>
              <w:t>10.32</w:t>
            </w:r>
          </w:p>
        </w:tc>
        <w:tc>
          <w:tcPr>
            <w:tcW w:w="2460" w:type="dxa"/>
            <w:vAlign w:val="bottom"/>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03/16/2023</w:t>
            </w:r>
          </w:p>
        </w:tc>
      </w:tr>
      <w:tr>
        <w:trPr>
          <w:trHeight w:val="54"/>
        </w:trPr>
        <w:tc>
          <w:tcPr>
            <w:tcW w:w="1000" w:type="dxa"/>
            <w:vAlign w:val="bottom"/>
            <w:tcBorders>
              <w:top w:val="single" w:sz="8" w:color="CCEE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10.34*</w:t>
            </w:r>
          </w:p>
        </w:tc>
        <w:tc>
          <w:tcPr>
            <w:tcW w:w="5660" w:type="dxa"/>
            <w:vAlign w:val="bottom"/>
            <w:gridSpan w:val="30"/>
            <w:shd w:val="clear" w:color="auto" w:fill="CCEEFF"/>
          </w:tcPr>
          <w:p>
            <w:pPr>
              <w:spacing w:after="0" w:line="175"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Amendment No. 1 to the Employment Agreement of Kevin Feeley, dated August</w:t>
              </w:r>
            </w:hyperlink>
          </w:p>
        </w:tc>
        <w:tc>
          <w:tcPr>
            <w:tcW w:w="1000" w:type="dxa"/>
            <w:vAlign w:val="bottom"/>
            <w:shd w:val="clear" w:color="auto" w:fill="CCEEFF"/>
          </w:tcPr>
          <w:p>
            <w:pPr>
              <w:jc w:val="center"/>
              <w:ind w:right="9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ind w:left="19"/>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2460" w:type="dxa"/>
            <w:vAlign w:val="bottom"/>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08/26/2022</w:t>
            </w:r>
          </w:p>
        </w:tc>
      </w:tr>
      <w:tr>
        <w:trPr>
          <w:trHeight w:val="208"/>
        </w:trPr>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0000FF"/>
              <w:bottom w:val="single" w:sz="8" w:color="0000FF"/>
            </w:tcBorders>
            <w:shd w:val="clear" w:color="auto" w:fill="CCEEFF"/>
          </w:tcPr>
          <w:p>
            <w:pPr>
              <w:spacing w:after="0" w:line="155" w:lineRule="exact"/>
              <w:rPr>
                <w:rFonts w:ascii="Times New Roman" w:cs="Times New Roman" w:eastAsia="Times New Roman" w:hAnsi="Times New Roman"/>
                <w:sz w:val="16"/>
                <w:szCs w:val="16"/>
                <w:color w:val="0000FF"/>
                <w:w w:val="96"/>
              </w:rPr>
            </w:pPr>
            <w:hyperlink r:id="rId180">
              <w:r>
                <w:rPr>
                  <w:rFonts w:ascii="Times New Roman" w:cs="Times New Roman" w:eastAsia="Times New Roman" w:hAnsi="Times New Roman"/>
                  <w:sz w:val="16"/>
                  <w:szCs w:val="16"/>
                  <w:color w:val="0000FF"/>
                  <w:w w:val="96"/>
                </w:rPr>
                <w:t>25, 2022.</w:t>
              </w:r>
            </w:hyperlink>
          </w:p>
        </w:tc>
        <w:tc>
          <w:tcPr>
            <w:tcW w:w="600" w:type="dxa"/>
            <w:vAlign w:val="bottom"/>
            <w:tcBorders>
              <w:top w:val="single" w:sz="8" w:color="0000FF"/>
              <w:bottom w:val="single" w:sz="8" w:color="CCEEFF"/>
            </w:tcBorders>
            <w:shd w:val="clear" w:color="auto" w:fill="CCEEFF"/>
          </w:tcPr>
          <w:p>
            <w:pPr>
              <w:spacing w:after="0"/>
              <w:rPr>
                <w:sz w:val="17"/>
                <w:szCs w:val="17"/>
                <w:color w:val="auto"/>
              </w:rPr>
            </w:pPr>
          </w:p>
        </w:tc>
        <w:tc>
          <w:tcPr>
            <w:tcW w:w="380" w:type="dxa"/>
            <w:vAlign w:val="bottom"/>
            <w:tcBorders>
              <w:top w:val="single" w:sz="8" w:color="0000FF"/>
              <w:bottom w:val="single" w:sz="8" w:color="CCEEFF"/>
            </w:tcBorders>
            <w:shd w:val="clear" w:color="auto" w:fill="CCEEFF"/>
          </w:tcPr>
          <w:p>
            <w:pPr>
              <w:spacing w:after="0"/>
              <w:rPr>
                <w:sz w:val="17"/>
                <w:szCs w:val="17"/>
                <w:color w:val="auto"/>
              </w:rPr>
            </w:pPr>
          </w:p>
        </w:tc>
        <w:tc>
          <w:tcPr>
            <w:tcW w:w="30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8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14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760" w:type="dxa"/>
            <w:vAlign w:val="bottom"/>
            <w:tcBorders>
              <w:top w:val="single" w:sz="8" w:color="0000FF"/>
              <w:bottom w:val="single" w:sz="8" w:color="CCEEFF"/>
            </w:tcBorders>
            <w:shd w:val="clear" w:color="auto" w:fill="CCEEFF"/>
          </w:tcPr>
          <w:p>
            <w:pPr>
              <w:spacing w:after="0"/>
              <w:rPr>
                <w:sz w:val="17"/>
                <w:szCs w:val="17"/>
                <w:color w:val="auto"/>
              </w:rPr>
            </w:pPr>
          </w:p>
        </w:tc>
        <w:tc>
          <w:tcPr>
            <w:tcW w:w="360" w:type="dxa"/>
            <w:vAlign w:val="bottom"/>
            <w:tcBorders>
              <w:top w:val="single" w:sz="8" w:color="0000FF"/>
              <w:bottom w:val="single" w:sz="8" w:color="CCEEFF"/>
            </w:tcBorders>
            <w:shd w:val="clear" w:color="auto" w:fill="CCEEFF"/>
          </w:tcPr>
          <w:p>
            <w:pPr>
              <w:spacing w:after="0"/>
              <w:rPr>
                <w:sz w:val="17"/>
                <w:szCs w:val="17"/>
                <w:color w:val="auto"/>
              </w:rPr>
            </w:pPr>
          </w:p>
        </w:tc>
        <w:tc>
          <w:tcPr>
            <w:tcW w:w="600" w:type="dxa"/>
            <w:vAlign w:val="bottom"/>
            <w:tcBorders>
              <w:top w:val="single" w:sz="8" w:color="0000FF"/>
              <w:bottom w:val="single" w:sz="8" w:color="CCEEFF"/>
            </w:tcBorders>
            <w:shd w:val="clear" w:color="auto" w:fill="CCEEFF"/>
          </w:tcPr>
          <w:p>
            <w:pPr>
              <w:spacing w:after="0"/>
              <w:rPr>
                <w:sz w:val="17"/>
                <w:szCs w:val="17"/>
                <w:color w:val="auto"/>
              </w:rPr>
            </w:pPr>
          </w:p>
        </w:tc>
        <w:tc>
          <w:tcPr>
            <w:tcW w:w="160" w:type="dxa"/>
            <w:vAlign w:val="bottom"/>
            <w:tcBorders>
              <w:top w:val="single" w:sz="8" w:color="0000FF"/>
              <w:bottom w:val="single" w:sz="8" w:color="CCEEFF"/>
            </w:tcBorders>
            <w:shd w:val="clear" w:color="auto" w:fill="CCEEFF"/>
          </w:tcPr>
          <w:p>
            <w:pPr>
              <w:spacing w:after="0"/>
              <w:rPr>
                <w:sz w:val="17"/>
                <w:szCs w:val="17"/>
                <w:color w:val="auto"/>
              </w:rPr>
            </w:pPr>
          </w:p>
        </w:tc>
        <w:tc>
          <w:tcPr>
            <w:tcW w:w="140" w:type="dxa"/>
            <w:vAlign w:val="bottom"/>
            <w:tcBorders>
              <w:top w:val="single" w:sz="8" w:color="0000FF"/>
              <w:bottom w:val="single" w:sz="8" w:color="CCEEFF"/>
            </w:tcBorders>
            <w:shd w:val="clear" w:color="auto" w:fill="CCEEFF"/>
          </w:tcPr>
          <w:p>
            <w:pPr>
              <w:spacing w:after="0"/>
              <w:rPr>
                <w:sz w:val="17"/>
                <w:szCs w:val="17"/>
                <w:color w:val="auto"/>
              </w:rPr>
            </w:pPr>
          </w:p>
        </w:tc>
        <w:tc>
          <w:tcPr>
            <w:tcW w:w="4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10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24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tcBorders>
              <w:bottom w:val="single" w:sz="8" w:color="CCEEFF"/>
            </w:tcBorders>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10.35#</w:t>
            </w:r>
          </w:p>
        </w:tc>
        <w:tc>
          <w:tcPr>
            <w:tcW w:w="5240" w:type="dxa"/>
            <w:vAlign w:val="bottom"/>
            <w:tcBorders>
              <w:bottom w:val="single" w:sz="8" w:color="0000FF"/>
            </w:tcBorders>
            <w:gridSpan w:val="23"/>
            <w:shd w:val="clear" w:color="auto" w:fill="CCEEFF"/>
          </w:tcPr>
          <w:p>
            <w:pPr>
              <w:spacing w:after="0" w:line="175"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Amendment No. 1 to BioMe Biospecimen and Data Access Agreement, dated as</w:t>
              </w:r>
            </w:hyperlink>
          </w:p>
        </w:tc>
        <w:tc>
          <w:tcPr>
            <w:tcW w:w="420" w:type="dxa"/>
            <w:vAlign w:val="bottom"/>
            <w:tcBorders>
              <w:bottom w:val="single" w:sz="8" w:color="CCEEFF"/>
            </w:tcBorders>
            <w:gridSpan w:val="7"/>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center"/>
              <w:ind w:right="99"/>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1120" w:type="dxa"/>
            <w:vAlign w:val="bottom"/>
            <w:tcBorders>
              <w:bottom w:val="single" w:sz="8" w:color="CCEEFF"/>
            </w:tcBorders>
            <w:shd w:val="clear" w:color="auto" w:fill="CCEEFF"/>
          </w:tcPr>
          <w:p>
            <w:pPr>
              <w:jc w:val="center"/>
              <w:ind w:left="19"/>
              <w:spacing w:after="0" w:line="175" w:lineRule="exact"/>
              <w:rPr>
                <w:sz w:val="20"/>
                <w:szCs w:val="20"/>
                <w:color w:val="auto"/>
              </w:rPr>
            </w:pPr>
            <w:r>
              <w:rPr>
                <w:rFonts w:ascii="Times New Roman" w:cs="Times New Roman" w:eastAsia="Times New Roman" w:hAnsi="Times New Roman"/>
                <w:sz w:val="16"/>
                <w:szCs w:val="16"/>
                <w:color w:val="auto"/>
              </w:rPr>
              <w:t>10.34</w:t>
            </w:r>
          </w:p>
        </w:tc>
        <w:tc>
          <w:tcPr>
            <w:tcW w:w="2460" w:type="dxa"/>
            <w:vAlign w:val="bottom"/>
            <w:tcBorders>
              <w:bottom w:val="single" w:sz="8" w:color="CCEEFF"/>
            </w:tcBorders>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03/16/2023</w:t>
            </w:r>
          </w:p>
        </w:tc>
      </w:tr>
      <w:tr>
        <w:trPr>
          <w:trHeight w:val="156"/>
        </w:trPr>
        <w:tc>
          <w:tcPr>
            <w:tcW w:w="1000" w:type="dxa"/>
            <w:vAlign w:val="bottom"/>
            <w:shd w:val="clear" w:color="auto" w:fill="CCEEFF"/>
          </w:tcPr>
          <w:p>
            <w:pPr>
              <w:spacing w:after="0"/>
              <w:rPr>
                <w:sz w:val="13"/>
                <w:szCs w:val="13"/>
                <w:color w:val="auto"/>
              </w:rPr>
            </w:pPr>
          </w:p>
        </w:tc>
        <w:tc>
          <w:tcPr>
            <w:tcW w:w="5660" w:type="dxa"/>
            <w:vAlign w:val="bottom"/>
            <w:gridSpan w:val="30"/>
            <w:shd w:val="clear" w:color="auto" w:fill="CCEEFF"/>
          </w:tcPr>
          <w:p>
            <w:pPr>
              <w:spacing w:after="0" w:line="155"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of January 19, 2023, by and between Icahn School of Medicine at Mount Sinai and</w:t>
              </w:r>
            </w:hyperlink>
          </w:p>
        </w:tc>
        <w:tc>
          <w:tcPr>
            <w:tcW w:w="10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5400" w:type="dxa"/>
            <w:vAlign w:val="bottom"/>
            <w:tcBorders>
              <w:top w:val="single" w:sz="8" w:color="0000FF"/>
            </w:tcBorders>
            <w:gridSpan w:val="28"/>
            <w:shd w:val="clear" w:color="auto" w:fill="CCEEFF"/>
          </w:tcPr>
          <w:p>
            <w:pPr>
              <w:spacing w:after="0" w:line="169"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Sema4 OpCo, Inc.</w:t>
              </w:r>
            </w:hyperlink>
          </w:p>
        </w:tc>
        <w:tc>
          <w:tcPr>
            <w:tcW w:w="260" w:type="dxa"/>
            <w:vAlign w:val="bottom"/>
            <w:tcBorders>
              <w:top w:val="single" w:sz="8" w:color="CCEEFF"/>
            </w:tcBorders>
            <w:gridSpan w:val="2"/>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209"/>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10.36</w:t>
            </w:r>
          </w:p>
        </w:tc>
        <w:tc>
          <w:tcPr>
            <w:tcW w:w="5660" w:type="dxa"/>
            <w:vAlign w:val="bottom"/>
            <w:gridSpan w:val="30"/>
            <w:shd w:val="clear" w:color="auto" w:fill="CCEEFF"/>
          </w:tcPr>
          <w:p>
            <w:pPr>
              <w:spacing w:after="0" w:line="175"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2022 Replacement Promissory Note.</w:t>
              </w:r>
            </w:hyperlink>
          </w:p>
        </w:tc>
        <w:tc>
          <w:tcPr>
            <w:tcW w:w="1000" w:type="dxa"/>
            <w:vAlign w:val="bottom"/>
            <w:shd w:val="clear" w:color="auto" w:fill="CCEEFF"/>
          </w:tcPr>
          <w:p>
            <w:pPr>
              <w:jc w:val="center"/>
              <w:ind w:right="99"/>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1120" w:type="dxa"/>
            <w:vAlign w:val="bottom"/>
            <w:shd w:val="clear" w:color="auto" w:fill="CCEEFF"/>
          </w:tcPr>
          <w:p>
            <w:pPr>
              <w:jc w:val="center"/>
              <w:ind w:left="19"/>
              <w:spacing w:after="0" w:line="175" w:lineRule="exact"/>
              <w:rPr>
                <w:sz w:val="20"/>
                <w:szCs w:val="20"/>
                <w:color w:val="auto"/>
              </w:rPr>
            </w:pPr>
            <w:r>
              <w:rPr>
                <w:rFonts w:ascii="Times New Roman" w:cs="Times New Roman" w:eastAsia="Times New Roman" w:hAnsi="Times New Roman"/>
                <w:sz w:val="16"/>
                <w:szCs w:val="16"/>
                <w:color w:val="auto"/>
              </w:rPr>
              <w:t>10.35</w:t>
            </w:r>
          </w:p>
        </w:tc>
        <w:tc>
          <w:tcPr>
            <w:tcW w:w="2460" w:type="dxa"/>
            <w:vAlign w:val="bottom"/>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03/16/2023</w:t>
            </w:r>
          </w:p>
        </w:tc>
      </w:tr>
      <w:tr>
        <w:trPr>
          <w:trHeight w:val="54"/>
        </w:trPr>
        <w:tc>
          <w:tcPr>
            <w:tcW w:w="1000" w:type="dxa"/>
            <w:vAlign w:val="bottom"/>
            <w:tcBorders>
              <w:top w:val="single" w:sz="8" w:color="CCEE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10.37</w:t>
            </w:r>
          </w:p>
        </w:tc>
        <w:tc>
          <w:tcPr>
            <w:tcW w:w="5660" w:type="dxa"/>
            <w:vAlign w:val="bottom"/>
            <w:gridSpan w:val="30"/>
            <w:shd w:val="clear" w:color="auto" w:fill="CCEEFF"/>
          </w:tcPr>
          <w:p>
            <w:pPr>
              <w:spacing w:after="0" w:line="175"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Credit Agreement and Guaranty, dated October 27, 2023, by and among the</w:t>
              </w:r>
            </w:hyperlink>
          </w:p>
        </w:tc>
        <w:tc>
          <w:tcPr>
            <w:tcW w:w="1000" w:type="dxa"/>
            <w:vAlign w:val="bottom"/>
            <w:shd w:val="clear" w:color="auto" w:fill="CCEEFF"/>
          </w:tcPr>
          <w:p>
            <w:pPr>
              <w:jc w:val="center"/>
              <w:ind w:right="9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ind w:left="19"/>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2460" w:type="dxa"/>
            <w:vAlign w:val="bottom"/>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10/30/2023</w:t>
            </w: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4920" w:type="dxa"/>
            <w:vAlign w:val="bottom"/>
            <w:tcBorders>
              <w:top w:val="single" w:sz="8" w:color="0000FF"/>
            </w:tcBorders>
            <w:gridSpan w:val="18"/>
            <w:shd w:val="clear" w:color="auto" w:fill="CCEEFF"/>
          </w:tcPr>
          <w:p>
            <w:pPr>
              <w:spacing w:after="0" w:line="155"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Company and Perceptive Credit Holdings IV, LP.</w:t>
              </w:r>
            </w:hyperlink>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3"/>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gridSpan w:val="3"/>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10.38</w:t>
            </w:r>
          </w:p>
        </w:tc>
        <w:tc>
          <w:tcPr>
            <w:tcW w:w="5660" w:type="dxa"/>
            <w:vAlign w:val="bottom"/>
            <w:gridSpan w:val="30"/>
            <w:shd w:val="clear" w:color="auto" w:fill="CCEEFF"/>
          </w:tcPr>
          <w:p>
            <w:pPr>
              <w:spacing w:after="0" w:line="175"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Security Agreement, dated October 27, 2023, by and among the Company and</w:t>
              </w:r>
            </w:hyperlink>
          </w:p>
        </w:tc>
        <w:tc>
          <w:tcPr>
            <w:tcW w:w="1000" w:type="dxa"/>
            <w:vAlign w:val="bottom"/>
            <w:shd w:val="clear" w:color="auto" w:fill="CCEEFF"/>
          </w:tcPr>
          <w:p>
            <w:pPr>
              <w:jc w:val="center"/>
              <w:ind w:right="9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ind w:left="19"/>
              <w:spacing w:after="0" w:line="175" w:lineRule="exact"/>
              <w:rPr>
                <w:sz w:val="20"/>
                <w:szCs w:val="20"/>
                <w:color w:val="auto"/>
              </w:rPr>
            </w:pPr>
            <w:r>
              <w:rPr>
                <w:rFonts w:ascii="Times New Roman" w:cs="Times New Roman" w:eastAsia="Times New Roman" w:hAnsi="Times New Roman"/>
                <w:sz w:val="16"/>
                <w:szCs w:val="16"/>
                <w:color w:val="auto"/>
              </w:rPr>
              <w:t>10.2</w:t>
            </w:r>
          </w:p>
        </w:tc>
        <w:tc>
          <w:tcPr>
            <w:tcW w:w="2460" w:type="dxa"/>
            <w:vAlign w:val="bottom"/>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10/30/2023</w:t>
            </w: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5080" w:type="dxa"/>
            <w:vAlign w:val="bottom"/>
            <w:tcBorders>
              <w:top w:val="single" w:sz="8" w:color="0000FF"/>
            </w:tcBorders>
            <w:gridSpan w:val="20"/>
            <w:shd w:val="clear" w:color="auto" w:fill="CCEEFF"/>
          </w:tcPr>
          <w:p>
            <w:pPr>
              <w:spacing w:after="0" w:line="155"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Perceptive Credit Holdings IV, LP.</w:t>
              </w:r>
            </w:hyperlink>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3"/>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gridSpan w:val="3"/>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209"/>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10.39</w:t>
            </w:r>
          </w:p>
        </w:tc>
        <w:tc>
          <w:tcPr>
            <w:tcW w:w="5660" w:type="dxa"/>
            <w:vAlign w:val="bottom"/>
            <w:gridSpan w:val="30"/>
            <w:shd w:val="clear" w:color="auto" w:fill="CCEEFF"/>
          </w:tcPr>
          <w:p>
            <w:pPr>
              <w:spacing w:after="0" w:line="175"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Form of Subscription Agreement.</w:t>
              </w:r>
            </w:hyperlink>
          </w:p>
        </w:tc>
        <w:tc>
          <w:tcPr>
            <w:tcW w:w="1000" w:type="dxa"/>
            <w:vAlign w:val="bottom"/>
            <w:shd w:val="clear" w:color="auto" w:fill="CCEEFF"/>
          </w:tcPr>
          <w:p>
            <w:pPr>
              <w:jc w:val="center"/>
              <w:ind w:right="9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1120" w:type="dxa"/>
            <w:vAlign w:val="bottom"/>
            <w:shd w:val="clear" w:color="auto" w:fill="CCEEFF"/>
          </w:tcPr>
          <w:p>
            <w:pPr>
              <w:jc w:val="center"/>
              <w:ind w:left="19"/>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2460" w:type="dxa"/>
            <w:vAlign w:val="bottom"/>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01/30/2023</w:t>
            </w:r>
          </w:p>
        </w:tc>
      </w:tr>
      <w:tr>
        <w:trPr>
          <w:trHeight w:val="54"/>
        </w:trPr>
        <w:tc>
          <w:tcPr>
            <w:tcW w:w="1000" w:type="dxa"/>
            <w:vAlign w:val="bottom"/>
            <w:tcBorders>
              <w:top w:val="single" w:sz="8" w:color="CCEE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rPr>
              <w:t>10.40+</w:t>
            </w:r>
          </w:p>
        </w:tc>
        <w:tc>
          <w:tcPr>
            <w:tcW w:w="5660" w:type="dxa"/>
            <w:vAlign w:val="bottom"/>
            <w:gridSpan w:val="30"/>
            <w:shd w:val="clear" w:color="auto" w:fill="CCEEFF"/>
          </w:tcPr>
          <w:p>
            <w:pPr>
              <w:spacing w:after="0" w:line="175"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Letter Agreement, Amendment No. 2 to Sub-Sublease, dated as of March 20,</w:t>
              </w:r>
            </w:hyperlink>
          </w:p>
        </w:tc>
        <w:tc>
          <w:tcPr>
            <w:tcW w:w="1000" w:type="dxa"/>
            <w:vAlign w:val="bottom"/>
            <w:shd w:val="clear" w:color="auto" w:fill="CCEEFF"/>
          </w:tcPr>
          <w:p>
            <w:pPr>
              <w:jc w:val="center"/>
              <w:ind w:right="99"/>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1120" w:type="dxa"/>
            <w:vAlign w:val="bottom"/>
            <w:shd w:val="clear" w:color="auto" w:fill="CCEEFF"/>
          </w:tcPr>
          <w:p>
            <w:pPr>
              <w:jc w:val="center"/>
              <w:ind w:left="19"/>
              <w:spacing w:after="0" w:line="175" w:lineRule="exact"/>
              <w:rPr>
                <w:sz w:val="20"/>
                <w:szCs w:val="20"/>
                <w:color w:val="auto"/>
              </w:rPr>
            </w:pPr>
            <w:r>
              <w:rPr>
                <w:rFonts w:ascii="Times New Roman" w:cs="Times New Roman" w:eastAsia="Times New Roman" w:hAnsi="Times New Roman"/>
                <w:sz w:val="16"/>
                <w:szCs w:val="16"/>
                <w:color w:val="auto"/>
              </w:rPr>
              <w:t>10.3</w:t>
            </w:r>
          </w:p>
        </w:tc>
        <w:tc>
          <w:tcPr>
            <w:tcW w:w="2460" w:type="dxa"/>
            <w:vAlign w:val="bottom"/>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05/09/2023</w:t>
            </w:r>
          </w:p>
        </w:tc>
      </w:tr>
      <w:tr>
        <w:trPr>
          <w:trHeight w:val="20"/>
        </w:trPr>
        <w:tc>
          <w:tcPr>
            <w:tcW w:w="1000" w:type="dxa"/>
            <w:vAlign w:val="bottom"/>
            <w:shd w:val="clear" w:color="auto" w:fill="CCEE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40" w:type="dxa"/>
            <w:vAlign w:val="bottom"/>
            <w:gridSpan w:val="9"/>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gridSpan w:val="3"/>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r>
      <w:tr>
        <w:trPr>
          <w:trHeight w:val="203"/>
        </w:trPr>
        <w:tc>
          <w:tcPr>
            <w:tcW w:w="1000" w:type="dxa"/>
            <w:vAlign w:val="bottom"/>
            <w:shd w:val="clear" w:color="auto" w:fill="CCEEFF"/>
          </w:tcPr>
          <w:p>
            <w:pPr>
              <w:spacing w:after="0"/>
              <w:rPr>
                <w:sz w:val="17"/>
                <w:szCs w:val="17"/>
                <w:color w:val="auto"/>
              </w:rPr>
            </w:pPr>
          </w:p>
        </w:tc>
        <w:tc>
          <w:tcPr>
            <w:tcW w:w="5660" w:type="dxa"/>
            <w:vAlign w:val="bottom"/>
            <w:gridSpan w:val="30"/>
            <w:shd w:val="clear" w:color="auto" w:fill="CCEEFF"/>
          </w:tcPr>
          <w:p>
            <w:pPr>
              <w:spacing w:after="0" w:line="155"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2023, by and between Icahn School of Medicine at Mount Sinai and the Company.</w:t>
              </w:r>
            </w:hyperlink>
          </w:p>
        </w:tc>
        <w:tc>
          <w:tcPr>
            <w:tcW w:w="10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209"/>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21.1</w:t>
            </w:r>
          </w:p>
        </w:tc>
        <w:tc>
          <w:tcPr>
            <w:tcW w:w="5660" w:type="dxa"/>
            <w:vAlign w:val="bottom"/>
            <w:gridSpan w:val="3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Subsidiaries of the Company.</w:t>
            </w: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60" w:type="dxa"/>
            <w:vAlign w:val="bottom"/>
            <w:shd w:val="clear" w:color="auto" w:fill="CCEEFF"/>
          </w:tcPr>
          <w:p>
            <w:pPr>
              <w:ind w:left="1840"/>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54"/>
        </w:trPr>
        <w:tc>
          <w:tcPr>
            <w:tcW w:w="1000" w:type="dxa"/>
            <w:vAlign w:val="bottom"/>
            <w:tcBorders>
              <w:top w:val="single" w:sz="8" w:color="CCEE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6"/>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23.1</w:t>
            </w:r>
          </w:p>
        </w:tc>
        <w:tc>
          <w:tcPr>
            <w:tcW w:w="5660" w:type="dxa"/>
            <w:vAlign w:val="bottom"/>
            <w:gridSpan w:val="3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Consent of Ernst &amp; Young LLP, independent registered accounting firm for</w:t>
            </w:r>
          </w:p>
        </w:tc>
        <w:tc>
          <w:tcPr>
            <w:tcW w:w="10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60" w:type="dxa"/>
            <w:vAlign w:val="bottom"/>
            <w:shd w:val="clear" w:color="auto" w:fill="CCEEFF"/>
          </w:tcPr>
          <w:p>
            <w:pPr>
              <w:ind w:left="1840"/>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4900" w:type="dxa"/>
            <w:vAlign w:val="bottom"/>
            <w:tcBorders>
              <w:top w:val="single" w:sz="8" w:color="0000FF"/>
            </w:tcBorders>
            <w:gridSpan w:val="17"/>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GeneDx Holdings Corp.</w:t>
            </w:r>
          </w:p>
        </w:tc>
        <w:tc>
          <w:tcPr>
            <w:tcW w:w="280" w:type="dxa"/>
            <w:vAlign w:val="bottom"/>
            <w:tcBorders>
              <w:top w:val="single" w:sz="8" w:color="CCEEFF"/>
            </w:tcBorders>
            <w:gridSpan w:val="4"/>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3"/>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280" w:type="dxa"/>
            <w:vAlign w:val="bottom"/>
            <w:tcBorders>
              <w:top w:val="single" w:sz="8" w:color="CCEEFF"/>
            </w:tcBorders>
            <w:gridSpan w:val="3"/>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24.1</w:t>
            </w:r>
          </w:p>
        </w:tc>
        <w:tc>
          <w:tcPr>
            <w:tcW w:w="5660" w:type="dxa"/>
            <w:vAlign w:val="bottom"/>
            <w:gridSpan w:val="3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Power of Attorney (included on signature page to this Annual Report on Form 10-</w:t>
            </w:r>
          </w:p>
        </w:tc>
        <w:tc>
          <w:tcPr>
            <w:tcW w:w="10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60" w:type="dxa"/>
            <w:vAlign w:val="bottom"/>
            <w:shd w:val="clear" w:color="auto" w:fill="CCEEFF"/>
          </w:tcPr>
          <w:p>
            <w:pPr>
              <w:ind w:left="1840"/>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23"/>
        </w:trPr>
        <w:tc>
          <w:tcPr>
            <w:tcW w:w="1000" w:type="dxa"/>
            <w:vAlign w:val="bottom"/>
            <w:tcBorders>
              <w:bottom w:val="single" w:sz="8" w:color="CCEEFF"/>
            </w:tcBorders>
            <w:shd w:val="clear" w:color="auto" w:fill="CCEEFF"/>
          </w:tcPr>
          <w:p>
            <w:pPr>
              <w:spacing w:after="0"/>
              <w:rPr>
                <w:sz w:val="19"/>
                <w:szCs w:val="19"/>
                <w:color w:val="auto"/>
              </w:rPr>
            </w:pPr>
          </w:p>
        </w:tc>
        <w:tc>
          <w:tcPr>
            <w:tcW w:w="5660" w:type="dxa"/>
            <w:vAlign w:val="bottom"/>
            <w:tcBorders>
              <w:bottom w:val="single" w:sz="8" w:color="CCEEFF"/>
            </w:tcBorders>
            <w:gridSpan w:val="30"/>
            <w:shd w:val="clear" w:color="auto" w:fill="CCEEFF"/>
          </w:tcPr>
          <w:p>
            <w:pPr>
              <w:spacing w:after="0"/>
              <w:rPr>
                <w:sz w:val="20"/>
                <w:szCs w:val="20"/>
                <w:color w:val="auto"/>
              </w:rPr>
            </w:pPr>
            <w:r>
              <w:rPr>
                <w:rFonts w:ascii="Times New Roman" w:cs="Times New Roman" w:eastAsia="Times New Roman" w:hAnsi="Times New Roman"/>
                <w:sz w:val="16"/>
                <w:szCs w:val="16"/>
                <w:color w:val="auto"/>
              </w:rPr>
              <w:t>K).</w:t>
            </w:r>
          </w:p>
        </w:tc>
        <w:tc>
          <w:tcPr>
            <w:tcW w:w="10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460" w:type="dxa"/>
            <w:vAlign w:val="bottom"/>
            <w:tcBorders>
              <w:bottom w:val="single" w:sz="8" w:color="CCEEFF"/>
            </w:tcBorders>
            <w:shd w:val="clear" w:color="auto" w:fill="CCEEFF"/>
          </w:tcPr>
          <w:p>
            <w:pPr>
              <w:spacing w:after="0"/>
              <w:rPr>
                <w:sz w:val="19"/>
                <w:szCs w:val="19"/>
                <w:color w:val="auto"/>
              </w:rPr>
            </w:pPr>
          </w:p>
        </w:tc>
      </w:tr>
      <w:tr>
        <w:trPr>
          <w:trHeight w:val="54"/>
        </w:trPr>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60" w:type="dxa"/>
            <w:vAlign w:val="bottom"/>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31.1</w:t>
            </w:r>
          </w:p>
        </w:tc>
        <w:tc>
          <w:tcPr>
            <w:tcW w:w="5660" w:type="dxa"/>
            <w:vAlign w:val="bottom"/>
            <w:gridSpan w:val="3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Securities Exchange Act</w:t>
            </w:r>
          </w:p>
        </w:tc>
        <w:tc>
          <w:tcPr>
            <w:tcW w:w="10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60" w:type="dxa"/>
            <w:vAlign w:val="bottom"/>
            <w:shd w:val="clear" w:color="auto" w:fill="CCEEFF"/>
          </w:tcPr>
          <w:p>
            <w:pPr>
              <w:ind w:left="1840"/>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156"/>
        </w:trPr>
        <w:tc>
          <w:tcPr>
            <w:tcW w:w="1000" w:type="dxa"/>
            <w:vAlign w:val="bottom"/>
            <w:tcBorders>
              <w:top w:val="single" w:sz="8" w:color="CCEEFF"/>
            </w:tcBorders>
            <w:shd w:val="clear" w:color="auto" w:fill="CCEEFF"/>
          </w:tcPr>
          <w:p>
            <w:pPr>
              <w:spacing w:after="0"/>
              <w:rPr>
                <w:sz w:val="13"/>
                <w:szCs w:val="13"/>
                <w:color w:val="auto"/>
              </w:rPr>
            </w:pPr>
          </w:p>
        </w:tc>
        <w:tc>
          <w:tcPr>
            <w:tcW w:w="5220" w:type="dxa"/>
            <w:vAlign w:val="bottom"/>
            <w:tcBorders>
              <w:top w:val="single" w:sz="8" w:color="0000FF"/>
            </w:tcBorders>
            <w:gridSpan w:val="22"/>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Rules 13a-14(a) and 15(d)-14(a), as adopted Pursuant to Section 302 of the</w:t>
            </w:r>
          </w:p>
        </w:tc>
        <w:tc>
          <w:tcPr>
            <w:tcW w:w="10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80" w:type="dxa"/>
            <w:vAlign w:val="bottom"/>
            <w:tcBorders>
              <w:top w:val="single" w:sz="8" w:color="CCEEFF"/>
            </w:tcBorders>
            <w:gridSpan w:val="3"/>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2460" w:type="dxa"/>
            <w:vAlign w:val="bottom"/>
            <w:tcBorders>
              <w:top w:val="single" w:sz="8" w:color="CCEEFF"/>
            </w:tcBorders>
            <w:shd w:val="clear" w:color="auto" w:fill="CCEEFF"/>
          </w:tcPr>
          <w:p>
            <w:pPr>
              <w:spacing w:after="0"/>
              <w:rPr>
                <w:sz w:val="13"/>
                <w:szCs w:val="13"/>
                <w:color w:val="auto"/>
              </w:rPr>
            </w:pP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4860" w:type="dxa"/>
            <w:vAlign w:val="bottom"/>
            <w:tcBorders>
              <w:top w:val="single" w:sz="8" w:color="0000FF"/>
            </w:tcBorders>
            <w:gridSpan w:val="15"/>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Sarbanes-Oxley Act of 2002.</w:t>
            </w:r>
          </w:p>
        </w:tc>
        <w:tc>
          <w:tcPr>
            <w:tcW w:w="320" w:type="dxa"/>
            <w:vAlign w:val="bottom"/>
            <w:tcBorders>
              <w:top w:val="single" w:sz="8" w:color="CCEEFF"/>
            </w:tcBorders>
            <w:gridSpan w:val="6"/>
            <w:shd w:val="clear" w:color="auto" w:fill="CCEEFF"/>
          </w:tcPr>
          <w:p>
            <w:pPr>
              <w:spacing w:after="0"/>
              <w:rPr>
                <w:sz w:val="17"/>
                <w:szCs w:val="17"/>
                <w:color w:val="auto"/>
              </w:rPr>
            </w:pPr>
          </w:p>
        </w:tc>
        <w:tc>
          <w:tcPr>
            <w:tcW w:w="140" w:type="dxa"/>
            <w:vAlign w:val="bottom"/>
            <w:tcBorders>
              <w:top w:val="single" w:sz="8" w:color="CCEEFF"/>
            </w:tcBorders>
            <w:gridSpan w:val="4"/>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280" w:type="dxa"/>
            <w:vAlign w:val="bottom"/>
            <w:tcBorders>
              <w:top w:val="single" w:sz="8" w:color="CCEEFF"/>
            </w:tcBorders>
            <w:gridSpan w:val="3"/>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31.2</w:t>
            </w:r>
          </w:p>
        </w:tc>
        <w:tc>
          <w:tcPr>
            <w:tcW w:w="5660" w:type="dxa"/>
            <w:vAlign w:val="bottom"/>
            <w:gridSpan w:val="3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Securities Exchange Act</w:t>
            </w:r>
          </w:p>
        </w:tc>
        <w:tc>
          <w:tcPr>
            <w:tcW w:w="10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60" w:type="dxa"/>
            <w:vAlign w:val="bottom"/>
            <w:shd w:val="clear" w:color="auto" w:fill="CCEEFF"/>
          </w:tcPr>
          <w:p>
            <w:pPr>
              <w:ind w:left="1840"/>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155"/>
        </w:trPr>
        <w:tc>
          <w:tcPr>
            <w:tcW w:w="1000" w:type="dxa"/>
            <w:vAlign w:val="bottom"/>
            <w:tcBorders>
              <w:top w:val="single" w:sz="8" w:color="CCEEFF"/>
            </w:tcBorders>
            <w:shd w:val="clear" w:color="auto" w:fill="CCEEFF"/>
          </w:tcPr>
          <w:p>
            <w:pPr>
              <w:spacing w:after="0"/>
              <w:rPr>
                <w:sz w:val="13"/>
                <w:szCs w:val="13"/>
                <w:color w:val="auto"/>
              </w:rPr>
            </w:pPr>
          </w:p>
        </w:tc>
        <w:tc>
          <w:tcPr>
            <w:tcW w:w="5180" w:type="dxa"/>
            <w:vAlign w:val="bottom"/>
            <w:tcBorders>
              <w:top w:val="single" w:sz="8" w:color="0000FF"/>
            </w:tcBorders>
            <w:gridSpan w:val="21"/>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Rules 13a-14(a) and 15(d)-14(a), as adopted Pursuant to Section 302 of the</w:t>
            </w:r>
          </w:p>
        </w:tc>
        <w:tc>
          <w:tcPr>
            <w:tcW w:w="140" w:type="dxa"/>
            <w:vAlign w:val="bottom"/>
            <w:tcBorders>
              <w:top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80" w:type="dxa"/>
            <w:vAlign w:val="bottom"/>
            <w:tcBorders>
              <w:top w:val="single" w:sz="8" w:color="CCEEFF"/>
            </w:tcBorders>
            <w:gridSpan w:val="3"/>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2460" w:type="dxa"/>
            <w:vAlign w:val="bottom"/>
            <w:tcBorders>
              <w:top w:val="single" w:sz="8" w:color="CCEEFF"/>
            </w:tcBorders>
            <w:shd w:val="clear" w:color="auto" w:fill="CCEEFF"/>
          </w:tcPr>
          <w:p>
            <w:pPr>
              <w:spacing w:after="0"/>
              <w:rPr>
                <w:sz w:val="13"/>
                <w:szCs w:val="13"/>
                <w:color w:val="auto"/>
              </w:rPr>
            </w:pP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4860" w:type="dxa"/>
            <w:vAlign w:val="bottom"/>
            <w:tcBorders>
              <w:top w:val="single" w:sz="8" w:color="0000FF"/>
            </w:tcBorders>
            <w:gridSpan w:val="15"/>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Sarbanes-Oxley Act of 2002.</w:t>
            </w:r>
          </w:p>
        </w:tc>
        <w:tc>
          <w:tcPr>
            <w:tcW w:w="460" w:type="dxa"/>
            <w:vAlign w:val="bottom"/>
            <w:tcBorders>
              <w:top w:val="single" w:sz="8" w:color="CCEEFF"/>
            </w:tcBorders>
            <w:gridSpan w:val="10"/>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280" w:type="dxa"/>
            <w:vAlign w:val="bottom"/>
            <w:tcBorders>
              <w:top w:val="single" w:sz="8" w:color="CCEEFF"/>
            </w:tcBorders>
            <w:gridSpan w:val="3"/>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32.1**</w:t>
            </w:r>
          </w:p>
        </w:tc>
        <w:tc>
          <w:tcPr>
            <w:tcW w:w="5660" w:type="dxa"/>
            <w:vAlign w:val="bottom"/>
            <w:gridSpan w:val="3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18 U.S.C. Section 1350, as</w:t>
            </w:r>
          </w:p>
        </w:tc>
        <w:tc>
          <w:tcPr>
            <w:tcW w:w="10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60" w:type="dxa"/>
            <w:vAlign w:val="bottom"/>
            <w:shd w:val="clear" w:color="auto" w:fill="CCEEFF"/>
          </w:tcPr>
          <w:p>
            <w:pPr>
              <w:ind w:left="1840"/>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5380" w:type="dxa"/>
            <w:vAlign w:val="bottom"/>
            <w:tcBorders>
              <w:top w:val="single" w:sz="8" w:color="0000FF"/>
            </w:tcBorders>
            <w:gridSpan w:val="27"/>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adopted Pursuant to Section 906 of the Sarbanes-Oxley Act of 2002.</w:t>
            </w:r>
          </w:p>
        </w:tc>
        <w:tc>
          <w:tcPr>
            <w:tcW w:w="280" w:type="dxa"/>
            <w:vAlign w:val="bottom"/>
            <w:tcBorders>
              <w:top w:val="single" w:sz="8" w:color="CCEEFF"/>
            </w:tcBorders>
            <w:gridSpan w:val="3"/>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32.2**</w:t>
            </w:r>
          </w:p>
        </w:tc>
        <w:tc>
          <w:tcPr>
            <w:tcW w:w="5660" w:type="dxa"/>
            <w:vAlign w:val="bottom"/>
            <w:gridSpan w:val="3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 1350, as</w:t>
            </w:r>
          </w:p>
        </w:tc>
        <w:tc>
          <w:tcPr>
            <w:tcW w:w="10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60" w:type="dxa"/>
            <w:vAlign w:val="bottom"/>
            <w:shd w:val="clear" w:color="auto" w:fill="CCEEFF"/>
          </w:tcPr>
          <w:p>
            <w:pPr>
              <w:ind w:left="1840"/>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03"/>
        </w:trPr>
        <w:tc>
          <w:tcPr>
            <w:tcW w:w="1000" w:type="dxa"/>
            <w:vAlign w:val="bottom"/>
            <w:tcBorders>
              <w:top w:val="single" w:sz="8" w:color="CCEEFF"/>
            </w:tcBorders>
            <w:shd w:val="clear" w:color="auto" w:fill="CCEEFF"/>
          </w:tcPr>
          <w:p>
            <w:pPr>
              <w:spacing w:after="0"/>
              <w:rPr>
                <w:sz w:val="17"/>
                <w:szCs w:val="17"/>
                <w:color w:val="auto"/>
              </w:rPr>
            </w:pPr>
          </w:p>
        </w:tc>
        <w:tc>
          <w:tcPr>
            <w:tcW w:w="5320" w:type="dxa"/>
            <w:vAlign w:val="bottom"/>
            <w:tcBorders>
              <w:top w:val="single" w:sz="8" w:color="0000FF"/>
            </w:tcBorders>
            <w:gridSpan w:val="25"/>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adopted Pursuant to Section 906 of the Sarbanes-Oxley Act of 2002.</w:t>
            </w:r>
          </w:p>
        </w:tc>
        <w:tc>
          <w:tcPr>
            <w:tcW w:w="340" w:type="dxa"/>
            <w:vAlign w:val="bottom"/>
            <w:tcBorders>
              <w:top w:val="single" w:sz="8" w:color="CCEEFF"/>
            </w:tcBorders>
            <w:gridSpan w:val="5"/>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r>
      <w:tr>
        <w:trPr>
          <w:trHeight w:val="54"/>
        </w:trPr>
        <w:tc>
          <w:tcPr>
            <w:tcW w:w="1000" w:type="dxa"/>
            <w:vAlign w:val="bottom"/>
            <w:tcBorders>
              <w:top w:val="single" w:sz="8" w:color="CCEE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2460" w:type="dxa"/>
            <w:vAlign w:val="bottom"/>
            <w:tcBorders>
              <w:top w:val="single" w:sz="8" w:color="CCEEFF"/>
            </w:tcBorders>
          </w:tcPr>
          <w:p>
            <w:pPr>
              <w:spacing w:after="0"/>
              <w:rPr>
                <w:sz w:val="4"/>
                <w:szCs w:val="4"/>
                <w:color w:val="auto"/>
              </w:rPr>
            </w:pPr>
          </w:p>
        </w:tc>
      </w:tr>
      <w:tr>
        <w:trPr>
          <w:trHeight w:val="230"/>
        </w:trPr>
        <w:tc>
          <w:tcPr>
            <w:tcW w:w="10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9"/>
              </w:rPr>
              <w:t>97.1</w:t>
            </w:r>
          </w:p>
        </w:tc>
        <w:tc>
          <w:tcPr>
            <w:tcW w:w="566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6"/>
                <w:szCs w:val="16"/>
                <w:color w:val="auto"/>
              </w:rPr>
              <w:t>Policy Relating to Recovery of Erroneously Awarded Compensation.</w:t>
            </w: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60" w:type="dxa"/>
            <w:vAlign w:val="bottom"/>
          </w:tcPr>
          <w:p>
            <w:pPr>
              <w:spacing w:after="0"/>
              <w:rPr>
                <w:sz w:val="4"/>
                <w:szCs w:val="4"/>
                <w:color w:val="auto"/>
              </w:rPr>
            </w:pPr>
          </w:p>
        </w:tc>
      </w:tr>
      <w:tr>
        <w:trPr>
          <w:trHeight w:val="230"/>
        </w:trPr>
        <w:tc>
          <w:tcPr>
            <w:tcW w:w="10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101.INS</w:t>
            </w:r>
          </w:p>
        </w:tc>
        <w:tc>
          <w:tcPr>
            <w:tcW w:w="566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60" w:type="dxa"/>
            <w:vAlign w:val="bottom"/>
          </w:tcPr>
          <w:p>
            <w:pPr>
              <w:spacing w:after="0"/>
              <w:rPr>
                <w:sz w:val="4"/>
                <w:szCs w:val="4"/>
                <w:color w:val="auto"/>
              </w:rPr>
            </w:pPr>
          </w:p>
        </w:tc>
      </w:tr>
      <w:tr>
        <w:trPr>
          <w:trHeight w:val="229"/>
        </w:trPr>
        <w:tc>
          <w:tcPr>
            <w:tcW w:w="10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101.CAL</w:t>
            </w:r>
          </w:p>
        </w:tc>
        <w:tc>
          <w:tcPr>
            <w:tcW w:w="566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60" w:type="dxa"/>
            <w:vAlign w:val="bottom"/>
          </w:tcPr>
          <w:p>
            <w:pPr>
              <w:spacing w:after="0"/>
              <w:rPr>
                <w:sz w:val="4"/>
                <w:szCs w:val="4"/>
                <w:color w:val="auto"/>
              </w:rPr>
            </w:pPr>
          </w:p>
        </w:tc>
      </w:tr>
      <w:tr>
        <w:trPr>
          <w:trHeight w:val="230"/>
        </w:trPr>
        <w:tc>
          <w:tcPr>
            <w:tcW w:w="10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101.SCH</w:t>
            </w:r>
          </w:p>
        </w:tc>
        <w:tc>
          <w:tcPr>
            <w:tcW w:w="566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60" w:type="dxa"/>
            <w:vAlign w:val="bottom"/>
          </w:tcPr>
          <w:p>
            <w:pPr>
              <w:spacing w:after="0"/>
              <w:rPr>
                <w:sz w:val="4"/>
                <w:szCs w:val="4"/>
                <w:color w:val="auto"/>
              </w:rPr>
            </w:pPr>
          </w:p>
        </w:tc>
      </w:tr>
      <w:tr>
        <w:trPr>
          <w:trHeight w:val="230"/>
        </w:trPr>
        <w:tc>
          <w:tcPr>
            <w:tcW w:w="10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101.DEF</w:t>
            </w:r>
          </w:p>
        </w:tc>
        <w:tc>
          <w:tcPr>
            <w:tcW w:w="566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60" w:type="dxa"/>
            <w:vAlign w:val="bottom"/>
          </w:tcPr>
          <w:p>
            <w:pPr>
              <w:spacing w:after="0"/>
              <w:rPr>
                <w:sz w:val="4"/>
                <w:szCs w:val="4"/>
                <w:color w:val="auto"/>
              </w:rPr>
            </w:pPr>
          </w:p>
        </w:tc>
      </w:tr>
      <w:tr>
        <w:trPr>
          <w:trHeight w:val="230"/>
        </w:trPr>
        <w:tc>
          <w:tcPr>
            <w:tcW w:w="10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101.LAB</w:t>
            </w:r>
          </w:p>
        </w:tc>
        <w:tc>
          <w:tcPr>
            <w:tcW w:w="566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Labels Linkbase Document</w:t>
            </w: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60" w:type="dxa"/>
            <w:vAlign w:val="bottom"/>
          </w:tcPr>
          <w:p>
            <w:pPr>
              <w:spacing w:after="0"/>
              <w:rPr>
                <w:sz w:val="4"/>
                <w:szCs w:val="4"/>
                <w:color w:val="auto"/>
              </w:rPr>
            </w:pPr>
          </w:p>
        </w:tc>
      </w:tr>
      <w:tr>
        <w:trPr>
          <w:trHeight w:val="230"/>
        </w:trPr>
        <w:tc>
          <w:tcPr>
            <w:tcW w:w="10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101.PRE</w:t>
            </w:r>
          </w:p>
        </w:tc>
        <w:tc>
          <w:tcPr>
            <w:tcW w:w="566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60" w:type="dxa"/>
            <w:vAlign w:val="bottom"/>
          </w:tcPr>
          <w:p>
            <w:pPr>
              <w:spacing w:after="0"/>
              <w:rPr>
                <w:sz w:val="4"/>
                <w:szCs w:val="4"/>
                <w:color w:val="auto"/>
              </w:rPr>
            </w:pPr>
          </w:p>
        </w:tc>
      </w:tr>
      <w:tr>
        <w:trPr>
          <w:trHeight w:val="175"/>
        </w:trPr>
        <w:tc>
          <w:tcPr>
            <w:tcW w:w="100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9"/>
              </w:rPr>
              <w:t>104</w:t>
            </w:r>
          </w:p>
        </w:tc>
        <w:tc>
          <w:tcPr>
            <w:tcW w:w="5660" w:type="dxa"/>
            <w:vAlign w:val="bottom"/>
            <w:gridSpan w:val="3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Cover Page Interactive Data File (formatted as inline XBRL with applicable</w:t>
            </w:r>
          </w:p>
        </w:tc>
        <w:tc>
          <w:tcPr>
            <w:tcW w:w="10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60" w:type="dxa"/>
            <w:vAlign w:val="bottom"/>
            <w:shd w:val="clear" w:color="auto" w:fill="CCEEFF"/>
          </w:tcPr>
          <w:p>
            <w:pPr>
              <w:ind w:left="1840"/>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10"/>
        </w:trPr>
        <w:tc>
          <w:tcPr>
            <w:tcW w:w="1000" w:type="dxa"/>
            <w:vAlign w:val="bottom"/>
            <w:shd w:val="clear" w:color="auto" w:fill="CCEEFF"/>
          </w:tcPr>
          <w:p>
            <w:pPr>
              <w:spacing w:after="0"/>
              <w:rPr>
                <w:sz w:val="18"/>
                <w:szCs w:val="18"/>
                <w:color w:val="auto"/>
              </w:rPr>
            </w:pPr>
          </w:p>
        </w:tc>
        <w:tc>
          <w:tcPr>
            <w:tcW w:w="566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6"/>
                <w:szCs w:val="16"/>
                <w:color w:val="auto"/>
              </w:rPr>
              <w:t>taxonomy extension information contained in Exhibits 101.)</w:t>
            </w: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r>
      <w:tr>
        <w:trPr>
          <w:trHeight w:val="33"/>
        </w:trPr>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ind w:left="20" w:right="7560" w:firstLine="6"/>
        <w:spacing w:after="0" w:line="329" w:lineRule="auto"/>
        <w:tabs>
          <w:tab w:leader="none" w:pos="41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 Furnished.</w:t>
      </w:r>
    </w:p>
    <w:p>
      <w:pPr>
        <w:spacing w:after="0" w:line="200" w:lineRule="exact"/>
        <w:rPr>
          <w:sz w:val="20"/>
          <w:szCs w:val="20"/>
          <w:color w:val="auto"/>
        </w:rPr>
      </w:pPr>
    </w:p>
    <w:p>
      <w:pPr>
        <w:spacing w:after="0" w:line="2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20" w:right="3260" w:hanging="394"/>
        <w:spacing w:after="0" w:line="250" w:lineRule="auto"/>
        <w:tabs>
          <w:tab w:leader="none" w:pos="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15" w:lineRule="exact"/>
        <w:rPr>
          <w:sz w:val="20"/>
          <w:szCs w:val="20"/>
          <w:color w:val="auto"/>
        </w:rPr>
      </w:pPr>
    </w:p>
    <w:p>
      <w:pPr>
        <w:ind w:left="420" w:hanging="394"/>
        <w:spacing w:after="0"/>
        <w:tabs>
          <w:tab w:leader="none" w:pos="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omitted portions of the exhibit as permitted under Regulation S-K Item 601(b)(10).</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voluntarily include a summary of information required by Form 10-K under this Item 16. We have elected not to include such summary information.</w:t>
      </w:r>
    </w:p>
    <w:p>
      <w:pPr>
        <w:spacing w:after="0" w:line="200" w:lineRule="exact"/>
        <w:rPr>
          <w:sz w:val="20"/>
          <w:szCs w:val="20"/>
          <w:color w:val="auto"/>
        </w:rPr>
      </w:pPr>
    </w:p>
    <w:p>
      <w:pPr>
        <w:spacing w:after="0" w:line="34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21" w:right="11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24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GENEDX HOLDINGS CORP.</w:t>
            </w:r>
          </w:p>
        </w:tc>
      </w:tr>
      <w:tr>
        <w:trPr>
          <w:trHeight w:val="49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2024</w:t>
            </w:r>
          </w:p>
        </w:tc>
        <w:tc>
          <w:tcPr>
            <w:tcW w:w="27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Katherine Stueland</w:t>
            </w:r>
          </w:p>
        </w:tc>
      </w:tr>
      <w:tr>
        <w:trPr>
          <w:trHeight w:val="218"/>
        </w:trPr>
        <w:tc>
          <w:tcPr>
            <w:tcW w:w="3660" w:type="dxa"/>
            <w:vAlign w:val="bottom"/>
          </w:tcPr>
          <w:p>
            <w:pPr>
              <w:spacing w:after="0"/>
              <w:rPr>
                <w:sz w:val="18"/>
                <w:szCs w:val="18"/>
                <w:color w:val="auto"/>
              </w:rPr>
            </w:pPr>
          </w:p>
        </w:tc>
        <w:tc>
          <w:tcPr>
            <w:tcW w:w="27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Katherine Stueland</w:t>
            </w:r>
          </w:p>
        </w:tc>
      </w:tr>
      <w:tr>
        <w:trPr>
          <w:trHeight w:val="180"/>
        </w:trPr>
        <w:tc>
          <w:tcPr>
            <w:tcW w:w="3660" w:type="dxa"/>
            <w:vAlign w:val="bottom"/>
          </w:tcPr>
          <w:p>
            <w:pPr>
              <w:spacing w:after="0"/>
              <w:rPr>
                <w:sz w:val="15"/>
                <w:szCs w:val="15"/>
                <w:color w:val="auto"/>
              </w:rPr>
            </w:pPr>
          </w:p>
        </w:tc>
        <w:tc>
          <w:tcPr>
            <w:tcW w:w="2760" w:type="dxa"/>
            <w:vAlign w:val="bottom"/>
          </w:tcPr>
          <w:p>
            <w:pPr>
              <w:ind w:left="19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36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Katherine Stueland, Kevin Feeley and Devin Schaffer, and each or any one of them,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4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Katherine Stueland</w:t>
            </w:r>
          </w:p>
        </w:tc>
        <w:tc>
          <w:tcPr>
            <w:tcW w:w="100" w:type="dxa"/>
            <w:vAlign w:val="bottom"/>
          </w:tcPr>
          <w:p>
            <w:pPr>
              <w:spacing w:after="0"/>
              <w:rPr>
                <w:sz w:val="24"/>
                <w:szCs w:val="24"/>
                <w:color w:val="auto"/>
              </w:rPr>
            </w:pPr>
          </w:p>
        </w:tc>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February 23, 2024</w:t>
            </w:r>
          </w:p>
        </w:tc>
        <w:tc>
          <w:tcPr>
            <w:tcW w:w="0" w:type="dxa"/>
            <w:vAlign w:val="bottom"/>
          </w:tcPr>
          <w:p>
            <w:pPr>
              <w:spacing w:after="0"/>
              <w:rPr>
                <w:sz w:val="1"/>
                <w:szCs w:val="1"/>
                <w:color w:val="auto"/>
              </w:rPr>
            </w:pPr>
          </w:p>
        </w:tc>
      </w:tr>
      <w:tr>
        <w:trPr>
          <w:trHeight w:val="88"/>
        </w:trPr>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Katherine Stueland</w:t>
            </w:r>
          </w:p>
        </w:tc>
        <w:tc>
          <w:tcPr>
            <w:tcW w:w="100" w:type="dxa"/>
            <w:vAlign w:val="bottom"/>
          </w:tcPr>
          <w:p>
            <w:pPr>
              <w:spacing w:after="0"/>
              <w:rPr>
                <w:sz w:val="7"/>
                <w:szCs w:val="7"/>
                <w:color w:val="auto"/>
              </w:rPr>
            </w:pPr>
          </w:p>
        </w:tc>
        <w:tc>
          <w:tcPr>
            <w:tcW w:w="39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980" w:type="dxa"/>
            <w:vAlign w:val="bottom"/>
            <w:gridSpan w:val="2"/>
            <w:vMerge w:val="continue"/>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Feeley</w:t>
            </w:r>
          </w:p>
        </w:tc>
        <w:tc>
          <w:tcPr>
            <w:tcW w:w="100" w:type="dxa"/>
            <w:vAlign w:val="bottom"/>
          </w:tcPr>
          <w:p>
            <w:pPr>
              <w:spacing w:after="0"/>
              <w:rPr>
                <w:sz w:val="24"/>
                <w:szCs w:val="24"/>
                <w:color w:val="auto"/>
              </w:rPr>
            </w:pPr>
          </w:p>
        </w:tc>
        <w:tc>
          <w:tcPr>
            <w:tcW w:w="3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February 23, 2024</w:t>
            </w:r>
          </w:p>
        </w:tc>
        <w:tc>
          <w:tcPr>
            <w:tcW w:w="0" w:type="dxa"/>
            <w:vAlign w:val="bottom"/>
          </w:tcPr>
          <w:p>
            <w:pPr>
              <w:spacing w:after="0"/>
              <w:rPr>
                <w:sz w:val="1"/>
                <w:szCs w:val="1"/>
                <w:color w:val="auto"/>
              </w:rPr>
            </w:pPr>
          </w:p>
        </w:tc>
      </w:tr>
      <w:tr>
        <w:trPr>
          <w:trHeight w:val="88"/>
        </w:trPr>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Kevin Feeley</w:t>
            </w:r>
          </w:p>
        </w:tc>
        <w:tc>
          <w:tcPr>
            <w:tcW w:w="100" w:type="dxa"/>
            <w:vAlign w:val="bottom"/>
          </w:tcPr>
          <w:p>
            <w:pPr>
              <w:spacing w:after="0"/>
              <w:rPr>
                <w:sz w:val="7"/>
                <w:szCs w:val="7"/>
                <w:color w:val="auto"/>
              </w:rPr>
            </w:pPr>
          </w:p>
        </w:tc>
        <w:tc>
          <w:tcPr>
            <w:tcW w:w="3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980" w:type="dxa"/>
            <w:vAlign w:val="bottom"/>
            <w:gridSpan w:val="2"/>
            <w:vMerge w:val="continue"/>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Jason Ryan</w:t>
            </w:r>
          </w:p>
        </w:tc>
        <w:tc>
          <w:tcPr>
            <w:tcW w:w="100" w:type="dxa"/>
            <w:vAlign w:val="bottom"/>
          </w:tcPr>
          <w:p>
            <w:pPr>
              <w:spacing w:after="0"/>
              <w:rPr>
                <w:sz w:val="24"/>
                <w:szCs w:val="24"/>
                <w:color w:val="auto"/>
              </w:rPr>
            </w:pPr>
          </w:p>
        </w:tc>
        <w:tc>
          <w:tcPr>
            <w:tcW w:w="3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February 23, 2024</w:t>
            </w:r>
          </w:p>
        </w:tc>
        <w:tc>
          <w:tcPr>
            <w:tcW w:w="0" w:type="dxa"/>
            <w:vAlign w:val="bottom"/>
          </w:tcPr>
          <w:p>
            <w:pPr>
              <w:spacing w:after="0"/>
              <w:rPr>
                <w:sz w:val="1"/>
                <w:szCs w:val="1"/>
                <w:color w:val="auto"/>
              </w:rPr>
            </w:pPr>
          </w:p>
        </w:tc>
      </w:tr>
      <w:tr>
        <w:trPr>
          <w:trHeight w:val="88"/>
        </w:trPr>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Jason Ryan</w:t>
            </w:r>
          </w:p>
        </w:tc>
        <w:tc>
          <w:tcPr>
            <w:tcW w:w="100" w:type="dxa"/>
            <w:vAlign w:val="bottom"/>
          </w:tcPr>
          <w:p>
            <w:pPr>
              <w:spacing w:after="0"/>
              <w:rPr>
                <w:sz w:val="7"/>
                <w:szCs w:val="7"/>
                <w:color w:val="auto"/>
              </w:rPr>
            </w:pPr>
          </w:p>
        </w:tc>
        <w:tc>
          <w:tcPr>
            <w:tcW w:w="3980" w:type="dxa"/>
            <w:vAlign w:val="bottom"/>
            <w:gridSpan w:val="2"/>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Eli D. Casdin</w:t>
            </w:r>
          </w:p>
        </w:tc>
        <w:tc>
          <w:tcPr>
            <w:tcW w:w="100" w:type="dxa"/>
            <w:vAlign w:val="bottom"/>
          </w:tcPr>
          <w:p>
            <w:pPr>
              <w:spacing w:after="0"/>
              <w:rPr>
                <w:sz w:val="24"/>
                <w:szCs w:val="24"/>
                <w:color w:val="auto"/>
              </w:rPr>
            </w:pPr>
          </w:p>
        </w:tc>
        <w:tc>
          <w:tcPr>
            <w:tcW w:w="3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February 23, 2024</w:t>
            </w:r>
          </w:p>
        </w:tc>
        <w:tc>
          <w:tcPr>
            <w:tcW w:w="0" w:type="dxa"/>
            <w:vAlign w:val="bottom"/>
          </w:tcPr>
          <w:p>
            <w:pPr>
              <w:spacing w:after="0"/>
              <w:rPr>
                <w:sz w:val="1"/>
                <w:szCs w:val="1"/>
                <w:color w:val="auto"/>
              </w:rPr>
            </w:pPr>
          </w:p>
        </w:tc>
      </w:tr>
      <w:tr>
        <w:trPr>
          <w:trHeight w:val="88"/>
        </w:trPr>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Eli D. Casdin</w:t>
            </w:r>
          </w:p>
        </w:tc>
        <w:tc>
          <w:tcPr>
            <w:tcW w:w="100" w:type="dxa"/>
            <w:vAlign w:val="bottom"/>
          </w:tcPr>
          <w:p>
            <w:pPr>
              <w:spacing w:after="0"/>
              <w:rPr>
                <w:sz w:val="7"/>
                <w:szCs w:val="7"/>
                <w:color w:val="auto"/>
              </w:rPr>
            </w:pPr>
          </w:p>
        </w:tc>
        <w:tc>
          <w:tcPr>
            <w:tcW w:w="3980" w:type="dxa"/>
            <w:vAlign w:val="bottom"/>
            <w:gridSpan w:val="2"/>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Emily Leproust</w:t>
            </w:r>
          </w:p>
        </w:tc>
        <w:tc>
          <w:tcPr>
            <w:tcW w:w="100" w:type="dxa"/>
            <w:vAlign w:val="bottom"/>
          </w:tcPr>
          <w:p>
            <w:pPr>
              <w:spacing w:after="0"/>
              <w:rPr>
                <w:sz w:val="24"/>
                <w:szCs w:val="24"/>
                <w:color w:val="auto"/>
              </w:rPr>
            </w:pPr>
          </w:p>
        </w:tc>
        <w:tc>
          <w:tcPr>
            <w:tcW w:w="3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February 23, 2024</w:t>
            </w:r>
          </w:p>
        </w:tc>
        <w:tc>
          <w:tcPr>
            <w:tcW w:w="0" w:type="dxa"/>
            <w:vAlign w:val="bottom"/>
          </w:tcPr>
          <w:p>
            <w:pPr>
              <w:spacing w:after="0"/>
              <w:rPr>
                <w:sz w:val="1"/>
                <w:szCs w:val="1"/>
                <w:color w:val="auto"/>
              </w:rPr>
            </w:pPr>
          </w:p>
        </w:tc>
      </w:tr>
      <w:tr>
        <w:trPr>
          <w:trHeight w:val="88"/>
        </w:trPr>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Emily Leproust</w:t>
            </w:r>
          </w:p>
        </w:tc>
        <w:tc>
          <w:tcPr>
            <w:tcW w:w="100" w:type="dxa"/>
            <w:vAlign w:val="bottom"/>
          </w:tcPr>
          <w:p>
            <w:pPr>
              <w:spacing w:after="0"/>
              <w:rPr>
                <w:sz w:val="7"/>
                <w:szCs w:val="7"/>
                <w:color w:val="auto"/>
              </w:rPr>
            </w:pPr>
          </w:p>
        </w:tc>
        <w:tc>
          <w:tcPr>
            <w:tcW w:w="3980" w:type="dxa"/>
            <w:vAlign w:val="bottom"/>
            <w:gridSpan w:val="2"/>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Keith Meister</w:t>
            </w:r>
          </w:p>
        </w:tc>
        <w:tc>
          <w:tcPr>
            <w:tcW w:w="100" w:type="dxa"/>
            <w:vAlign w:val="bottom"/>
          </w:tcPr>
          <w:p>
            <w:pPr>
              <w:spacing w:after="0"/>
              <w:rPr>
                <w:sz w:val="24"/>
                <w:szCs w:val="24"/>
                <w:color w:val="auto"/>
              </w:rPr>
            </w:pPr>
          </w:p>
        </w:tc>
        <w:tc>
          <w:tcPr>
            <w:tcW w:w="3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February 23, 2024</w:t>
            </w:r>
          </w:p>
        </w:tc>
        <w:tc>
          <w:tcPr>
            <w:tcW w:w="0" w:type="dxa"/>
            <w:vAlign w:val="bottom"/>
          </w:tcPr>
          <w:p>
            <w:pPr>
              <w:spacing w:after="0"/>
              <w:rPr>
                <w:sz w:val="1"/>
                <w:szCs w:val="1"/>
                <w:color w:val="auto"/>
              </w:rPr>
            </w:pPr>
          </w:p>
        </w:tc>
      </w:tr>
      <w:tr>
        <w:trPr>
          <w:trHeight w:val="88"/>
        </w:trPr>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Keith Meister</w:t>
            </w:r>
          </w:p>
        </w:tc>
        <w:tc>
          <w:tcPr>
            <w:tcW w:w="100" w:type="dxa"/>
            <w:vAlign w:val="bottom"/>
          </w:tcPr>
          <w:p>
            <w:pPr>
              <w:spacing w:after="0"/>
              <w:rPr>
                <w:sz w:val="7"/>
                <w:szCs w:val="7"/>
                <w:color w:val="auto"/>
              </w:rPr>
            </w:pPr>
          </w:p>
        </w:tc>
        <w:tc>
          <w:tcPr>
            <w:tcW w:w="3980" w:type="dxa"/>
            <w:vAlign w:val="bottom"/>
            <w:gridSpan w:val="2"/>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Joshua Ruch</w:t>
            </w:r>
          </w:p>
        </w:tc>
        <w:tc>
          <w:tcPr>
            <w:tcW w:w="100" w:type="dxa"/>
            <w:vAlign w:val="bottom"/>
          </w:tcPr>
          <w:p>
            <w:pPr>
              <w:spacing w:after="0"/>
              <w:rPr>
                <w:sz w:val="24"/>
                <w:szCs w:val="24"/>
                <w:color w:val="auto"/>
              </w:rPr>
            </w:pPr>
          </w:p>
        </w:tc>
        <w:tc>
          <w:tcPr>
            <w:tcW w:w="3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February 23, 2024</w:t>
            </w:r>
          </w:p>
        </w:tc>
        <w:tc>
          <w:tcPr>
            <w:tcW w:w="0" w:type="dxa"/>
            <w:vAlign w:val="bottom"/>
          </w:tcPr>
          <w:p>
            <w:pPr>
              <w:spacing w:after="0"/>
              <w:rPr>
                <w:sz w:val="1"/>
                <w:szCs w:val="1"/>
                <w:color w:val="auto"/>
              </w:rPr>
            </w:pPr>
          </w:p>
        </w:tc>
      </w:tr>
      <w:tr>
        <w:trPr>
          <w:trHeight w:val="88"/>
        </w:trPr>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Joshua Ruch</w:t>
            </w:r>
          </w:p>
        </w:tc>
        <w:tc>
          <w:tcPr>
            <w:tcW w:w="100" w:type="dxa"/>
            <w:vAlign w:val="bottom"/>
          </w:tcPr>
          <w:p>
            <w:pPr>
              <w:spacing w:after="0"/>
              <w:rPr>
                <w:sz w:val="7"/>
                <w:szCs w:val="7"/>
                <w:color w:val="auto"/>
              </w:rPr>
            </w:pPr>
          </w:p>
        </w:tc>
        <w:tc>
          <w:tcPr>
            <w:tcW w:w="3980" w:type="dxa"/>
            <w:vAlign w:val="bottom"/>
            <w:gridSpan w:val="2"/>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Richard Pfenninger, Jr.</w:t>
            </w:r>
          </w:p>
        </w:tc>
        <w:tc>
          <w:tcPr>
            <w:tcW w:w="100" w:type="dxa"/>
            <w:vAlign w:val="bottom"/>
          </w:tcPr>
          <w:p>
            <w:pPr>
              <w:spacing w:after="0"/>
              <w:rPr>
                <w:sz w:val="24"/>
                <w:szCs w:val="24"/>
                <w:color w:val="auto"/>
              </w:rPr>
            </w:pPr>
          </w:p>
        </w:tc>
        <w:tc>
          <w:tcPr>
            <w:tcW w:w="3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February 23, 2024</w:t>
            </w:r>
          </w:p>
        </w:tc>
        <w:tc>
          <w:tcPr>
            <w:tcW w:w="0" w:type="dxa"/>
            <w:vAlign w:val="bottom"/>
          </w:tcPr>
          <w:p>
            <w:pPr>
              <w:spacing w:after="0"/>
              <w:rPr>
                <w:sz w:val="1"/>
                <w:szCs w:val="1"/>
                <w:color w:val="auto"/>
              </w:rPr>
            </w:pPr>
          </w:p>
        </w:tc>
      </w:tr>
      <w:tr>
        <w:trPr>
          <w:trHeight w:val="88"/>
        </w:trPr>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Richard Pfenninger, Jr.</w:t>
            </w:r>
          </w:p>
        </w:tc>
        <w:tc>
          <w:tcPr>
            <w:tcW w:w="100" w:type="dxa"/>
            <w:vAlign w:val="bottom"/>
          </w:tcPr>
          <w:p>
            <w:pPr>
              <w:spacing w:after="0"/>
              <w:rPr>
                <w:sz w:val="7"/>
                <w:szCs w:val="7"/>
                <w:color w:val="auto"/>
              </w:rPr>
            </w:pPr>
          </w:p>
        </w:tc>
        <w:tc>
          <w:tcPr>
            <w:tcW w:w="3980" w:type="dxa"/>
            <w:vAlign w:val="bottom"/>
            <w:gridSpan w:val="2"/>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1"/>
        </w:trPr>
        <w:tc>
          <w:tcPr>
            <w:tcW w:w="4380" w:type="dxa"/>
            <w:vAlign w:val="bottom"/>
          </w:tcPr>
          <w:p>
            <w:pPr>
              <w:spacing w:after="0"/>
              <w:rPr>
                <w:sz w:val="24"/>
                <w:szCs w:val="24"/>
                <w:color w:val="auto"/>
              </w:rPr>
            </w:pPr>
          </w:p>
        </w:tc>
        <w:tc>
          <w:tcPr>
            <w:tcW w:w="3980" w:type="dxa"/>
            <w:vAlign w:val="bottom"/>
            <w:gridSpan w:val="2"/>
          </w:tcPr>
          <w:p>
            <w:pPr>
              <w:jc w:val="right"/>
              <w:ind w:right="2352"/>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92"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following summary sets forth certain material terms and provisions of our securities that are registered under Section 12 of the Securities Exchange Act of 1934, as amended (the “Exchange Act”). This description also summarizes relevant provisions of the General Corporation Law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Delaware (the “DGCL”). The following description is a summary and does not purport to be a complete description of the rights and preferences of our securities. It is subject to, and qualified in its entirety by reference to, the applicable provisions of the DGCL and our Amended and Restated Certificate of Incorporation (our “Amended and Restated Certificate of Incorporation”), and our Amended and Restated Bylaws (our “Bylaws”), each of which is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incorporated by reference as an exhibit to the Annual Report on Form 10-K of which this Exhibit 4.4 is a part. We encourage you to read our Amended and Restated Certificate of Incorporation, our Bylaws, and the applicable provisions of the DGCL for additional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48" w:lineRule="exact"/>
        <w:rPr>
          <w:sz w:val="20"/>
          <w:szCs w:val="20"/>
          <w:color w:val="auto"/>
        </w:rPr>
      </w:pPr>
    </w:p>
    <w:p>
      <w:pPr>
        <w:ind w:right="120" w:firstLine="324"/>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1,000,000,000 shares of Class A common stock, $0.0001 par value per share, and 1,000,000 shares of Preferred Stock, $0.0001 par value per share. The outstanding shares of our common stock are duly authorized, validly issued, fully paid and non-assessable. As of December 31, 2023, there were 25,978,863 shares of our Class A common stock outstanding, no shares of preferred stock outstanding and 666,515 warrants outstanding.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48"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each share of our common stock has the same relative rights and is identical in all respects to each other share of our common stock. The rights, preferences and privileges of holders of our common stock are subject to the rights, preferences and privileges of the holders of shares of any series of preferred stock that we have issued or may issue in the future.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13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or under our Amended and Restated Certificate of Incorporation, the holders of common stock possess all voting power for the election of our directors and all other matters</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requiring stockholder action and are entitled to one vote per share on matters to be voted on by stockholders. The holders of common stock shall at all times vote together as one class on all matters submitted to a vote of the holders of common stock under our Amended and Restated Certificate of Incorporation.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3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Subject to the rights, if any of the holders of any outstanding shares of preferred stock, under our Amended and Restated Certificate of Incorporation, holders of common stock are entitled to receive such dividends and other distributions, if any, as may be declared from time to time by our board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directors (the “Board”) in its discretion out of funds legally available therefor and shall share equally on a per share basis in such dividends and distributions.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48"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In the event of the voluntary or involuntary liquidation, dissolution or winding-up of the Company our Amended and Restated Certificate of Incorporation, the holders of common stock will be entitled to receive all the remaining assets of the Company available for distribution to stockholders, ratably in proportion to the number of shares of common stock held by them, after the rights of the holders of the preferred stock have been satisfied.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35"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our stockholders have no preemptive or other subscription rights and there are no sinking fund or redemption provisions applicable to our common stock.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3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Under the terms of our Amended and Restated Certificate of Incorporation, the term of the Class I Directors in place at such time will expire at our first annual meeting of the stockholders of the following the effectiveness of our Amended and Restated Certificate of Incorporation; the term of the Class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Directors in place at such time will expire at our second annual meeting of the stockholders following the effectiveness of our Amended and Restated</w:t>
      </w:r>
    </w:p>
    <w:p>
      <w:pPr>
        <w:sectPr>
          <w:pgSz w:w="11900" w:h="16838" w:orient="portrait"/>
          <w:cols w:equalWidth="0" w:num="1">
            <w:col w:w="11240"/>
          </w:cols>
          <w:pgMar w:left="320" w:top="104" w:right="339" w:bottom="1440" w:gutter="0" w:footer="0" w:header="0"/>
        </w:sectPr>
      </w:pPr>
    </w:p>
    <w:bookmarkStart w:id="116" w:name="page117"/>
    <w:bookmarkEnd w:id="116"/>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Certificate of Incorporation; and the term of the Class III Directors in place at such time will expire at our third annual meeting of the stockholders following the effectiveness of our Amended and Restated Certificate of Incorporation.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3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shares of preferred stock may be issued from time to time in one or more series. Our Board is authorized to fix the voting rights, if any, designations, powers, preferences and relative, participating, optional, special and other rights, if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3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our Class A common stock at a price of $379.50 per whole share, subject to adjustment as discussed below, at any time commencing on the later of 12 months from the closing of CMLS’s initial public offering (“IPO”)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30 days after the completion of the Business Combination. Pursuant to the warrant agreement, a warrant holder may exercise its public warrants only for a whole number of shares of common stock. This means that only a whole public warrant may be exercised at any given time by a warrant holder. No fractional public warrants will be issued upon separation of the units and only whole public warrants will trade. The public warrants will expire five years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completion of CMLS’ initial business combination, at 5:00 p.m., New York City time, or earlier upon redemption or liquidation.</w:t>
      </w:r>
    </w:p>
    <w:p>
      <w:pPr>
        <w:spacing w:after="0" w:line="111"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We are not obligated to deliver any shares of common stock pursuant to the exercise of a public warrant and will have no obligation to settle such public warrant exercise unless a registration statement under the Securities Act of 1933, as amended (the “Securities Act”) with respect to the shares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common stock underlying the public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containing such public warrant will have paid the full purchase price for the unit solely for the share of common stock underlying such unit.</w:t>
      </w:r>
    </w:p>
    <w:p>
      <w:pPr>
        <w:spacing w:after="0" w:line="109"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Class A Common Stock Equals or Exceeds $18.00 - </w:t>
      </w:r>
      <w:r>
        <w:rPr>
          <w:rFonts w:ascii="Times New Roman" w:cs="Times New Roman" w:eastAsia="Times New Roman" w:hAnsi="Times New Roman"/>
          <w:sz w:val="18"/>
          <w:szCs w:val="18"/>
          <w:color w:val="auto"/>
        </w:rPr>
        <w:t>Once the warrants become exercisable,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redeem the outstanding public warrants:</w:t>
      </w:r>
    </w:p>
    <w:p>
      <w:pPr>
        <w:spacing w:after="0" w:line="118" w:lineRule="exact"/>
        <w:rPr>
          <w:sz w:val="20"/>
          <w:szCs w:val="20"/>
          <w:color w:val="auto"/>
        </w:rPr>
      </w:pPr>
    </w:p>
    <w:p>
      <w:pPr>
        <w:ind w:left="620" w:hanging="288"/>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$0.33 per public warrant;</w:t>
      </w:r>
    </w:p>
    <w:p>
      <w:pPr>
        <w:spacing w:after="0" w:line="13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44" w:lineRule="exact"/>
        <w:rPr>
          <w:rFonts w:ascii="Times New Roman" w:cs="Times New Roman" w:eastAsia="Times New Roman" w:hAnsi="Times New Roman"/>
          <w:sz w:val="18"/>
          <w:szCs w:val="18"/>
          <w:color w:val="auto"/>
        </w:rPr>
      </w:pPr>
    </w:p>
    <w:p>
      <w:pPr>
        <w:ind w:left="660" w:hanging="328"/>
        <w:spacing w:after="0" w:line="237" w:lineRule="auto"/>
        <w:tabs>
          <w:tab w:leader="none" w:pos="66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$594.00 per share (as adjusted) for any 20 trading days within a 30-trading day period ending three trading days before sending the notice of redemption to warrant holders (the “Reference Value”)</w:t>
      </w:r>
    </w:p>
    <w:p>
      <w:pPr>
        <w:spacing w:after="0" w:line="104"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its redemption right even if it is unable to register or qualify the underlying securities for sale under all applicable state securities laws.</w:t>
      </w:r>
    </w:p>
    <w:p>
      <w:pPr>
        <w:spacing w:after="0" w:line="116"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Class A Common Stock Equals or Exceeds $330.00 </w:t>
      </w:r>
      <w:r>
        <w:rPr>
          <w:rFonts w:ascii="Times New Roman" w:cs="Times New Roman" w:eastAsia="Times New Roman" w:hAnsi="Times New Roman"/>
          <w:sz w:val="18"/>
          <w:szCs w:val="18"/>
          <w:color w:val="auto"/>
        </w:rPr>
        <w:t>- Once the warrants become exercisable,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redeem the outstanding warrants:</w:t>
      </w:r>
    </w:p>
    <w:p>
      <w:pPr>
        <w:spacing w:after="0" w:line="104" w:lineRule="exact"/>
        <w:rPr>
          <w:sz w:val="20"/>
          <w:szCs w:val="20"/>
          <w:color w:val="auto"/>
        </w:rPr>
      </w:pPr>
    </w:p>
    <w:p>
      <w:pPr>
        <w:ind w:left="620" w:hanging="288"/>
        <w:spacing w:after="0"/>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ectPr>
          <w:pgSz w:w="11900" w:h="16838" w:orient="portrait"/>
          <w:cols w:equalWidth="0" w:num="1">
            <w:col w:w="11240"/>
          </w:cols>
          <w:pgMar w:left="320" w:top="1404" w:right="339" w:bottom="1440" w:gutter="0" w:footer="0" w:header="0"/>
        </w:sectPr>
      </w:pPr>
    </w:p>
    <w:bookmarkStart w:id="117" w:name="page118"/>
    <w:bookmarkEnd w:id="117"/>
    <w:p>
      <w:pPr>
        <w:jc w:val="both"/>
        <w:ind w:left="660" w:hanging="328"/>
        <w:spacing w:after="0" w:line="231" w:lineRule="auto"/>
        <w:tabs>
          <w:tab w:leader="none" w:pos="6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$3.30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104"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3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$330.00 per share (as adjusted) for any 20 trading days within the 30-trading day period ending three trading days before we send the notice of redemption to the warrant holders; and</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3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common stock for any 20 trading days within a 30-trading day period ending three trading days before we sends notice of redemption to the warrant holders is less than $594.00 per share (as adjusted), the Private Placement Warrants must also be concurrently called for redemption on the same terms as the outstanding Public Warrants, as described above.</w:t>
      </w:r>
    </w:p>
    <w:p>
      <w:pPr>
        <w:spacing w:after="0" w:line="117"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common stock may fall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the $594.00 redemption trigger price as well as the $379.50 warrant exercise price after the redemption notice is issued.</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his, her or its public warrant to do so on a “cashless basis.” In determining whether to require all holders to exercise their public warrants on a “cashless basis,” our management will consider, among other factors, our cash position, the number of public warrants that are outstanding and the dilutive effect on our stockholders of issuing the maximum number of shares of common stock issuable upon the exercise of our public warrants. If our management takes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advantage of this option, all holders of public warrants would pay the exercise price by surrendering their public warrants for that number of shares of common stock equal to the quotient obtained by dividing (i) the product of the number of shares of common stock underlying the public warrants, multiplied by the difference between the exercise price of the public warrants and the “fair market value” (defined below) by (ii) the fair market value.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“fair market value” shall mean the average reported last sale price of the common stock for the 10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common stock to be received upon exercise of the public warrants, including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after our initial business combination. If we call our public warrants for redemption and our management does not take advantage of this option, the Sponsor and</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w:t>
      </w:r>
    </w:p>
    <w:p>
      <w:pPr>
        <w:spacing w:after="0" w:line="118"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the shares of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immediately after giving effect to such exercise.</w:t>
      </w:r>
    </w:p>
    <w:p>
      <w:pPr>
        <w:spacing w:after="0" w:line="109" w:lineRule="exact"/>
        <w:rPr>
          <w:sz w:val="20"/>
          <w:szCs w:val="20"/>
          <w:color w:val="auto"/>
        </w:rPr>
      </w:pPr>
    </w:p>
    <w:p>
      <w:pPr>
        <w:jc w:val="both"/>
        <w:ind w:firstLine="324"/>
        <w:spacing w:after="0" w:line="217" w:lineRule="auto"/>
        <w:rPr>
          <w:sz w:val="20"/>
          <w:szCs w:val="20"/>
          <w:color w:val="auto"/>
        </w:rPr>
      </w:pPr>
      <w:r>
        <w:rPr>
          <w:rFonts w:ascii="Times New Roman" w:cs="Times New Roman" w:eastAsia="Times New Roman" w:hAnsi="Times New Roman"/>
          <w:sz w:val="18"/>
          <w:szCs w:val="18"/>
          <w:i w:val="1"/>
          <w:iCs w:val="1"/>
          <w:color w:val="auto"/>
        </w:rPr>
        <w:t xml:space="preserve">Anti-dilution Adjustments. </w:t>
      </w:r>
      <w:r>
        <w:rPr>
          <w:rFonts w:ascii="Times New Roman" w:cs="Times New Roman" w:eastAsia="Times New Roman" w:hAnsi="Times New Roman"/>
          <w:sz w:val="18"/>
          <w:szCs w:val="18"/>
          <w:color w:val="auto"/>
        </w:rPr>
        <w:t>If the number of outstanding shares of common stock is increased by a stock dividend payable in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by a split-up of shares of common stock or other similar event, then, on the effective date of such stock dividend, split-up or similar event, the number of shares of common stock issuable on exercise of each public warrant will be increased in proportion to such increase in the outstanding shares of common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multiplied by (ii) one minus the quotient of (a) the price per share of common stock paid in such rights offering divided by (b) the fair market value. For these purposes (1)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w:t>
      </w:r>
    </w:p>
    <w:p>
      <w:pPr>
        <w:spacing w:after="0" w:line="2" w:lineRule="exact"/>
        <w:rPr>
          <w:sz w:val="20"/>
          <w:szCs w:val="20"/>
          <w:color w:val="auto"/>
        </w:rPr>
      </w:pPr>
    </w:p>
    <w:p>
      <w:pPr>
        <w:ind w:right="20" w:firstLine="8"/>
        <w:spacing w:after="0" w:line="226" w:lineRule="auto"/>
        <w:tabs>
          <w:tab w:leader="none" w:pos="26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 the volume weighted average price of common stock as reported during the 10 trading day period ending on the trading day prior to the first date on which the shares of</w:t>
      </w:r>
    </w:p>
    <w:p>
      <w:pPr>
        <w:sectPr>
          <w:pgSz w:w="11900" w:h="16838" w:orient="portrait"/>
          <w:cols w:equalWidth="0" w:num="1">
            <w:col w:w="11240"/>
          </w:cols>
          <w:pgMar w:left="320" w:top="1404"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common stock trade on the applicable exchange or in the applicable market, regular way, without the right to receive such rights.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other assets to the holders of common stock on account of such shares of common stock (or other shares of our capital stock into which the public warrants are convertible), other than (i) as described above; (ii) certain ordinary cash dividends; (iii) to satisfy the redemption rights of the holders of common stock in connection with a proposed initial business combination; (iv) to satisfy the redemption rights of the holders of common stock in connection with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stockholder vote to amend our current certificate of incorporation to modify the substance or timing of our obligation to redeem 100% of our public shares if we do not complete a business combination within 24 months from the closing of CMLS’s IPO, or (v) in connection with the redemption of our public shares upon our failure to complete our initial business combination, then the warrant exercise price will be decreased, effective immediately after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effective date of such event, by the amount of cash and/or the fair market value of any securities or other assets paid on each share of common stock in respect of such event.</w:t>
      </w:r>
    </w:p>
    <w:p>
      <w:pPr>
        <w:spacing w:after="0" w:line="1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the number of outstanding shares of our common stock is decreased by a consolidation, combination, reverse stock split or reclassification of shares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w:t>
      </w:r>
    </w:p>
    <w:p>
      <w:pPr>
        <w:spacing w:after="0" w:line="118"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Whenever the number of shares of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public warrants immediately prior to such adjustment, and (y)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denominator of which will be the number of shares of common stock so purchasable immediately thereafter.</w:t>
      </w:r>
    </w:p>
    <w:p>
      <w:pPr>
        <w:spacing w:after="0" w:line="111"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upon the terms and conditions specified in the public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public warrants would have received if such holder had exercised their public warrants immediately prior to such event. Additionally,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118" w:lineRule="exact"/>
        <w:rPr>
          <w:sz w:val="20"/>
          <w:szCs w:val="20"/>
          <w:color w:val="auto"/>
        </w:rPr>
      </w:pPr>
    </w:p>
    <w:p>
      <w:pPr>
        <w:jc w:val="both"/>
        <w:ind w:firstLine="324"/>
        <w:spacing w:after="0" w:line="213" w:lineRule="auto"/>
        <w:rPr>
          <w:sz w:val="20"/>
          <w:szCs w:val="20"/>
          <w:color w:val="auto"/>
        </w:rPr>
      </w:pPr>
      <w:r>
        <w:rPr>
          <w:rFonts w:ascii="Times New Roman" w:cs="Times New Roman" w:eastAsia="Times New Roman" w:hAnsi="Times New Roman"/>
          <w:sz w:val="18"/>
          <w:szCs w:val="18"/>
          <w:color w:val="auto"/>
        </w:rPr>
        <w:t>The public warrants have been issued in registered form under a warrant agreement between Continental Stock Transfer &amp; Trust Company, as warrant agent, and us. You should review a copy of the warrant agreement, which is filed as an exhibit to the registration statement pertaining to CMLS’s IPO,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least 50% of the then outstanding public warrants to make any change that adversely affects the interests of the registered holders of public warrants.</w:t>
      </w:r>
    </w:p>
    <w:p>
      <w:pPr>
        <w:spacing w:after="0" w:line="111"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(or on a cashless basis, if applicable), by certified or official bank check payable to us, for the number of public warrants being exercised. The warrant holders do not have the rights or privileges of holders of common stock and any voting rights until they exercise their public warrants and receive shares of common stock. After the issuance of shares of common stock upon exercise of the public warrants, each holder will be entitled to one vote for each share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of record on all matters to be voted on by stockholders.</w:t>
      </w:r>
    </w:p>
    <w:p>
      <w:pPr>
        <w:sectPr>
          <w:pgSz w:w="11900" w:h="16838" w:orient="portrait"/>
          <w:cols w:equalWidth="0" w:num="1">
            <w:col w:w="11240"/>
          </w:cols>
          <w:pgMar w:left="320" w:top="1404" w:right="339" w:bottom="1440" w:gutter="0" w:footer="0" w:header="0"/>
        </w:sectPr>
      </w:pPr>
    </w:p>
    <w:bookmarkStart w:id="119" w:name="page120"/>
    <w:bookmarkEnd w:id="119"/>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Warrants may be exercised only for a whole number of shares of common stock. No fractional shares will be issued upon exercise of the public warrants. If, upon exercise of the public warrants, a holder would be entitled to receive a fractional interest in a share, we will, upon exercise, round down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to the nearest whole number the number of shares of common stock to be issued to the warrant holder. As a result, warrant holders not purchasing public warrants in multiples of three warrants will not obtain value from the fractional interest that will not be issued.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48"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CMLS’s IPO, except that (1) the private placement warrants and the Class A common stock issuable upon the exercise of the private placement warrants will not be transferable, assignable or saleable until 30 days after the completion of the Business Combination, subject to certain limited exceptions, (2) the private placement warrants will be exercisable on a</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cashless basis, (3) the private placement warrants will be non-redeemable (except as described above in “Redemption of Warrants When the Price per Share of Class A common stock Equals or Exceeds $330.00”) so long as they are held by the initial purchasers or their permitted transferees, and (4) the holders of the private placement warrants and the Class A common stock issuable upon the exercise of the private placement warrants will have certain registration</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rights. If the private placement warrants are held by someone other than the initial purchasers or their permitted transferees, the private placement warrants will be redeemable by us and exercisable by such holders on the same basis as the public warrants.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8"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and do not intend to pay cash dividends. The payment of cash dividends in the future will be dependent upon our revenues and earnings, if any, capital requirements and general financial condition. The payment of any cash dividends will be within the discretion of our Board at such time. In addition, our Board is not currently contemplating and does not anticipate declaring any stock</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dividends in the foreseeable future. Further, if we incur any indebtedness, our ability to declare dividends may be limited by restrictive covenants we may agree to in connection therewith.</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148"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liabilities, including judgments, costs and reasonable counsel fees that may arise out of acts performed or omitted for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in that capacity, except for any liability due to any gross negligence, willful misconduct or bad faith of the indemnified person or entity.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and Our Amended and Restated Certificate of Incorporation and Bylaws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Provisions of the DGCL and our Amended and Restated Certificate of Incorporation could make it more difficult to acquire us by means of a tender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offer, a proxy contest or otherwise, or to remove incumbent officers and directors. These provisions, summarized below, are intended to discourage coercive takeover practices and inadequate takeover bids and to encourage persons seeking to acquire control of us to first negotiate with the board of directors. We believe that the benefits of these provisions outweigh the disadvantages of discouraging certain takeover or acquisition proposals because,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among other things, negotiation of these proposals could result in an improvement of their terms and enhance the ability of our Board to maximize stockholder value. However, these provisions may delay, deter or prevent a merger or acquisition of us that a stockholder might consider is in its best interest, including those attempts that might result in a premium over the prevailing market price of the common stock.</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for certain other provisions that may have an anti-takeover effect:</w:t>
      </w:r>
    </w:p>
    <w:p>
      <w:pPr>
        <w:spacing w:after="0" w:line="131" w:lineRule="exact"/>
        <w:rPr>
          <w:sz w:val="20"/>
          <w:szCs w:val="20"/>
          <w:color w:val="auto"/>
        </w:rPr>
      </w:pPr>
    </w:p>
    <w:p>
      <w:pPr>
        <w:ind w:left="620" w:hanging="288"/>
        <w:spacing w:after="0"/>
        <w:tabs>
          <w:tab w:leader="none" w:pos="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cumulative voting with respect to the election of directors.</w:t>
      </w:r>
    </w:p>
    <w:p>
      <w:pPr>
        <w:spacing w:after="0" w:line="130" w:lineRule="exact"/>
        <w:rPr>
          <w:rFonts w:ascii="Times New Roman" w:cs="Times New Roman" w:eastAsia="Times New Roman" w:hAnsi="Times New Roman"/>
          <w:sz w:val="18"/>
          <w:szCs w:val="18"/>
          <w:color w:val="auto"/>
        </w:rPr>
      </w:pPr>
    </w:p>
    <w:p>
      <w:pPr>
        <w:ind w:left="660" w:hanging="328"/>
        <w:spacing w:after="0" w:line="237" w:lineRule="auto"/>
        <w:tabs>
          <w:tab w:leader="none" w:pos="71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is empowered to elect a director to fill a vacancy created by the expansion of the Board or the resignation, death, or removal of a director in certain circumstances.</w:t>
      </w:r>
    </w:p>
    <w:p>
      <w:pPr>
        <w:spacing w:after="0" w:line="117"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only be removed from the Board for cause.</w:t>
      </w:r>
    </w:p>
    <w:p>
      <w:pPr>
        <w:spacing w:after="0" w:line="130" w:lineRule="exact"/>
        <w:rPr>
          <w:rFonts w:ascii="Times New Roman" w:cs="Times New Roman" w:eastAsia="Times New Roman" w:hAnsi="Times New Roman"/>
          <w:sz w:val="18"/>
          <w:szCs w:val="18"/>
          <w:color w:val="auto"/>
        </w:rPr>
      </w:pPr>
    </w:p>
    <w:p>
      <w:pPr>
        <w:ind w:left="660" w:hanging="328"/>
        <w:spacing w:after="0" w:line="237" w:lineRule="auto"/>
        <w:tabs>
          <w:tab w:leader="none" w:pos="7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will be classified into three classes of directors. As a result, in most circumstances, a person can gain control of our Board by successfully engaging in a proxy contest at two or more annual meetings.</w:t>
      </w:r>
    </w:p>
    <w:p>
      <w:pPr>
        <w:sectPr>
          <w:pgSz w:w="11900" w:h="16838" w:orient="portrait"/>
          <w:cols w:equalWidth="0" w:num="1">
            <w:col w:w="11240"/>
          </w:cols>
          <w:pgMar w:left="320" w:top="1404" w:right="339" w:bottom="1440" w:gutter="0" w:footer="0" w:header="0"/>
        </w:sectPr>
      </w:pPr>
    </w:p>
    <w:bookmarkStart w:id="120" w:name="page121"/>
    <w:bookmarkEnd w:id="120"/>
    <w:p>
      <w:pPr>
        <w:ind w:left="660" w:hanging="328"/>
        <w:spacing w:after="0" w:line="237" w:lineRule="auto"/>
        <w:tabs>
          <w:tab w:leader="none" w:pos="7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17"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stockholders calling a special meeting and the requirement that a meeting of stockholders may only be called by members of our Board, which may delay the ability of our stockholders to force consideration of a proposal or to take action, including the removal of directors.</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23" w:lineRule="auto"/>
        <w:tabs>
          <w:tab w:leader="none" w:pos="67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Our Board is entitled, without further stockholder approval, to designate one or more series of preferred stock and the associated voting rights, preferences and privileges of such series of preferred stock. The existence of authorized but unissued and unreserved common stock and preferred stock could render more difficult or discourage an attempt to obtain control of us by means of a proxy contest, tender offer, merger or otherwise.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 Clause</w:t>
      </w:r>
    </w:p>
    <w:p>
      <w:pPr>
        <w:spacing w:after="0" w:line="135" w:lineRule="exact"/>
        <w:rPr>
          <w:sz w:val="20"/>
          <w:szCs w:val="20"/>
          <w:color w:val="auto"/>
        </w:rPr>
      </w:pPr>
    </w:p>
    <w:p>
      <w:pPr>
        <w:ind w:right="80" w:firstLine="324"/>
        <w:spacing w:after="0" w:line="24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Bylaws include a forum selection clause. Our Amended and Restated Certificate of Incorporation and our Bylaws provide that, subject to limited exceptions, the Court of Chancery of the State of Delaware and federal court within the State of Delaware will be exclusive forums for any</w:t>
      </w:r>
    </w:p>
    <w:p>
      <w:pPr>
        <w:spacing w:after="0" w:line="1" w:lineRule="exact"/>
        <w:rPr>
          <w:sz w:val="20"/>
          <w:szCs w:val="20"/>
          <w:color w:val="auto"/>
        </w:rPr>
      </w:pPr>
    </w:p>
    <w:p>
      <w:pPr>
        <w:ind w:left="580" w:hanging="248"/>
        <w:spacing w:after="0"/>
        <w:tabs>
          <w:tab w:leader="none" w:pos="5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our behalf;</w:t>
      </w:r>
    </w:p>
    <w:p>
      <w:pPr>
        <w:spacing w:after="0" w:line="110" w:lineRule="exact"/>
        <w:rPr>
          <w:rFonts w:ascii="Times New Roman" w:cs="Times New Roman" w:eastAsia="Times New Roman" w:hAnsi="Times New Roman"/>
          <w:sz w:val="18"/>
          <w:szCs w:val="18"/>
          <w:color w:val="auto"/>
        </w:rPr>
      </w:pPr>
    </w:p>
    <w:p>
      <w:pPr>
        <w:ind w:left="660" w:hanging="328"/>
        <w:spacing w:after="0" w:line="250" w:lineRule="auto"/>
        <w:tabs>
          <w:tab w:leader="none" w:pos="6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of breach of a fiduciary duty owed by, or other wrongdoing by, any of our directors, officers, stockholders, employees or agents to us or our stockholders;</w:t>
      </w:r>
    </w:p>
    <w:p>
      <w:pPr>
        <w:spacing w:after="0" w:line="95"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against us or any of our directors, officers, stockholders, employees or agents arising pursuant to any provision of the DGCL, our Amended and Restated Certificate of Incorporation or our Bylaws or as to which the DGCL confers jurisdiction on the Court of Chancery of the State of Delaware;</w:t>
      </w:r>
    </w:p>
    <w:p>
      <w:pPr>
        <w:spacing w:after="0" w:line="10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to interpret, apply, enforce or determine the validity of our Amended and Restated Certificate of Incorporation or our Bylaws; or</w:t>
      </w:r>
    </w:p>
    <w:p>
      <w:pPr>
        <w:spacing w:after="0" w:line="130" w:lineRule="exact"/>
        <w:rPr>
          <w:rFonts w:ascii="Times New Roman" w:cs="Times New Roman" w:eastAsia="Times New Roman" w:hAnsi="Times New Roman"/>
          <w:sz w:val="18"/>
          <w:szCs w:val="18"/>
          <w:color w:val="auto"/>
        </w:rPr>
      </w:pPr>
    </w:p>
    <w:p>
      <w:pPr>
        <w:ind w:left="660" w:hanging="328"/>
        <w:spacing w:after="0" w:line="250" w:lineRule="auto"/>
        <w:tabs>
          <w:tab w:leader="none" w:pos="60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 asserting a claim against us or any of our directors, officers, stockholders, employees or agents that is governed by the internal affairs doctrine.</w:t>
      </w:r>
    </w:p>
    <w:p>
      <w:pPr>
        <w:spacing w:after="0" w:line="10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7"/>
          <w:szCs w:val="17"/>
          <w:color w:val="auto"/>
        </w:rPr>
        <w:t>These choice of forum provisions do not apply to actions brought to enforce a duty or liability created by the Exchange Act or any other claim for which federal courts have exclusive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We intend for this provision to apply to any complaints asserting a cause of action under the Securities Act despite the fact that Section 22 of the Securities Act creates concurrent jurisdiction for the federal and state courts over all actions brought to enforce any duty or liability created by the Securities Act or the rules and regulations promulgated thereunder. Please see “</w:t>
      </w:r>
      <w:r>
        <w:rPr>
          <w:rFonts w:ascii="Times New Roman" w:cs="Times New Roman" w:eastAsia="Times New Roman" w:hAnsi="Times New Roman"/>
          <w:sz w:val="17"/>
          <w:szCs w:val="17"/>
          <w:i w:val="1"/>
          <w:iCs w:val="1"/>
          <w:u w:val="single" w:color="auto"/>
          <w:color w:val="auto"/>
        </w:rPr>
        <w:t>Risk Factors</w:t>
      </w:r>
      <w:r>
        <w:rPr>
          <w:rFonts w:ascii="Times New Roman" w:cs="Times New Roman" w:eastAsia="Times New Roman" w:hAnsi="Times New Roman"/>
          <w:sz w:val="17"/>
          <w:szCs w:val="17"/>
          <w:i w:val="1"/>
          <w:iCs w:val="1"/>
          <w:color w:val="auto"/>
        </w:rPr>
        <w:t xml:space="preserve"> - Our</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i w:val="1"/>
          <w:iCs w:val="1"/>
          <w:color w:val="auto"/>
        </w:rPr>
        <w:t>Charter and our Bylaws designate the Court of Chancery of the State of Delaware and federal court within the State of Delaware as the exclusive forum for certain types of actions and proceedings that our stockholders may initiate, which could limit a stockholder’s ability to obtain a favorable judicial forum</w:t>
      </w:r>
    </w:p>
    <w:p>
      <w:pPr>
        <w:spacing w:after="0" w:line="1" w:lineRule="exact"/>
        <w:rPr>
          <w:sz w:val="20"/>
          <w:szCs w:val="20"/>
          <w:color w:val="auto"/>
        </w:rPr>
      </w:pPr>
    </w:p>
    <w:p>
      <w:pPr>
        <w:ind w:right="82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for disputes with us or our directors, officers or employees” </w:t>
      </w:r>
      <w:r>
        <w:rPr>
          <w:rFonts w:ascii="Times New Roman" w:cs="Times New Roman" w:eastAsia="Times New Roman" w:hAnsi="Times New Roman"/>
          <w:sz w:val="18"/>
          <w:szCs w:val="18"/>
          <w:color w:val="auto"/>
        </w:rPr>
        <w:t>in the Annual Report on Form 10-K of which this Exhibit 4.4 is a part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and warrants are listed on Nasdaq under the symbols “WGS” and “WGSWW,” respectively.</w:t>
      </w:r>
    </w:p>
    <w:p>
      <w:pPr>
        <w:sectPr>
          <w:pgSz w:w="11900" w:h="16838" w:orient="portrait"/>
          <w:cols w:equalWidth="0" w:num="1">
            <w:col w:w="11240"/>
          </w:cols>
          <w:pgMar w:left="320" w:top="1404"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874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SUBSIDIARIES OF GENEDX HOLDINGS CORP. *</w:t>
            </w:r>
          </w:p>
        </w:tc>
      </w:tr>
      <w:tr>
        <w:trPr>
          <w:trHeight w:val="206"/>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 name</w:t>
            </w:r>
          </w:p>
        </w:tc>
        <w:tc>
          <w:tcPr>
            <w:tcW w:w="8740" w:type="dxa"/>
            <w:vAlign w:val="bottom"/>
          </w:tcPr>
          <w:p>
            <w:pPr>
              <w:ind w:left="2740"/>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tc>
      </w:tr>
      <w:tr>
        <w:trPr>
          <w:trHeight w:val="23"/>
        </w:trPr>
        <w:tc>
          <w:tcPr>
            <w:tcW w:w="2460" w:type="dxa"/>
            <w:vAlign w:val="bottom"/>
            <w:tcBorders>
              <w:bottom w:val="single" w:sz="8" w:color="auto"/>
            </w:tcBorders>
          </w:tcPr>
          <w:p>
            <w:pPr>
              <w:spacing w:after="0"/>
              <w:rPr>
                <w:sz w:val="2"/>
                <w:szCs w:val="2"/>
                <w:color w:val="auto"/>
              </w:rPr>
            </w:pPr>
          </w:p>
        </w:tc>
        <w:tc>
          <w:tcPr>
            <w:tcW w:w="8740" w:type="dxa"/>
            <w:vAlign w:val="bottom"/>
            <w:tcBorders>
              <w:bottom w:val="single" w:sz="8" w:color="auto"/>
            </w:tcBorders>
          </w:tcPr>
          <w:p>
            <w:pPr>
              <w:spacing w:after="0"/>
              <w:rPr>
                <w:sz w:val="2"/>
                <w:szCs w:val="2"/>
                <w:color w:val="auto"/>
              </w:rPr>
            </w:pPr>
          </w:p>
        </w:tc>
      </w:tr>
      <w:tr>
        <w:trPr>
          <w:trHeight w:val="223"/>
        </w:trPr>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Sema4 OpCo, Inc.</w:t>
            </w:r>
          </w:p>
        </w:tc>
        <w:tc>
          <w:tcPr>
            <w:tcW w:w="874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28"/>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GeneDx, LLC</w:t>
            </w:r>
          </w:p>
        </w:tc>
        <w:tc>
          <w:tcPr>
            <w:tcW w:w="874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Delaware, United States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71151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ind w:left="440" w:right="80" w:hanging="416"/>
        <w:spacing w:after="0" w:line="237" w:lineRule="auto"/>
        <w:tabs>
          <w:tab w:leader="none" w:pos="4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601(b)(21)(ii) of Regulation S-K, the names of other subsidiaries of GeneDx Holdings Corp. are omitted because, considered in the aggregate, they would not constitute a significant subsidiary as of the end of the year covered by this report.</w:t>
      </w:r>
    </w:p>
    <w:p>
      <w:pPr>
        <w:sectPr>
          <w:pgSz w:w="11900" w:h="16838" w:orient="portrait"/>
          <w:cols w:equalWidth="0" w:num="1">
            <w:col w:w="11220"/>
          </w:cols>
          <w:pgMar w:left="340" w:top="1400"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We consent to the incorporation by reference in the following Registration Statements:</w:t>
      </w:r>
    </w:p>
    <w:p>
      <w:pPr>
        <w:spacing w:after="0" w:line="171"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333-273797) pertaining to the GeneDx Holdings Corp. 2023 Equity Inducement Plan</w:t>
      </w:r>
    </w:p>
    <w:p>
      <w:pPr>
        <w:spacing w:after="0" w:line="171" w:lineRule="exact"/>
        <w:rPr>
          <w:rFonts w:ascii="Times New Roman" w:cs="Times New Roman" w:eastAsia="Times New Roman" w:hAnsi="Times New Roman"/>
          <w:sz w:val="18"/>
          <w:szCs w:val="18"/>
          <w:color w:val="333333"/>
        </w:rPr>
      </w:pPr>
    </w:p>
    <w:p>
      <w:pPr>
        <w:ind w:left="520" w:hanging="188"/>
        <w:spacing w:after="0"/>
        <w:tabs>
          <w:tab w:leader="none" w:pos="520" w:val="left"/>
        </w:tabs>
        <w:numPr>
          <w:ilvl w:val="0"/>
          <w:numId w:val="6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333-271432) pertaining to the GeneDx Holdings Corp. Amended and Restated 2021 Equity Incentive Plan</w:t>
      </w:r>
    </w:p>
    <w:p>
      <w:pPr>
        <w:spacing w:after="0" w:line="171" w:lineRule="exact"/>
        <w:rPr>
          <w:rFonts w:ascii="Times New Roman" w:cs="Times New Roman" w:eastAsia="Times New Roman" w:hAnsi="Times New Roman"/>
          <w:sz w:val="18"/>
          <w:szCs w:val="18"/>
          <w:color w:val="333333"/>
        </w:rPr>
      </w:pPr>
    </w:p>
    <w:p>
      <w:pPr>
        <w:ind w:left="660" w:right="320" w:hanging="328"/>
        <w:spacing w:after="0" w:line="282" w:lineRule="auto"/>
        <w:tabs>
          <w:tab w:leader="none" w:pos="516" w:val="left"/>
        </w:tabs>
        <w:numPr>
          <w:ilvl w:val="0"/>
          <w:numId w:val="6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333-269165) pertaining to the GeneDx Holdings Corp. 2021 Equity Incentive Plan and GeneDx Holdings Corp. 2021 Employee Stock Purchase Plan,</w:t>
      </w:r>
    </w:p>
    <w:p>
      <w:pPr>
        <w:spacing w:after="0" w:line="107" w:lineRule="exact"/>
        <w:rPr>
          <w:rFonts w:ascii="Times New Roman" w:cs="Times New Roman" w:eastAsia="Times New Roman" w:hAnsi="Times New Roman"/>
          <w:sz w:val="18"/>
          <w:szCs w:val="18"/>
          <w:color w:val="333333"/>
        </w:rPr>
      </w:pPr>
    </w:p>
    <w:p>
      <w:pPr>
        <w:ind w:left="520" w:hanging="188"/>
        <w:spacing w:after="0"/>
        <w:tabs>
          <w:tab w:leader="none" w:pos="520" w:val="left"/>
        </w:tabs>
        <w:numPr>
          <w:ilvl w:val="0"/>
          <w:numId w:val="6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S-3 No. 333-267112) of GeneDx Holdings Corp. (f/k/a Sema4 Holdings Corp.),</w:t>
      </w:r>
    </w:p>
    <w:p>
      <w:pPr>
        <w:spacing w:after="0" w:line="171" w:lineRule="exact"/>
        <w:rPr>
          <w:rFonts w:ascii="Times New Roman" w:cs="Times New Roman" w:eastAsia="Times New Roman" w:hAnsi="Times New Roman"/>
          <w:sz w:val="18"/>
          <w:szCs w:val="18"/>
          <w:color w:val="333333"/>
        </w:rPr>
      </w:pPr>
    </w:p>
    <w:p>
      <w:pPr>
        <w:ind w:left="520" w:hanging="188"/>
        <w:spacing w:after="0"/>
        <w:tabs>
          <w:tab w:leader="none" w:pos="520" w:val="left"/>
        </w:tabs>
        <w:numPr>
          <w:ilvl w:val="0"/>
          <w:numId w:val="6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S-3 No. 333-267108) of GeneDx Holdings Corp.</w:t>
      </w:r>
    </w:p>
    <w:p>
      <w:pPr>
        <w:spacing w:after="0" w:line="171" w:lineRule="exact"/>
        <w:rPr>
          <w:rFonts w:ascii="Times New Roman" w:cs="Times New Roman" w:eastAsia="Times New Roman" w:hAnsi="Times New Roman"/>
          <w:sz w:val="18"/>
          <w:szCs w:val="18"/>
          <w:color w:val="333333"/>
        </w:rPr>
      </w:pPr>
    </w:p>
    <w:p>
      <w:pPr>
        <w:ind w:left="520" w:hanging="188"/>
        <w:spacing w:after="0"/>
        <w:tabs>
          <w:tab w:leader="none" w:pos="520" w:val="left"/>
        </w:tabs>
        <w:numPr>
          <w:ilvl w:val="0"/>
          <w:numId w:val="6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333-264627) pertaining to the Sema4 Holdings Corp. Non-Plan Inducement Awards,</w:t>
      </w:r>
    </w:p>
    <w:p>
      <w:pPr>
        <w:spacing w:after="0" w:line="171" w:lineRule="exact"/>
        <w:rPr>
          <w:rFonts w:ascii="Times New Roman" w:cs="Times New Roman" w:eastAsia="Times New Roman" w:hAnsi="Times New Roman"/>
          <w:sz w:val="18"/>
          <w:szCs w:val="18"/>
          <w:color w:val="333333"/>
        </w:rPr>
      </w:pPr>
    </w:p>
    <w:p>
      <w:pPr>
        <w:ind w:left="660" w:right="100" w:hanging="328"/>
        <w:spacing w:after="0" w:line="282" w:lineRule="auto"/>
        <w:tabs>
          <w:tab w:leader="none" w:pos="516" w:val="left"/>
        </w:tabs>
        <w:numPr>
          <w:ilvl w:val="0"/>
          <w:numId w:val="6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333-262338) pertaining to the Sema4 Holdings Corp. 2021 Equity Incentive Plan and Sema4 Holdings Corp. 2021 Employee Stock Purchase Plan,</w:t>
      </w:r>
    </w:p>
    <w:p>
      <w:pPr>
        <w:spacing w:after="0" w:line="107" w:lineRule="exact"/>
        <w:rPr>
          <w:rFonts w:ascii="Times New Roman" w:cs="Times New Roman" w:eastAsia="Times New Roman" w:hAnsi="Times New Roman"/>
          <w:sz w:val="18"/>
          <w:szCs w:val="18"/>
          <w:color w:val="333333"/>
        </w:rPr>
      </w:pPr>
    </w:p>
    <w:p>
      <w:pPr>
        <w:ind w:left="520" w:hanging="188"/>
        <w:spacing w:after="0"/>
        <w:tabs>
          <w:tab w:leader="none" w:pos="520" w:val="left"/>
        </w:tabs>
        <w:numPr>
          <w:ilvl w:val="0"/>
          <w:numId w:val="6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333-260481) pertaining to the Sema4 Holdings Corp. Earn-out RSU Awards, and</w:t>
      </w:r>
    </w:p>
    <w:p>
      <w:pPr>
        <w:spacing w:after="0" w:line="171" w:lineRule="exact"/>
        <w:rPr>
          <w:rFonts w:ascii="Times New Roman" w:cs="Times New Roman" w:eastAsia="Times New Roman" w:hAnsi="Times New Roman"/>
          <w:sz w:val="18"/>
          <w:szCs w:val="18"/>
          <w:color w:val="333333"/>
        </w:rPr>
      </w:pPr>
    </w:p>
    <w:p>
      <w:pPr>
        <w:ind w:left="660" w:right="360" w:hanging="328"/>
        <w:spacing w:after="0" w:line="266" w:lineRule="auto"/>
        <w:tabs>
          <w:tab w:leader="none" w:pos="516" w:val="left"/>
        </w:tabs>
        <w:numPr>
          <w:ilvl w:val="0"/>
          <w:numId w:val="6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333-259815) pertaining to the Sema4 Holdings Corp. 2021 Equity Incentive Plan, Sema4 Holdings Corp. 2021 Employee Stock Purchase Plan, the outstanding stock options under the Mount Sinai Genomics, Inc. d/b/a Sema4 2017 Equity Incentive Plan and Sema4 Holdings Corp. Earn-out RSU Awards</w:t>
      </w:r>
    </w:p>
    <w:p>
      <w:pPr>
        <w:spacing w:after="0" w:line="12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333333"/>
        </w:rPr>
        <w:t>of our report dated February 23, 2024, with respect to the consolidated financial statements of GeneDx Holdings Corp. included in this Annual Report (Form 10-K) for the year ended December 31, 2023.</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ectPr>
          <w:pgSz w:w="11900" w:h="16838" w:orient="portrait"/>
          <w:cols w:equalWidth="0" w:num="1">
            <w:col w:w="11240"/>
          </w:cols>
          <w:pgMar w:left="320" w:top="100"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Katherine Stueland, certify that:</w:t>
      </w:r>
    </w:p>
    <w:p>
      <w:pPr>
        <w:spacing w:after="0" w:line="252" w:lineRule="exact"/>
        <w:rPr>
          <w:sz w:val="20"/>
          <w:szCs w:val="20"/>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GeneDx Holdings Corp. (the “registrant”);</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4440" w:val="left"/>
          <w:tab w:leader="none" w:pos="5340" w:val="left"/>
        </w:tabs>
        <w:rPr>
          <w:sz w:val="20"/>
          <w:szCs w:val="20"/>
          <w:color w:val="auto"/>
        </w:rPr>
      </w:pPr>
      <w:r>
        <w:rPr>
          <w:rFonts w:ascii="Times New Roman" w:cs="Times New Roman" w:eastAsia="Times New Roman" w:hAnsi="Times New Roman"/>
          <w:sz w:val="18"/>
          <w:szCs w:val="18"/>
          <w:color w:val="auto"/>
        </w:rPr>
        <w:t>Date: February 23,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17145</wp:posOffset>
            </wp:positionV>
            <wp:extent cx="28371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0">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6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Chief Executive Officer</w:t>
      </w:r>
    </w:p>
    <w:p>
      <w:pPr>
        <w:ind w:left="53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4"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Feeley, certify that:</w:t>
      </w:r>
    </w:p>
    <w:p>
      <w:pPr>
        <w:spacing w:after="0" w:line="252" w:lineRule="exact"/>
        <w:rPr>
          <w:sz w:val="20"/>
          <w:szCs w:val="20"/>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GeneDx Holdings Corp. (the “registrant”);</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4440" w:val="left"/>
          <w:tab w:leader="none" w:pos="5340" w:val="left"/>
        </w:tabs>
        <w:rPr>
          <w:sz w:val="20"/>
          <w:szCs w:val="20"/>
          <w:color w:val="auto"/>
        </w:rPr>
      </w:pPr>
      <w:r>
        <w:rPr>
          <w:rFonts w:ascii="Times New Roman" w:cs="Times New Roman" w:eastAsia="Times New Roman" w:hAnsi="Times New Roman"/>
          <w:sz w:val="18"/>
          <w:szCs w:val="18"/>
          <w:color w:val="auto"/>
        </w:rPr>
        <w:t>Date: February 23,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17145</wp:posOffset>
            </wp:positionV>
            <wp:extent cx="28371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1">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Kevin Feeley</w:t>
      </w:r>
    </w:p>
    <w:p>
      <w:pPr>
        <w:spacing w:after="0" w:line="6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Chief Financial Officer</w:t>
      </w:r>
    </w:p>
    <w:p>
      <w:pPr>
        <w:ind w:left="53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 connection with the Annual Report of GeneDx Holdings Corp. (the “registrant”) on Form 10-K for the fiscal year ended December 31, 2023, as filed with the Securities and Exchange Commission (the “Report”), I, Katherine Stueland, Chief Executive Officer of the registrant, certify, pursuant to 18 U.S.C. §1350, as added by §906 of the Sarbanes-Oxley Act of 2002, that:</w:t>
      </w:r>
    </w:p>
    <w:p>
      <w:pPr>
        <w:spacing w:after="0" w:line="1"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3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registrant as of and for the period covered by the Report.</w:t>
      </w:r>
    </w:p>
    <w:p>
      <w:pPr>
        <w:spacing w:after="0" w:line="229" w:lineRule="exact"/>
        <w:rPr>
          <w:sz w:val="20"/>
          <w:szCs w:val="20"/>
          <w:color w:val="auto"/>
        </w:rPr>
      </w:pPr>
    </w:p>
    <w:p>
      <w:pPr>
        <w:ind w:left="20"/>
        <w:spacing w:after="0"/>
        <w:tabs>
          <w:tab w:leader="none" w:pos="4440" w:val="left"/>
          <w:tab w:leader="none" w:pos="5340" w:val="left"/>
        </w:tabs>
        <w:rPr>
          <w:sz w:val="20"/>
          <w:szCs w:val="20"/>
          <w:color w:val="auto"/>
        </w:rPr>
      </w:pPr>
      <w:r>
        <w:rPr>
          <w:rFonts w:ascii="Times New Roman" w:cs="Times New Roman" w:eastAsia="Times New Roman" w:hAnsi="Times New Roman"/>
          <w:sz w:val="18"/>
          <w:szCs w:val="18"/>
          <w:color w:val="auto"/>
        </w:rPr>
        <w:t>Date: February 23,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17145</wp:posOffset>
            </wp:positionV>
            <wp:extent cx="28371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2">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6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Chief Executive Officer</w:t>
      </w:r>
    </w:p>
    <w:p>
      <w:pPr>
        <w:ind w:left="53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31"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 connection with the Annual Report of GeneDx Holdings Corp. (the “registrant”) on Form 10-K for the fiscal year ended December 31, 2023, as filed with the Securities and Exchange Commission (the “Report”), I, Kevin Feeley, Chief Financial Officer of the registrant, certify, pursuant to 18 U.S.C. §1350, as added by §906 of the Sarbanes-Oxley Act of 2002, that:</w:t>
      </w:r>
    </w:p>
    <w:p>
      <w:pPr>
        <w:spacing w:after="0" w:line="1"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3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registrant as of and for the period covered by the Report.</w:t>
      </w:r>
    </w:p>
    <w:p>
      <w:pPr>
        <w:spacing w:after="0" w:line="229" w:lineRule="exact"/>
        <w:rPr>
          <w:sz w:val="20"/>
          <w:szCs w:val="20"/>
          <w:color w:val="auto"/>
        </w:rPr>
      </w:pPr>
    </w:p>
    <w:p>
      <w:pPr>
        <w:ind w:left="20"/>
        <w:spacing w:after="0"/>
        <w:tabs>
          <w:tab w:leader="none" w:pos="4440" w:val="left"/>
          <w:tab w:leader="none" w:pos="5340" w:val="left"/>
        </w:tabs>
        <w:rPr>
          <w:sz w:val="20"/>
          <w:szCs w:val="20"/>
          <w:color w:val="auto"/>
        </w:rPr>
      </w:pPr>
      <w:r>
        <w:rPr>
          <w:rFonts w:ascii="Times New Roman" w:cs="Times New Roman" w:eastAsia="Times New Roman" w:hAnsi="Times New Roman"/>
          <w:sz w:val="18"/>
          <w:szCs w:val="18"/>
          <w:color w:val="auto"/>
        </w:rPr>
        <w:t>Date: February 23,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17145</wp:posOffset>
            </wp:positionV>
            <wp:extent cx="28371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3">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Kevin Feeley</w:t>
      </w:r>
    </w:p>
    <w:p>
      <w:pPr>
        <w:spacing w:after="0" w:line="6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Chief Financial Officer</w:t>
      </w:r>
    </w:p>
    <w:p>
      <w:pPr>
        <w:ind w:left="53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x"/>
      <w:numFmt w:val="bullet"/>
      <w:start w:val="1"/>
    </w:lvl>
  </w:abstractNum>
  <w:abstractNum w:abstractNumId="1">
    <w:nsid w:val="5577F8E1"/>
    <w:multiLevelType w:val="hybridMultilevel"/>
    <w:lvl w:ilvl="0">
      <w:lvlJc w:val="left"/>
      <w:lvlText w:val="o"/>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lvl w:ilvl="1">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lvl w:ilvl="1">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1)"/>
      <w:numFmt w:val="lowerLetter"/>
      <w:start w:val="2"/>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1)"/>
      <w:numFmt w:val="decimal"/>
      <w:start w:val="1"/>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decimal"/>
      <w:start w:val="1"/>
    </w:lvl>
  </w:abstractNum>
  <w:abstractNum w:abstractNumId="38">
    <w:nsid w:val="520EEDD1"/>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1)"/>
      <w:numFmt w:val="decimal"/>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1)"/>
      <w:numFmt w:val="lowerLetter"/>
      <w:start w:val="1"/>
    </w:lvl>
    <w:lvl w:ilvl="1">
      <w:lvlJc w:val="left"/>
      <w:lvlText w:val="%2."/>
      <w:numFmt w:val="decimal"/>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
      <w:numFmt w:val="bullet"/>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
      <w:numFmt w:val="bullet"/>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1)"/>
      <w:numFmt w:val="decimal"/>
      <w:start w:val="2"/>
    </w:lvl>
  </w:abstractNum>
  <w:abstractNum w:abstractNumId="59">
    <w:nsid w:val="310C50B3"/>
    <w:multiLevelType w:val="hybridMultilevel"/>
    <w:lvl w:ilvl="0">
      <w:lvlJc w:val="left"/>
      <w:lvlText w:val="•"/>
      <w:numFmt w:val="bullet"/>
      <w:start w:val="1"/>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
      <w:numFmt w:val="bullet"/>
      <w:start w:val="1"/>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50" Type="http://schemas.openxmlformats.org/officeDocument/2006/relationships/image" Target="media/image126.png"/><Relationship Id="rId175"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89" Type="http://schemas.openxmlformats.org/officeDocument/2006/relationships/image" Target="media/image130.png"/><Relationship Id="rId190" Type="http://schemas.openxmlformats.org/officeDocument/2006/relationships/image" Target="media/image131.png"/><Relationship Id="rId191" Type="http://schemas.openxmlformats.org/officeDocument/2006/relationships/image" Target="media/image132.png"/><Relationship Id="rId192" Type="http://schemas.openxmlformats.org/officeDocument/2006/relationships/image" Target="media/image133.png"/><Relationship Id="rId193" Type="http://schemas.openxmlformats.org/officeDocument/2006/relationships/image" Target="media/image134.png"/><Relationship Id="rId133" Type="http://schemas.openxmlformats.org/officeDocument/2006/relationships/hyperlink" Target="https://www.sec.gov/Archives/edgar/data/1818331/000181833123000015/exhibit11uwagreementprojec.htm" TargetMode="External"/><Relationship Id="rId134" Type="http://schemas.openxmlformats.org/officeDocument/2006/relationships/hyperlink" Target="https://www.sec.gov/Archives/edgar/data/0001818331/000162828021013404/sema4proxy.htm#i8b8880c1ddfa423593153735d1fc233d_1878" TargetMode="External"/><Relationship Id="rId135" Type="http://schemas.openxmlformats.org/officeDocument/2006/relationships/hyperlink" Target="https://www.sec.gov/Archives/edgar/data/0001818331/000181833122000010/exhibit21-mergeragreement2.htm" TargetMode="External"/><Relationship Id="rId136" Type="http://schemas.openxmlformats.org/officeDocument/2006/relationships/hyperlink" Target="https://www.sec.gov/Archives/edgar/data/1818331/000162828022011605/exhibit992closing8-k.htm" TargetMode="External"/><Relationship Id="rId137" Type="http://schemas.openxmlformats.org/officeDocument/2006/relationships/hyperlink" Target="https://www.sec.gov/Archives/edgar/data/0001818331/000162828021014760/exhibit31-super8xk.htm" TargetMode="External"/><Relationship Id="rId138" Type="http://schemas.openxmlformats.org/officeDocument/2006/relationships/hyperlink" Target="https://www.sec.gov/Archives/edgar/data/1818331/000181833123000006/sema4-certificateofamendme.htm" TargetMode="External"/><Relationship Id="rId139" Type="http://schemas.openxmlformats.org/officeDocument/2006/relationships/hyperlink" Target="https://www.sec.gov/Archives/edgar/data/1818331/000162828023011808/exhibit31-8xkx4172023.htm" TargetMode="External"/><Relationship Id="rId140" Type="http://schemas.openxmlformats.org/officeDocument/2006/relationships/hyperlink" Target="https://www.sec.gov/Archives/edgar/data/1818331/000181833123000030/exhibit31exhibita-genedxxc.htm" TargetMode="External"/><Relationship Id="rId141" Type="http://schemas.openxmlformats.org/officeDocument/2006/relationships/hyperlink" Target="https://www.sec.gov/Archives/edgar/data/1818331/000181833123000006/sema4-amendedandrestatedby.htm" TargetMode="External"/><Relationship Id="rId142" Type="http://schemas.openxmlformats.org/officeDocument/2006/relationships/hyperlink" Target="https://www.sec.gov/Archives/edgar/data/0001818331/000121390020023383/fs12020a1ex4-2_cmlifesci.htm" TargetMode="External"/><Relationship Id="rId143" Type="http://schemas.openxmlformats.org/officeDocument/2006/relationships/hyperlink" Target="https://www.sec.gov/Archives/edgar/data/0001818331/000121390020023383/fs12020a1ex4-3_cmlifesci.htm" TargetMode="External"/><Relationship Id="rId144" Type="http://schemas.openxmlformats.org/officeDocument/2006/relationships/hyperlink" Target="https://www.sec.gov/Archives/edgar/data/0001818331/000121390020025454/ea126481ex10-1_cmlife.htm" TargetMode="External"/><Relationship Id="rId145" Type="http://schemas.openxmlformats.org/officeDocument/2006/relationships/hyperlink" Target="https://www.sec.gov/Archives/edgar/data/1818331/000181833123000066/genedx-publiccompanywarran.htm" TargetMode="External"/><Relationship Id="rId146" Type="http://schemas.openxmlformats.org/officeDocument/2006/relationships/hyperlink" Target="https://www.sec.gov/Archives/edgar/data/0001818331/000162828021014760/exhibit102-super8xk.htm" TargetMode="External"/><Relationship Id="rId147" Type="http://schemas.openxmlformats.org/officeDocument/2006/relationships/hyperlink" Target="https://www.sec.gov/Archives/edgar/data/0001818331/000162828021014760/exhibit104-super8xk.htm" TargetMode="External"/><Relationship Id="rId148" Type="http://schemas.openxmlformats.org/officeDocument/2006/relationships/hyperlink" Target="https://www.sec.gov/Archives/edgar/data/1818331/000162828023011808/exhibit101-8xkx4172023.htm" TargetMode="External"/><Relationship Id="rId149" Type="http://schemas.openxmlformats.org/officeDocument/2006/relationships/hyperlink" Target="https://www.sec.gov/Archives/edgar/data/0001818331/000162828021014760/exhibit106-super8xk.htm" TargetMode="External"/><Relationship Id="rId151" Type="http://schemas.openxmlformats.org/officeDocument/2006/relationships/hyperlink" Target="https://www.sec.gov/Archives/edgar/data/0001818331/000162828021014760/exhibit107-super8xk.htm" TargetMode="External"/><Relationship Id="rId152" Type="http://schemas.openxmlformats.org/officeDocument/2006/relationships/hyperlink" Target="https://www.sec.gov/Archives/edgar/data/0001818331/000162828021014760/exhibit108-super8xk.htm" TargetMode="External"/><Relationship Id="rId153" Type="http://schemas.openxmlformats.org/officeDocument/2006/relationships/hyperlink" Target="https://www.sec.gov/Archives/edgar/data/0001818331/000162828021014760/exhibit109-super8xk.htm" TargetMode="External"/><Relationship Id="rId154" Type="http://schemas.openxmlformats.org/officeDocument/2006/relationships/hyperlink" Target="https://www.sec.gov/Archives/edgar/data/1818331/000181833123000056/genedx-2023equityinducemen.htm" TargetMode="External"/><Relationship Id="rId155" Type="http://schemas.openxmlformats.org/officeDocument/2006/relationships/hyperlink" Target="https://www.sec.gov/Archives/edgar/data/1818331/000181833123000056/genedx-formofinducementsto.htm" TargetMode="External"/><Relationship Id="rId156" Type="http://schemas.openxmlformats.org/officeDocument/2006/relationships/hyperlink" Target="https://www.sec.gov/Archives/edgar/data/1818331/000181833123000056/genedx-formofinducementrsu.htm" TargetMode="External"/><Relationship Id="rId157" Type="http://schemas.openxmlformats.org/officeDocument/2006/relationships/hyperlink" Target="https://www.sec.gov/Archives/edgar/data/0001818331/000162828021014760/exhibit1017-super8xk.htm" TargetMode="External"/><Relationship Id="rId158" Type="http://schemas.openxmlformats.org/officeDocument/2006/relationships/hyperlink" Target="https://www.sec.gov/Archives/edgar/data/0001818331/000162828021014760/exhibit1018-super8xk.htm" TargetMode="External"/><Relationship Id="rId159" Type="http://schemas.openxmlformats.org/officeDocument/2006/relationships/hyperlink" Target="https://www.sec.gov/Archives/edgar/data/0001818331/000162828021014760/exhibit1019-super8xk.htm" TargetMode="External"/><Relationship Id="rId160" Type="http://schemas.openxmlformats.org/officeDocument/2006/relationships/hyperlink" Target="https://www.sec.gov/Archives/edgar/data/0001818331/000162828021014760/exhibit1020-super8xk.htm" TargetMode="External"/><Relationship Id="rId161" Type="http://schemas.openxmlformats.org/officeDocument/2006/relationships/hyperlink" Target="https://www.sec.gov/Archives/edgar/data/0001818331/000162828021014760/exhibit1021-super8xk.htm" TargetMode="External"/><Relationship Id="rId162" Type="http://schemas.openxmlformats.org/officeDocument/2006/relationships/hyperlink" Target="https://www.sec.gov/Archives/edgar/data/0001818331/000162828021014760/exhibit1022-super8xk.htm" TargetMode="External"/><Relationship Id="rId163" Type="http://schemas.openxmlformats.org/officeDocument/2006/relationships/hyperlink" Target="https://www.sec.gov/Archives/edgar/data/0001818331/000162828021014760/exhibit1023-super8xk.htm" TargetMode="External"/><Relationship Id="rId164" Type="http://schemas.openxmlformats.org/officeDocument/2006/relationships/hyperlink" Target="https://www.sec.gov/Archives/edgar/data/0001818331/000162828021014760/exhibit1024-super8xk.htm" TargetMode="External"/><Relationship Id="rId165" Type="http://schemas.openxmlformats.org/officeDocument/2006/relationships/hyperlink" Target="https://www.sec.gov/Archives/edgar/data/0001818331/000162828021014760/exhibit1025-super8xk.htm" TargetMode="External"/><Relationship Id="rId166" Type="http://schemas.openxmlformats.org/officeDocument/2006/relationships/hyperlink" Target="https://www.sec.gov/Archives/edgar/data/0001818331/000162828021014760/exhibit1026-super8xk.htm" TargetMode="External"/><Relationship Id="rId167" Type="http://schemas.openxmlformats.org/officeDocument/2006/relationships/hyperlink" Target="https://www.sec.gov/Archives/edgar/data/0001818331/000162828021014760/exhibit1027-super8xk.htm" TargetMode="External"/><Relationship Id="rId168" Type="http://schemas.openxmlformats.org/officeDocument/2006/relationships/hyperlink" Target="https://www.sec.gov/Archives/edgar/data/0001818331/000162828021019193/exhibit996-sx8.htm" TargetMode="External"/><Relationship Id="rId169" Type="http://schemas.openxmlformats.org/officeDocument/2006/relationships/hyperlink" Target="https://www.sec.gov/Archives/edgar/data/0001818331/000181833121000012/sema4-svbxxloanandsecurity.htm" TargetMode="External"/><Relationship Id="rId170" Type="http://schemas.openxmlformats.org/officeDocument/2006/relationships/hyperlink" Target="https://www.sec.gov/Archives/edgar/data/0001818331/000121390021008253/ea135116ex10-1_cmlife.htm" TargetMode="External"/><Relationship Id="rId171" Type="http://schemas.openxmlformats.org/officeDocument/2006/relationships/hyperlink" Target="https://www.sec.gov/Archives/edgar/data/1818331/000181833122000010/exhibit102-formofsharehold.htm" TargetMode="External"/><Relationship Id="rId172" Type="http://schemas.openxmlformats.org/officeDocument/2006/relationships/hyperlink" Target="https://www.sec.gov/Archives/edgar/data/1818331/000181833122000010/exhibit103-formofstockhold.htm" TargetMode="External"/><Relationship Id="rId173" Type="http://schemas.openxmlformats.org/officeDocument/2006/relationships/hyperlink" Target="https://www.sec.gov/Archives/edgar/data/1818331/000181833122000010/exhibit104-formofpipeinves.htm" TargetMode="External"/><Relationship Id="rId174" Type="http://schemas.openxmlformats.org/officeDocument/2006/relationships/hyperlink" Target="https://www.sec.gov/Archives/edgar/data/1818331/000181833122000037/fw_15470948x3xsema4-execut.htm" TargetMode="External"/><Relationship Id="rId176" Type="http://schemas.openxmlformats.org/officeDocument/2006/relationships/hyperlink" Target="https://www.sec.gov/Archives/edgar/data/1818331/000181833123000027/exhibit101genedx-amendment.htm" TargetMode="External"/><Relationship Id="rId177" Type="http://schemas.openxmlformats.org/officeDocument/2006/relationships/hyperlink" Target="https://www.sec.gov/Archives/edgar/data/1818331/000162828022011605/exhibit101closing8-k.htm" TargetMode="External"/><Relationship Id="rId178" Type="http://schemas.openxmlformats.org/officeDocument/2006/relationships/hyperlink" Target="https://www.sec.gov/Archives/edgar/data/1818331/000162828022011605/exhibit102-closing8xk.htm" TargetMode="External"/><Relationship Id="rId179" Type="http://schemas.openxmlformats.org/officeDocument/2006/relationships/hyperlink" Target="https://www.sec.gov/Archives/edgar/data/1818331/000181833123000024/exhibit1034orion-employmen.htm" TargetMode="External"/><Relationship Id="rId180" Type="http://schemas.openxmlformats.org/officeDocument/2006/relationships/hyperlink" Target="https://www.sec.gov/Archives/edgar/data/1818331/000162828022023779/exhibit101-8xkx8262022.htm" TargetMode="External"/><Relationship Id="rId181" Type="http://schemas.openxmlformats.org/officeDocument/2006/relationships/hyperlink" Target="https://www.sec.gov/Archives/edgar/data/1818331/000181833123000024/exhibit1036ismms-sema4biom.htm" TargetMode="External"/><Relationship Id="rId182" Type="http://schemas.openxmlformats.org/officeDocument/2006/relationships/hyperlink" Target="https://www.sec.gov/Archives/edgar/data/1818331/000181833123000024/a2022replacementnote.htm" TargetMode="External"/><Relationship Id="rId183" Type="http://schemas.openxmlformats.org/officeDocument/2006/relationships/hyperlink" Target="https://www.sec.gov/Archives/edgar/data/1818331/000181833123000066/genedx-creditagreementex101.htm" TargetMode="External"/><Relationship Id="rId184" Type="http://schemas.openxmlformats.org/officeDocument/2006/relationships/hyperlink" Target="https://www.sec.gov/Archives/edgar/data/1818331/000181833123000066/genedx-securityagreementex.htm" TargetMode="External"/><Relationship Id="rId185" Type="http://schemas.openxmlformats.org/officeDocument/2006/relationships/hyperlink" Target="https://www.sec.gov/Archives/edgar/data/1818331/000181833123000015/exhibit101formofsubscripti.htm" TargetMode="External"/><Relationship Id="rId186" Type="http://schemas.openxmlformats.org/officeDocument/2006/relationships/hyperlink" Target="https://www.sec.gov/Archives/edgar/data/1818331/000181833123000043/exhibit103-genedxxmountsi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2024-02-23T16:24:27Z</dcterms:created>
  <dcterms:modified xsi:type="dcterms:W3CDTF">2024-02-23T16:24:27Z</dcterms:modified>
</cp:coreProperties>
</file>