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Washington, D.C. 20549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180" w:after="283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Proxy Statement Pursuant to Section 14(a) of the</w:t>
      </w:r>
    </w:p>
    <w:p>
      <w:pPr>
        <w:pStyle w:val="TextBody"/>
        <w:bidi w:val="0"/>
        <w:spacing w:lineRule="auto" w:line="288" w:before="0" w:after="18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Securities Exchange Act of 1934 (Amendment No. )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12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88" w:before="0" w:after="18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0" w:after="18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360" w:after="360"/>
        <w:jc w:val="center"/>
        <w:rPr/>
      </w:pPr>
      <w:r>
        <w:rPr/>
        <w:drawing>
          <wp:inline distT="0" distB="0" distL="0" distR="0">
            <wp:extent cx="1828800" cy="4191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6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GENEDX HOLDINGS CORP.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(Name of Registrant as Specified in Its Charter)</w:t>
      </w:r>
    </w:p>
    <w:p>
      <w:pPr>
        <w:pStyle w:val="TextBody"/>
        <w:bidi w:val="0"/>
        <w:spacing w:lineRule="auto" w:line="288" w:before="0" w:after="360"/>
        <w:jc w:val="center"/>
        <w:rPr>
          <w:rFonts w:ascii="Times New Roman;serif" w:hAnsi="Times New Roman;serif"/>
          <w:b/>
          <w:color w:val="000000"/>
          <w:sz w:val="22"/>
        </w:rPr>
      </w:pPr>
      <w:r>
        <w:rPr>
          <w:rFonts w:ascii="Times New Roman;serif" w:hAnsi="Times New Roman;serif"/>
          <w:b/>
          <w:color w:val="000000"/>
          <w:sz w:val="22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6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the appropriate box):</w:t>
      </w:r>
    </w:p>
    <w:tbl>
      <w:tblPr>
        <w:tblW w:w="86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44"/>
        <w:gridCol w:w="2444"/>
        <w:gridCol w:w="346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14a6(i)(1) and 0-11.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18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48500" cy="91440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067550" cy="91440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134</Words>
  <Characters>728</Characters>
  <CharactersWithSpaces>834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