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GeneDx Holdings Corp.</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CMLS Holdings LLC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Eli Casdin and Keith Meister</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 Corvex Management LP</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667 Madison Avenue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New York, New York 10065</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(212) 474-6745</w:t>
      </w:r>
    </w:p>
    <w:p>
      <w:pPr>
        <w:jc w:val="center"/>
        <w:spacing w:after="0"/>
        <w:rPr>
          <w:sz w:val="20"/>
          <w:szCs w:val="20"/>
          <w:color w:val="auto"/>
        </w:rPr>
      </w:pPr>
      <w:r>
        <w:rPr>
          <w:rFonts w:ascii="Times New Roman" w:cs="Times New Roman" w:eastAsia="Times New Roman" w:hAnsi="Times New Roman"/>
          <w:sz w:val="22"/>
          <w:szCs w:val="22"/>
          <w:color w:val="auto"/>
        </w:rPr>
        <w:t>(Name, Address and Telephone Number of Person Authorized to Receive Notice and Communications)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Class A common stock, $0.0001 par value per share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81663L101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January 31, 2023</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jc w:val="both"/>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7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§240.13d-7 for other parties to whom copies are to be sent.</w:t>
      </w:r>
    </w:p>
    <w:p>
      <w:pPr>
        <w:spacing w:after="0" w:line="181" w:lineRule="exact"/>
        <w:rPr>
          <w:sz w:val="24"/>
          <w:szCs w:val="24"/>
          <w:color w:val="auto"/>
        </w:rPr>
      </w:pPr>
    </w:p>
    <w:p>
      <w:pPr>
        <w:jc w:val="both"/>
        <w:ind w:left="120" w:hanging="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17,730,419 (1)(2)(3)</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66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660" w:right="4400" w:hanging="652"/>
        <w:spacing w:after="0" w:line="353"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2.2% (4)</w:t>
      </w:r>
    </w:p>
    <w:p>
      <w:pPr>
        <w:ind w:left="660" w:right="7460" w:hanging="652"/>
        <w:spacing w:after="0" w:line="477" w:lineRule="auto"/>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00" w:lineRule="exact"/>
        <w:rPr>
          <w:sz w:val="20"/>
          <w:szCs w:val="20"/>
          <w:color w:val="auto"/>
        </w:rPr>
      </w:pPr>
    </w:p>
    <w:p>
      <w:pPr>
        <w:spacing w:after="0" w:line="2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17,730,419 (1)(2)(3)</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66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660" w:right="4400" w:hanging="652"/>
        <w:spacing w:after="0" w:line="353" w:lineRule="auto"/>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2.2% (4)</w:t>
      </w:r>
    </w:p>
    <w:p>
      <w:pPr>
        <w:ind w:left="660" w:right="7460" w:hanging="652"/>
        <w:spacing w:after="0" w:line="477" w:lineRule="auto"/>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00" w:lineRule="exact"/>
        <w:rPr>
          <w:sz w:val="20"/>
          <w:szCs w:val="20"/>
          <w:color w:val="auto"/>
        </w:rPr>
      </w:pPr>
    </w:p>
    <w:p>
      <w:pPr>
        <w:spacing w:after="0" w:line="276"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17,730,419 (1)(2)(3)</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200" w:lineRule="exact"/>
        <w:rPr>
          <w:rFonts w:ascii="Times New Roman" w:cs="Times New Roman" w:eastAsia="Times New Roman" w:hAnsi="Times New Roman"/>
          <w:sz w:val="22"/>
          <w:szCs w:val="22"/>
          <w:color w:val="auto"/>
        </w:rPr>
      </w:pPr>
    </w:p>
    <w:p>
      <w:pPr>
        <w:ind w:left="660"/>
        <w:spacing w:after="0" w:line="221" w:lineRule="exact"/>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07" w:lineRule="exact"/>
        <w:rPr>
          <w:rFonts w:ascii="Times New Roman" w:cs="Times New Roman" w:eastAsia="Times New Roman" w:hAnsi="Times New Roman"/>
          <w:sz w:val="22"/>
          <w:szCs w:val="22"/>
          <w:color w:val="auto"/>
        </w:rPr>
      </w:pPr>
    </w:p>
    <w:p>
      <w:pPr>
        <w:ind w:left="660" w:right="4400" w:hanging="652"/>
        <w:spacing w:after="0" w:line="353"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2.2% (4)</w:t>
      </w:r>
    </w:p>
    <w:p>
      <w:pPr>
        <w:ind w:left="660" w:right="7460" w:hanging="652"/>
        <w:spacing w:after="0" w:line="477"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35,122 (7)</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119,882,204 (1)(2)(3)(5)</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35,122 (7)</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119,882,204 (1)(2)(3)(5)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119,882,204 (1)(2)(3)(5)(7)</w:t>
      </w:r>
    </w:p>
    <w:p>
      <w:pPr>
        <w:spacing w:after="0" w:line="1" w:lineRule="exact"/>
        <w:rPr>
          <w:rFonts w:ascii="Times New Roman" w:cs="Times New Roman" w:eastAsia="Times New Roman" w:hAnsi="Times New Roman"/>
          <w:sz w:val="22"/>
          <w:szCs w:val="22"/>
          <w:color w:val="auto"/>
        </w:rPr>
      </w:pPr>
    </w:p>
    <w:p>
      <w:pPr>
        <w:ind w:left="660" w:right="1800" w:hanging="652"/>
        <w:spacing w:after="0" w:line="385" w:lineRule="exact"/>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119,917,326</w:t>
      </w:r>
    </w:p>
    <w:p>
      <w:pPr>
        <w:ind w:left="660" w:right="4400" w:hanging="652"/>
        <w:spacing w:after="0" w:line="358"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15.1%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102,151,785 (5)</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102,151,785 (5)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102,151,785 (5)</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13.0%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3"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102,151,785(5)</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102,151,785(5)</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102,151,785(5)</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13.0% (4)(5)</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87,866,042</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87,866,042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87,866,042</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(3)</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11.2%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3"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CASDIN PARTNERS FO1-MSV,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14,285,743</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14,285,743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14,285,743</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1.8%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4"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86,811,516 (6)</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86,811,516 (6)</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17,730,419 (1)(2)(3)</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104,541,935 (1)(2)(3)(6)</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13.2%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81663L101</w:t>
      </w:r>
    </w:p>
    <w:p>
      <w:pPr>
        <w:spacing w:after="0" w:line="233"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w:t>
      </w:r>
    </w:p>
    <w:p>
      <w:pPr>
        <w:spacing w:after="0" w:line="15" w:lineRule="exact"/>
        <w:rPr>
          <w:rFonts w:ascii="Times New Roman" w:cs="Times New Roman" w:eastAsia="Times New Roman" w:hAnsi="Times New Roman"/>
          <w:sz w:val="22"/>
          <w:szCs w:val="22"/>
          <w:color w:val="auto"/>
        </w:rPr>
      </w:pPr>
    </w:p>
    <w:p>
      <w:pPr>
        <w:ind w:left="660"/>
        <w:spacing w:after="0" w:line="253"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 </w:t>
      </w:r>
      <w:r>
        <w:rPr>
          <w:rFonts w:ascii="MS PGothic" w:cs="MS PGothic" w:eastAsia="MS PGothic" w:hAnsi="MS PGothic"/>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 ITEM 2(d) or 2(e)</w:t>
      </w:r>
    </w:p>
    <w:p>
      <w:pPr>
        <w:spacing w:after="0" w:line="200"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660" w:right="6160" w:hanging="652"/>
        <w:spacing w:after="0" w:line="462"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2"/>
        </w:trPr>
        <w:tc>
          <w:tcPr>
            <w:tcW w:w="180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w:t>
            </w: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366"/>
        </w:trPr>
        <w:tc>
          <w:tcPr>
            <w:tcW w:w="1800" w:type="dxa"/>
            <w:vAlign w:val="bottom"/>
          </w:tcPr>
          <w:p>
            <w:pPr>
              <w:jc w:val="center"/>
              <w:ind w:right="192"/>
              <w:spacing w:after="0"/>
              <w:rPr>
                <w:sz w:val="20"/>
                <w:szCs w:val="20"/>
                <w:color w:val="auto"/>
              </w:rPr>
            </w:pPr>
            <w:r>
              <w:rPr>
                <w:rFonts w:ascii="Times New Roman" w:cs="Times New Roman" w:eastAsia="Times New Roman" w:hAnsi="Times New Roman"/>
                <w:sz w:val="22"/>
                <w:szCs w:val="22"/>
                <w:color w:val="auto"/>
                <w:w w:val="98"/>
              </w:rPr>
              <w:t>NUMBER OF</w:t>
            </w:r>
          </w:p>
        </w:tc>
        <w:tc>
          <w:tcPr>
            <w:tcW w:w="500" w:type="dxa"/>
            <w:vAlign w:val="bottom"/>
          </w:tcPr>
          <w:p>
            <w:pPr>
              <w:spacing w:after="0"/>
              <w:rPr>
                <w:sz w:val="24"/>
                <w:szCs w:val="24"/>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86,811,516 (6)</w:t>
            </w:r>
          </w:p>
        </w:tc>
        <w:tc>
          <w:tcPr>
            <w:tcW w:w="0" w:type="dxa"/>
            <w:vAlign w:val="bottom"/>
          </w:tcPr>
          <w:p>
            <w:pPr>
              <w:spacing w:after="0"/>
              <w:rPr>
                <w:sz w:val="1"/>
                <w:szCs w:val="1"/>
                <w:color w:val="auto"/>
              </w:rPr>
            </w:pPr>
          </w:p>
        </w:tc>
      </w:tr>
      <w:tr>
        <w:trPr>
          <w:trHeight w:val="115"/>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5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75"/>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500" w:type="dxa"/>
            <w:vAlign w:val="bottom"/>
            <w:vMerge w:val="continue"/>
          </w:tcPr>
          <w:p>
            <w:pPr>
              <w:spacing w:after="0"/>
              <w:rPr>
                <w:sz w:val="15"/>
                <w:szCs w:val="15"/>
                <w:color w:val="auto"/>
              </w:rPr>
            </w:pPr>
          </w:p>
        </w:tc>
        <w:tc>
          <w:tcPr>
            <w:tcW w:w="8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2"/>
        </w:trPr>
        <w:tc>
          <w:tcPr>
            <w:tcW w:w="1800" w:type="dxa"/>
            <w:vAlign w:val="bottom"/>
            <w:vMerge w:val="restart"/>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6"/>
              </w:rPr>
              <w:t>EACH</w:t>
            </w:r>
          </w:p>
        </w:tc>
        <w:tc>
          <w:tcPr>
            <w:tcW w:w="500" w:type="dxa"/>
            <w:vAlign w:val="bottom"/>
            <w:tcBorders>
              <w:bottom w:val="single" w:sz="8" w:color="auto"/>
            </w:tcBorders>
          </w:tcPr>
          <w:p>
            <w:pPr>
              <w:spacing w:after="0"/>
              <w:rPr>
                <w:sz w:val="12"/>
                <w:szCs w:val="12"/>
                <w:color w:val="auto"/>
              </w:rPr>
            </w:pPr>
          </w:p>
        </w:tc>
        <w:tc>
          <w:tcPr>
            <w:tcW w:w="8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02"/>
        </w:trPr>
        <w:tc>
          <w:tcPr>
            <w:tcW w:w="1800" w:type="dxa"/>
            <w:vAlign w:val="bottom"/>
            <w:vMerge w:val="restart"/>
          </w:tcPr>
          <w:p>
            <w:pPr>
              <w:jc w:val="center"/>
              <w:ind w:right="172"/>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500" w:type="dxa"/>
            <w:vAlign w:val="bottom"/>
            <w:vMerge w:val="continue"/>
          </w:tcPr>
          <w:p>
            <w:pPr>
              <w:spacing w:after="0"/>
              <w:rPr>
                <w:sz w:val="17"/>
                <w:szCs w:val="17"/>
                <w:color w:val="auto"/>
              </w:rPr>
            </w:pPr>
          </w:p>
        </w:tc>
        <w:tc>
          <w:tcPr>
            <w:tcW w:w="8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00" w:type="dxa"/>
            <w:vAlign w:val="bottom"/>
          </w:tcPr>
          <w:p>
            <w:pPr>
              <w:jc w:val="center"/>
              <w:ind w:right="192"/>
              <w:spacing w:after="0" w:line="243" w:lineRule="exact"/>
              <w:rPr>
                <w:sz w:val="20"/>
                <w:szCs w:val="20"/>
                <w:color w:val="auto"/>
              </w:rPr>
            </w:pPr>
            <w:r>
              <w:rPr>
                <w:rFonts w:ascii="Times New Roman" w:cs="Times New Roman" w:eastAsia="Times New Roman" w:hAnsi="Times New Roman"/>
                <w:sz w:val="22"/>
                <w:szCs w:val="22"/>
                <w:color w:val="auto"/>
                <w:w w:val="97"/>
              </w:rPr>
              <w:t>PERSON</w:t>
            </w:r>
          </w:p>
        </w:tc>
        <w:tc>
          <w:tcPr>
            <w:tcW w:w="500" w:type="dxa"/>
            <w:vAlign w:val="bottom"/>
          </w:tcPr>
          <w:p>
            <w:pPr>
              <w:spacing w:after="0"/>
              <w:rPr>
                <w:sz w:val="21"/>
                <w:szCs w:val="21"/>
                <w:color w:val="auto"/>
              </w:rPr>
            </w:pP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86,811,516 (6)</w:t>
            </w:r>
          </w:p>
        </w:tc>
        <w:tc>
          <w:tcPr>
            <w:tcW w:w="0" w:type="dxa"/>
            <w:vAlign w:val="bottom"/>
          </w:tcPr>
          <w:p>
            <w:pPr>
              <w:spacing w:after="0"/>
              <w:rPr>
                <w:sz w:val="1"/>
                <w:szCs w:val="1"/>
                <w:color w:val="auto"/>
              </w:rPr>
            </w:pPr>
          </w:p>
        </w:tc>
      </w:tr>
      <w:tr>
        <w:trPr>
          <w:trHeight w:val="169"/>
        </w:trPr>
        <w:tc>
          <w:tcPr>
            <w:tcW w:w="1800" w:type="dxa"/>
            <w:vAlign w:val="bottom"/>
            <w:vMerge w:val="restart"/>
          </w:tcPr>
          <w:p>
            <w:pPr>
              <w:jc w:val="center"/>
              <w:ind w:right="172"/>
              <w:spacing w:after="0"/>
              <w:rPr>
                <w:sz w:val="20"/>
                <w:szCs w:val="20"/>
                <w:color w:val="auto"/>
              </w:rPr>
            </w:pPr>
            <w:r>
              <w:rPr>
                <w:rFonts w:ascii="Times New Roman" w:cs="Times New Roman" w:eastAsia="Times New Roman" w:hAnsi="Times New Roman"/>
                <w:sz w:val="22"/>
                <w:szCs w:val="22"/>
                <w:color w:val="auto"/>
                <w:w w:val="97"/>
              </w:rPr>
              <w:t>WITH</w:t>
            </w:r>
          </w:p>
        </w:tc>
        <w:tc>
          <w:tcPr>
            <w:tcW w:w="500" w:type="dxa"/>
            <w:vAlign w:val="bottom"/>
            <w:tcBorders>
              <w:bottom w:val="single" w:sz="8" w:color="auto"/>
            </w:tcBorders>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8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60" w:right="2700" w:hanging="652"/>
        <w:spacing w:after="0" w:line="364"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86,811,516 (6)</w:t>
      </w:r>
    </w:p>
    <w:p>
      <w:pPr>
        <w:spacing w:after="0" w:line="1" w:lineRule="exact"/>
        <w:rPr>
          <w:rFonts w:ascii="Times New Roman" w:cs="Times New Roman" w:eastAsia="Times New Roman" w:hAnsi="Times New Roman"/>
          <w:sz w:val="22"/>
          <w:szCs w:val="22"/>
          <w:color w:val="auto"/>
        </w:rPr>
      </w:pPr>
    </w:p>
    <w:p>
      <w:pPr>
        <w:ind w:left="660" w:hanging="652"/>
        <w:spacing w:after="0" w:line="253" w:lineRule="exact"/>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r>
        <w:rPr>
          <w:rFonts w:ascii="MS PGothic" w:cs="MS PGothic" w:eastAsia="MS PGothic" w:hAnsi="MS PGothic"/>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304" w:lineRule="exact"/>
        <w:rPr>
          <w:rFonts w:ascii="Times New Roman" w:cs="Times New Roman" w:eastAsia="Times New Roman" w:hAnsi="Times New Roman"/>
          <w:sz w:val="22"/>
          <w:szCs w:val="22"/>
          <w:color w:val="auto"/>
        </w:rPr>
      </w:pPr>
    </w:p>
    <w:p>
      <w:pPr>
        <w:ind w:left="660" w:right="4400" w:hanging="652"/>
        <w:spacing w:after="0" w:line="364"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11.0% (4)</w:t>
      </w:r>
    </w:p>
    <w:p>
      <w:pPr>
        <w:spacing w:after="0" w:line="1" w:lineRule="exact"/>
        <w:rPr>
          <w:rFonts w:ascii="Times New Roman" w:cs="Times New Roman" w:eastAsia="Times New Roman" w:hAnsi="Times New Roman"/>
          <w:sz w:val="22"/>
          <w:szCs w:val="22"/>
          <w:color w:val="auto"/>
        </w:rPr>
      </w:pPr>
    </w:p>
    <w:p>
      <w:pPr>
        <w:ind w:left="660" w:right="7460" w:hanging="652"/>
        <w:spacing w:after="0" w:line="477"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-1614170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ind w:left="300" w:hanging="292"/>
        <w:spacing w:after="0" w:line="241" w:lineRule="auto"/>
        <w:tabs>
          <w:tab w:leader="none" w:pos="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10,993,750 shares of Class A common stock of GeneDx Holdings Corp. (the “Issuer”), par value $0.0001 per share (“Common Stock”).</w:t>
      </w:r>
    </w:p>
    <w:p>
      <w:pPr>
        <w:spacing w:after="0" w:line="1" w:lineRule="exact"/>
        <w:rPr>
          <w:rFonts w:ascii="Times New Roman" w:cs="Times New Roman" w:eastAsia="Times New Roman" w:hAnsi="Times New Roman"/>
          <w:sz w:val="22"/>
          <w:szCs w:val="22"/>
          <w:color w:val="auto"/>
        </w:rPr>
      </w:pPr>
    </w:p>
    <w:p>
      <w:pPr>
        <w:jc w:val="both"/>
        <w:ind w:left="300" w:hanging="292"/>
        <w:spacing w:after="0" w:line="234" w:lineRule="auto"/>
        <w:tabs>
          <w:tab w:leader="none" w:pos="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6,736,669 shares of Common Stock issuable upon the exercise of 6,736,669 private placement warrants of the Issuer. On September 3, 2021, each private placement warrant became exercisable to purchase one share of Common Stock at a price of $11.50 per share, subject to adjustment, as described in the definitive proxy statement of the Issuer (File No. 001-39482) filed with the U.S. Securities Exchange Commission (the “SEC”) on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jc w:val="both"/>
        <w:ind w:left="292" w:hanging="292"/>
        <w:spacing w:after="0" w:line="246" w:lineRule="auto"/>
        <w:tabs>
          <w:tab w:leader="none" w:pos="29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p>
      <w:pPr>
        <w:spacing w:after="0" w:line="1" w:lineRule="exact"/>
        <w:rPr>
          <w:rFonts w:ascii="Times New Roman" w:cs="Times New Roman" w:eastAsia="Times New Roman" w:hAnsi="Times New Roman"/>
          <w:sz w:val="21"/>
          <w:szCs w:val="21"/>
          <w:color w:val="auto"/>
        </w:rPr>
      </w:pPr>
    </w:p>
    <w:p>
      <w:pPr>
        <w:ind w:left="292" w:right="40" w:hanging="292"/>
        <w:spacing w:after="0" w:line="230" w:lineRule="auto"/>
        <w:tabs>
          <w:tab w:leader="none" w:pos="2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810,000,334 shares of Common Stock outstanding as reported in the Issuer’s final prospectus on Form 424 filed with the SEC on January 30, 2023 following the offering reduced by the 22,364,624 Additional Direct Offering Shares (as defined below) plus 185,000 shares that the Issuer has informed the Reporting Persons that were issued as a partial exercise of the overallotment option and, for Reporting Persons that beneficially own warrants or options as reported in notes (2) and (7), plus warrants and options that would result in the issuance of new shares and exercisable within the next 60 days.</w:t>
      </w:r>
    </w:p>
    <w:p>
      <w:pPr>
        <w:spacing w:after="0" w:line="2" w:lineRule="exact"/>
        <w:rPr>
          <w:rFonts w:ascii="Times New Roman" w:cs="Times New Roman" w:eastAsia="Times New Roman" w:hAnsi="Times New Roman"/>
          <w:sz w:val="22"/>
          <w:szCs w:val="22"/>
          <w:color w:val="auto"/>
        </w:rPr>
      </w:pPr>
    </w:p>
    <w:p>
      <w:pPr>
        <w:ind w:left="292" w:right="20" w:hanging="292"/>
        <w:spacing w:after="0" w:line="230" w:lineRule="auto"/>
        <w:tabs>
          <w:tab w:leader="none" w:pos="2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Partners Master Fund, LP is the holder of 87,866,042 shares reported herein. Casdin Partners FO1-MSV LP is the holder of 14,285,743 shares reported herein.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w:t>
      </w:r>
    </w:p>
    <w:p>
      <w:pPr>
        <w:spacing w:after="0" w:line="3" w:lineRule="exact"/>
        <w:rPr>
          <w:rFonts w:ascii="Times New Roman" w:cs="Times New Roman" w:eastAsia="Times New Roman" w:hAnsi="Times New Roman"/>
          <w:sz w:val="22"/>
          <w:szCs w:val="22"/>
          <w:color w:val="auto"/>
        </w:rPr>
      </w:pPr>
    </w:p>
    <w:p>
      <w:pPr>
        <w:jc w:val="both"/>
        <w:ind w:left="292" w:hanging="292"/>
        <w:spacing w:after="0" w:line="230" w:lineRule="auto"/>
        <w:tabs>
          <w:tab w:leader="none" w:pos="2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reflected as beneficially owned by Mr. Meister include 104,541,935 shares of Common Stock owned by investment funds advised by Corvex Management, L.P., which may be deemed to be indirectly beneficially owned by Keith Meister by virtue of Mr. Meister’s control of the general partner of Corvex Management, L.P. and the amount held by CMLS Holdings LLC.</w:t>
      </w:r>
    </w:p>
    <w:p>
      <w:pPr>
        <w:spacing w:after="0" w:line="2" w:lineRule="exact"/>
        <w:rPr>
          <w:rFonts w:ascii="Times New Roman" w:cs="Times New Roman" w:eastAsia="Times New Roman" w:hAnsi="Times New Roman"/>
          <w:sz w:val="22"/>
          <w:szCs w:val="22"/>
          <w:color w:val="auto"/>
        </w:rPr>
      </w:pPr>
    </w:p>
    <w:p>
      <w:pPr>
        <w:jc w:val="both"/>
        <w:ind w:left="292" w:hanging="292"/>
        <w:spacing w:after="0" w:line="235" w:lineRule="auto"/>
        <w:tabs>
          <w:tab w:leader="none" w:pos="29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22,286 shares issuable upon exercise of fully vested options and 12,836 shares of Common Stock that were issued upon vesting of restricted stock units, in each case that were granted to Mr. Casdin in connection with his service on the board of directors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13D</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Amendment No. 4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supplements the information set forth in the Schedule 13D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filed with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August 2, 2021, as amended as of January 19, 2022, May 3, 2022 and December 5, 2022, by CMLS Holdings LLC, Keith Meister, Eli Casdin and the other Reporting Persons named therein, relating to the shares of common stock, par value $0.0001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GeneDx Holdings Corp. (f/k/a Sema4 Holdings Corp.)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Capitalized terms used but not defined herein shall have the meanings ascribed to them in the Schedule 13D.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information set forth in response to each separate Item below shall be deemed to be a response to all Items where such information is relevant. Items 3, 4 and 6 to the Schedule 13D are supplementally amended as follows, and Items 1 and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Security and Issuer.</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Class A common stock, par value $0.0001 per share (“Common Stock”), of GeneDx Holdings Corp. (the “Issuer”).</w:t>
      </w:r>
    </w:p>
    <w:p>
      <w:pPr>
        <w:spacing w:after="0" w:line="2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33 Ludlow Street</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North Tower, 8th floor</w:t>
      </w:r>
    </w:p>
    <w:p>
      <w:pPr>
        <w:ind w:left="11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This statement is filed on behalf of each of the following person (collectively, the “Reporting Persons”):</w:t>
      </w:r>
    </w:p>
    <w:p>
      <w:pPr>
        <w:ind w:left="1780" w:right="500" w:hanging="574"/>
        <w:spacing w:after="0" w:line="230" w:lineRule="auto"/>
        <w:tabs>
          <w:tab w:leader="none" w:pos="159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CMLS Holdings LLC (“CMLS Holdings”), the holder of record of the Common Stock (as defined below) reported herein;</w:t>
      </w:r>
    </w:p>
    <w:p>
      <w:pPr>
        <w:spacing w:after="0" w:line="1" w:lineRule="exact"/>
        <w:rPr>
          <w:rFonts w:ascii="Times New Roman" w:cs="Times New Roman" w:eastAsia="Times New Roman" w:hAnsi="Times New Roman"/>
          <w:sz w:val="22"/>
          <w:szCs w:val="22"/>
          <w:color w:val="auto"/>
        </w:rPr>
      </w:pPr>
    </w:p>
    <w:p>
      <w:pPr>
        <w:ind w:left="1600" w:hanging="394"/>
        <w:spacing w:after="0" w:line="230" w:lineRule="auto"/>
        <w:tabs>
          <w:tab w:leader="none" w:pos="16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C-LSH LLC (“C-LSH”), member of CMLS Holdings;</w:t>
      </w:r>
    </w:p>
    <w:p>
      <w:pPr>
        <w:ind w:left="1620" w:hanging="414"/>
        <w:spacing w:after="0" w:line="230" w:lineRule="auto"/>
        <w:tabs>
          <w:tab w:leader="none" w:pos="16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M-LSH LLC (“M-LSH”), member of CMLS Holdings;</w:t>
      </w:r>
    </w:p>
    <w:p>
      <w:pPr>
        <w:ind w:left="1780" w:right="60" w:hanging="574"/>
        <w:spacing w:after="0" w:line="230" w:lineRule="auto"/>
        <w:tabs>
          <w:tab w:leader="none" w:pos="160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(“Mr. Casdin”), a member of the Board of Managers of CMLS Holdings and the holder of record of the Common Stock reported</w:t>
      </w:r>
    </w:p>
    <w:p>
      <w:pPr>
        <w:ind w:left="1580"/>
        <w:spacing w:after="0" w:line="231" w:lineRule="auto"/>
        <w:rPr>
          <w:sz w:val="20"/>
          <w:szCs w:val="20"/>
          <w:color w:val="auto"/>
        </w:rPr>
      </w:pPr>
      <w:r>
        <w:rPr>
          <w:rFonts w:ascii="Times New Roman" w:cs="Times New Roman" w:eastAsia="Times New Roman" w:hAnsi="Times New Roman"/>
          <w:sz w:val="22"/>
          <w:szCs w:val="22"/>
          <w:color w:val="auto"/>
        </w:rPr>
        <w:t>herein;</w:t>
      </w:r>
    </w:p>
    <w:p>
      <w:pPr>
        <w:ind w:left="1540" w:hanging="334"/>
        <w:spacing w:after="0" w:line="231" w:lineRule="auto"/>
        <w:tabs>
          <w:tab w:leader="none" w:pos="15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Capital, LLC;</w:t>
      </w:r>
    </w:p>
    <w:p>
      <w:pPr>
        <w:ind w:left="1600" w:hanging="404"/>
        <w:spacing w:after="0" w:line="230" w:lineRule="auto"/>
        <w:tabs>
          <w:tab w:leader="none" w:pos="16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Partners GP, LLC;</w:t>
      </w:r>
    </w:p>
    <w:p>
      <w:pPr>
        <w:ind w:left="1580" w:hanging="374"/>
        <w:spacing w:after="0" w:line="231" w:lineRule="auto"/>
        <w:tabs>
          <w:tab w:leader="none" w:pos="15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Partners Master Fund, L.P.;</w:t>
      </w:r>
    </w:p>
    <w:p>
      <w:pPr>
        <w:ind w:left="1600" w:hanging="404"/>
        <w:spacing w:after="0" w:line="230" w:lineRule="auto"/>
        <w:tabs>
          <w:tab w:leader="none" w:pos="16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FO1-MSV, LP;</w:t>
      </w:r>
    </w:p>
    <w:p>
      <w:pPr>
        <w:ind w:left="1140" w:right="400" w:firstLine="56"/>
        <w:spacing w:after="0" w:line="230" w:lineRule="auto"/>
        <w:tabs>
          <w:tab w:leader="none" w:pos="15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Keith A. Meister (“Mr. Meister”), member of the Board of Managers of CMLS Holdings and the managing member of M-LSH LLC; and</w:t>
      </w:r>
    </w:p>
    <w:p>
      <w:pPr>
        <w:spacing w:after="0" w:line="1" w:lineRule="exact"/>
        <w:rPr>
          <w:sz w:val="20"/>
          <w:szCs w:val="20"/>
          <w:color w:val="auto"/>
        </w:rPr>
      </w:pPr>
    </w:p>
    <w:p>
      <w:pPr>
        <w:ind w:left="1580" w:hanging="384"/>
        <w:spacing w:after="0"/>
        <w:tabs>
          <w:tab w:leader="none" w:pos="15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Corvex Management LP (“Corvex”)</w:t>
      </w:r>
    </w:p>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Any disclosures herein with respect to a Reporting Person is made by such Reporting Person.</w:t>
      </w:r>
    </w:p>
    <w:p>
      <w:pPr>
        <w:spacing w:after="0" w:line="233" w:lineRule="exact"/>
        <w:rPr>
          <w:sz w:val="20"/>
          <w:szCs w:val="20"/>
          <w:color w:val="auto"/>
        </w:rPr>
      </w:pPr>
    </w:p>
    <w:p>
      <w:pPr>
        <w:ind w:left="1140" w:right="260"/>
        <w:spacing w:after="0" w:line="258" w:lineRule="auto"/>
        <w:rPr>
          <w:sz w:val="20"/>
          <w:szCs w:val="20"/>
          <w:color w:val="auto"/>
        </w:rPr>
      </w:pPr>
      <w:r>
        <w:rPr>
          <w:rFonts w:ascii="Times New Roman" w:cs="Times New Roman" w:eastAsia="Times New Roman" w:hAnsi="Times New Roman"/>
          <w:sz w:val="22"/>
          <w:szCs w:val="22"/>
          <w:color w:val="auto"/>
        </w:rPr>
        <w:t>The filing of this statement should not be construed in and of itself as an admission by any Reporting Person as to beneficial ownership of the securities reported herein.</w:t>
      </w:r>
    </w:p>
    <w:p>
      <w:pPr>
        <w:spacing w:after="0" w:line="185" w:lineRule="exact"/>
        <w:rPr>
          <w:sz w:val="20"/>
          <w:szCs w:val="20"/>
          <w:color w:val="auto"/>
        </w:rPr>
      </w:pPr>
    </w:p>
    <w:p>
      <w:pPr>
        <w:jc w:val="both"/>
        <w:ind w:left="1140" w:right="60"/>
        <w:spacing w:after="0" w:line="244" w:lineRule="auto"/>
        <w:rPr>
          <w:sz w:val="20"/>
          <w:szCs w:val="20"/>
          <w:color w:val="auto"/>
        </w:rPr>
      </w:pPr>
      <w:r>
        <w:rPr>
          <w:rFonts w:ascii="Times New Roman" w:cs="Times New Roman" w:eastAsia="Times New Roman" w:hAnsi="Times New Roman"/>
          <w:sz w:val="22"/>
          <w:szCs w:val="22"/>
          <w:color w:val="auto"/>
        </w:rPr>
        <w:t>The Reporting Persons have entered into a joint filing agreement, filed as Exhibit A to this Schedule 13D, pursuant to which the Reporting Persons agreed to file the Schedule 13D and any amendments thereto in accordance with the provisions of Rule 13d-1(k)(1) under the Securities Exchange Act of 1934, as amended.</w:t>
      </w:r>
    </w:p>
    <w:p>
      <w:pPr>
        <w:spacing w:after="0" w:line="19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w:t>
      </w:r>
    </w:p>
    <w:p>
      <w:pPr>
        <w:spacing w:after="0" w:line="18" w:lineRule="exact"/>
        <w:rPr>
          <w:sz w:val="20"/>
          <w:szCs w:val="20"/>
          <w:color w:val="auto"/>
        </w:rPr>
      </w:pPr>
    </w:p>
    <w:p>
      <w:pPr>
        <w:ind w:left="1140" w:right="220"/>
        <w:spacing w:after="0" w:line="235"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other than CMLS Holdings, M-LSH, Mr. Meister and Corvex is c/o Casdin Capital, LLC, 1350 Avenue of the Americas, Suite 2600, New York, NY 10019.</w:t>
      </w:r>
    </w:p>
    <w:p>
      <w:pPr>
        <w:spacing w:after="0" w:line="205" w:lineRule="exact"/>
        <w:rPr>
          <w:sz w:val="20"/>
          <w:szCs w:val="20"/>
          <w:color w:val="auto"/>
        </w:rPr>
      </w:pPr>
    </w:p>
    <w:p>
      <w:pPr>
        <w:ind w:left="1140" w:right="460"/>
        <w:spacing w:after="0" w:line="258" w:lineRule="auto"/>
        <w:rPr>
          <w:sz w:val="20"/>
          <w:szCs w:val="20"/>
          <w:color w:val="auto"/>
        </w:rPr>
      </w:pPr>
      <w:r>
        <w:rPr>
          <w:rFonts w:ascii="Times New Roman" w:cs="Times New Roman" w:eastAsia="Times New Roman" w:hAnsi="Times New Roman"/>
          <w:sz w:val="22"/>
          <w:szCs w:val="22"/>
          <w:color w:val="auto"/>
        </w:rPr>
        <w:t>The address of the principal business office of each of CMLS Holdings, M-LSH, Mr. Meister and Corvex is c/o Corvex Management LP, 667 Madison Avenue, New York, NY 10065.</w:t>
      </w:r>
    </w:p>
    <w:p>
      <w:pPr>
        <w:spacing w:after="0" w:line="181" w:lineRule="exact"/>
        <w:rPr>
          <w:sz w:val="20"/>
          <w:szCs w:val="20"/>
          <w:color w:val="auto"/>
        </w:rPr>
      </w:pPr>
    </w:p>
    <w:p>
      <w:pPr>
        <w:ind w:left="1140" w:right="80" w:hanging="1133"/>
        <w:spacing w:after="0" w:line="261"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color w:val="auto"/>
        </w:rPr>
        <w:t>The principal occupation of Mr. Casdin is serving as Chief Investment Officer of Casdin Capital, LLC, the principal business of which is serving as investment adviser to its clients. The principal business of Casdin Partners Master Fund, L.P. and Casdin FO1-MSV, LP is purchasing, holding and selling securities for investment purposes.</w:t>
      </w:r>
    </w:p>
    <w:p>
      <w:pPr>
        <w:spacing w:after="0" w:line="188" w:lineRule="exact"/>
        <w:rPr>
          <w:sz w:val="20"/>
          <w:szCs w:val="20"/>
          <w:color w:val="auto"/>
        </w:rPr>
      </w:pPr>
    </w:p>
    <w:p>
      <w:pPr>
        <w:ind w:left="1140" w:right="320"/>
        <w:spacing w:after="0" w:line="244" w:lineRule="auto"/>
        <w:rPr>
          <w:sz w:val="20"/>
          <w:szCs w:val="20"/>
          <w:color w:val="auto"/>
        </w:rPr>
      </w:pPr>
      <w:r>
        <w:rPr>
          <w:rFonts w:ascii="Times New Roman" w:cs="Times New Roman" w:eastAsia="Times New Roman" w:hAnsi="Times New Roman"/>
          <w:sz w:val="22"/>
          <w:szCs w:val="22"/>
          <w:color w:val="auto"/>
        </w:rPr>
        <w:t>The principal occupation of Mr. Meister is serving as Managing Partner of Corvex Management LP, the principal business of which is serving as an investment adviser of private investment funds, whose principal business is investing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81" w:gutter="0" w:footer="0" w:header="0"/>
        </w:sectPr>
      </w:pPr>
    </w:p>
    <w:bookmarkStart w:id="13" w:name="page14"/>
    <w:bookmarkEnd w:id="13"/>
    <w:p>
      <w:pPr>
        <w:spacing w:after="0" w:line="80" w:lineRule="exact"/>
        <w:rPr>
          <w:sz w:val="20"/>
          <w:szCs w:val="20"/>
          <w:color w:val="auto"/>
        </w:rPr>
      </w:pPr>
    </w:p>
    <w:p>
      <w:pPr>
        <w:ind w:left="1140" w:hanging="1133"/>
        <w:spacing w:after="0" w:line="258"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2(d)</w:t>
      </w:r>
      <w:r>
        <w:rPr>
          <w:sz w:val="20"/>
          <w:szCs w:val="20"/>
          <w:color w:val="auto"/>
        </w:rPr>
        <w:tab/>
      </w:r>
      <w:r>
        <w:rPr>
          <w:rFonts w:ascii="Times New Roman" w:cs="Times New Roman" w:eastAsia="Times New Roman" w:hAnsi="Times New Roman"/>
          <w:sz w:val="22"/>
          <w:szCs w:val="22"/>
          <w:color w:val="auto"/>
        </w:rPr>
        <w:t>None of the Reporting Persons have been convicted in any criminal proceeding (excluding traffic violations or similar misdemeanors) during the last five years.</w:t>
      </w:r>
    </w:p>
    <w:p>
      <w:pPr>
        <w:spacing w:after="0" w:line="185" w:lineRule="exact"/>
        <w:rPr>
          <w:sz w:val="20"/>
          <w:szCs w:val="20"/>
          <w:color w:val="auto"/>
        </w:rPr>
      </w:pPr>
    </w:p>
    <w:p>
      <w:pPr>
        <w:ind w:left="1140" w:right="560" w:hanging="1133"/>
        <w:spacing w:after="0" w:line="239" w:lineRule="auto"/>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2(e)</w:t>
      </w:r>
      <w:r>
        <w:rPr>
          <w:sz w:val="20"/>
          <w:szCs w:val="20"/>
          <w:color w:val="auto"/>
        </w:rPr>
        <w:tab/>
      </w:r>
      <w:r>
        <w:rPr>
          <w:rFonts w:ascii="Times New Roman" w:cs="Times New Roman" w:eastAsia="Times New Roman" w:hAnsi="Times New Roman"/>
          <w:sz w:val="22"/>
          <w:szCs w:val="22"/>
          <w:color w:val="auto"/>
        </w:rPr>
        <w:t>None of the Reporting Persons has been a party to any civil proceeding of a judicial or administrative body of competent jurisdiction resulting in any judgment, decree or final order enjoining them from engaging in future violations of, or prohibiting or mandating activities subject to, federal or state securities laws or finding any violation with respect to such laws during the last five years.</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2(f)</w:t>
      </w:r>
      <w:r>
        <w:rPr>
          <w:sz w:val="20"/>
          <w:szCs w:val="20"/>
          <w:color w:val="auto"/>
        </w:rPr>
        <w:tab/>
      </w:r>
      <w:r>
        <w:rPr>
          <w:rFonts w:ascii="Times New Roman" w:cs="Times New Roman" w:eastAsia="Times New Roman" w:hAnsi="Times New Roman"/>
          <w:sz w:val="21"/>
          <w:szCs w:val="21"/>
          <w:b w:val="1"/>
          <w:bCs w:val="1"/>
          <w:color w:val="auto"/>
        </w:rPr>
        <w:t>Citizenship</w:t>
      </w:r>
    </w:p>
    <w:p>
      <w:pPr>
        <w:spacing w:after="0" w:line="8" w:lineRule="exact"/>
        <w:rPr>
          <w:sz w:val="20"/>
          <w:szCs w:val="20"/>
          <w:color w:val="auto"/>
        </w:rPr>
      </w:pPr>
    </w:p>
    <w:p>
      <w:pPr>
        <w:ind w:left="2000" w:hanging="794"/>
        <w:spacing w:after="0"/>
        <w:tabs>
          <w:tab w:leader="none" w:pos="20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CMLS Holdings is a Delaware limited liability company;</w:t>
      </w:r>
    </w:p>
    <w:p>
      <w:pPr>
        <w:ind w:left="1940" w:hanging="734"/>
        <w:spacing w:after="0" w:line="230" w:lineRule="auto"/>
        <w:tabs>
          <w:tab w:leader="none" w:pos="19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C-LSH is a Delaware limited liability company;</w:t>
      </w:r>
    </w:p>
    <w:p>
      <w:pPr>
        <w:ind w:left="2020" w:hanging="814"/>
        <w:spacing w:after="0" w:line="230" w:lineRule="auto"/>
        <w:tabs>
          <w:tab w:leader="none" w:pos="20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M-LSH is a Delaware limited liability company;</w:t>
      </w:r>
    </w:p>
    <w:p>
      <w:pPr>
        <w:ind w:left="2000" w:hanging="794"/>
        <w:spacing w:after="0" w:line="230" w:lineRule="auto"/>
        <w:tabs>
          <w:tab w:leader="none" w:pos="20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Casdin is a citizen of the United States of America;</w:t>
      </w:r>
    </w:p>
    <w:p>
      <w:pPr>
        <w:ind w:left="1980" w:hanging="774"/>
        <w:spacing w:after="0" w:line="230" w:lineRule="auto"/>
        <w:tabs>
          <w:tab w:leader="none" w:pos="19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Capital, LLC is a Delaware limited liability company;</w:t>
      </w:r>
    </w:p>
    <w:p>
      <w:pPr>
        <w:ind w:left="2000" w:hanging="804"/>
        <w:spacing w:after="0" w:line="230" w:lineRule="auto"/>
        <w:tabs>
          <w:tab w:leader="none" w:pos="20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Partners GP, LLC is a Delaware limited liability company;</w:t>
      </w:r>
    </w:p>
    <w:p>
      <w:pPr>
        <w:ind w:left="1940" w:hanging="734"/>
        <w:spacing w:after="0" w:line="231" w:lineRule="auto"/>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Partners Master Fund, L.P. is a Delaware limited partnership;</w:t>
      </w:r>
    </w:p>
    <w:p>
      <w:pPr>
        <w:ind w:left="2060" w:hanging="918"/>
        <w:spacing w:after="0" w:line="230" w:lineRule="auto"/>
        <w:tabs>
          <w:tab w:leader="none" w:pos="20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Casdin FO1-MSV, LP is a Delaware limited partnership;</w:t>
      </w:r>
    </w:p>
    <w:p>
      <w:pPr>
        <w:ind w:left="2000" w:hanging="804"/>
        <w:spacing w:after="0" w:line="231" w:lineRule="auto"/>
        <w:tabs>
          <w:tab w:leader="none" w:pos="20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Meister is a citizen of the United States of America; and</w:t>
      </w:r>
    </w:p>
    <w:p>
      <w:pPr>
        <w:ind w:left="1980" w:hanging="784"/>
        <w:spacing w:after="0"/>
        <w:tabs>
          <w:tab w:leader="none" w:pos="19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Corvex is a Delaware limited partnership.</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Source and Amount of Funds or Other Consideration.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is hereby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Source and Amount of Funds or Other Consideration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On January 26, 2023, investment funds advised by Corvex Management LP, the general partner of which is controlled by Mr. Meister, agreed to acquire as part of a registered direct offering directly from the issuer 77,663,376 shares of Common Stock (the “</w:t>
      </w:r>
      <w:r>
        <w:rPr>
          <w:rFonts w:ascii="Times New Roman" w:cs="Times New Roman" w:eastAsia="Times New Roman" w:hAnsi="Times New Roman"/>
          <w:sz w:val="22"/>
          <w:szCs w:val="22"/>
          <w:u w:val="single" w:color="auto"/>
          <w:color w:val="auto"/>
        </w:rPr>
        <w:t>Initial Direct Offering Shares</w:t>
      </w:r>
      <w:r>
        <w:rPr>
          <w:rFonts w:ascii="Times New Roman" w:cs="Times New Roman" w:eastAsia="Times New Roman" w:hAnsi="Times New Roman"/>
          <w:sz w:val="22"/>
          <w:szCs w:val="22"/>
          <w:color w:val="auto"/>
        </w:rPr>
        <w:t xml:space="preserve"> ”) for an aggregate purchase price of approximately $27,182,181, funded by cash on hand and agreed to acquire an additional 22,336,624 shares of Common Stock (the “</w:t>
      </w:r>
      <w:r>
        <w:rPr>
          <w:rFonts w:ascii="Times New Roman" w:cs="Times New Roman" w:eastAsia="Times New Roman" w:hAnsi="Times New Roman"/>
          <w:sz w:val="22"/>
          <w:szCs w:val="22"/>
          <w:u w:val="single" w:color="auto"/>
          <w:color w:val="auto"/>
        </w:rPr>
        <w:t>Additional Direct Offering Shares</w:t>
      </w:r>
      <w:r>
        <w:rPr>
          <w:rFonts w:ascii="Times New Roman" w:cs="Times New Roman" w:eastAsia="Times New Roman" w:hAnsi="Times New Roman"/>
          <w:sz w:val="22"/>
          <w:szCs w:val="22"/>
          <w:color w:val="auto"/>
        </w:rPr>
        <w:t>” and, together with the Initial Direct Offering Shares, the “</w:t>
      </w:r>
      <w:r>
        <w:rPr>
          <w:rFonts w:ascii="Times New Roman" w:cs="Times New Roman" w:eastAsia="Times New Roman" w:hAnsi="Times New Roman"/>
          <w:sz w:val="22"/>
          <w:szCs w:val="22"/>
          <w:u w:val="single" w:color="auto"/>
          <w:color w:val="auto"/>
        </w:rPr>
        <w:t>Corvex Shares</w:t>
      </w:r>
      <w:r>
        <w:rPr>
          <w:rFonts w:ascii="Times New Roman" w:cs="Times New Roman" w:eastAsia="Times New Roman" w:hAnsi="Times New Roman"/>
          <w:sz w:val="22"/>
          <w:szCs w:val="22"/>
          <w:color w:val="auto"/>
        </w:rPr>
        <w:t>”) after stockholder approval (or waiver of such approval requirement) for an additional aggregate purchase price of approximately $7,817,818. The Corvex Shares were acquired pursuant to a subscription agreement subject to typical representations and warranties and a six-month lock up, closing contemporaneously with the underwritten offering described below. The description of the Subscription Agreement does not purport to be complete and is qualified in its entirety by reference to the full text of the Subscription Agreement, which is incorporated by reference to Exhibit 1.</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January 31, 2023, Casdin Partners Master Fund, LP acquired 71,428,542 shares of Common Stock (the “</w:t>
      </w:r>
      <w:r>
        <w:rPr>
          <w:rFonts w:ascii="Times New Roman" w:cs="Times New Roman" w:eastAsia="Times New Roman" w:hAnsi="Times New Roman"/>
          <w:sz w:val="22"/>
          <w:szCs w:val="22"/>
          <w:u w:val="single" w:color="auto"/>
          <w:color w:val="auto"/>
        </w:rPr>
        <w:t>Casdin Master Fund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for approximately $24,999,990, and Casdin Partners FO1-MSV LP acquired 14,285,743 shares of Common Stock (the “</w:t>
      </w:r>
      <w:r>
        <w:rPr>
          <w:rFonts w:ascii="Times New Roman" w:cs="Times New Roman" w:eastAsia="Times New Roman" w:hAnsi="Times New Roman"/>
          <w:sz w:val="22"/>
          <w:szCs w:val="22"/>
          <w:u w:val="single" w:color="auto"/>
          <w:color w:val="auto"/>
        </w:rPr>
        <w:t>Casdin FO1-MSV Shares</w:t>
      </w:r>
      <w:r>
        <w:rPr>
          <w:rFonts w:ascii="Times New Roman" w:cs="Times New Roman" w:eastAsia="Times New Roman" w:hAnsi="Times New Roman"/>
          <w:sz w:val="22"/>
          <w:szCs w:val="22"/>
          <w:color w:val="auto"/>
        </w:rPr>
        <w:t>” and collectively together with the Casdin Master Fund Shares, the “</w:t>
      </w:r>
      <w:r>
        <w:rPr>
          <w:rFonts w:ascii="Times New Roman" w:cs="Times New Roman" w:eastAsia="Times New Roman" w:hAnsi="Times New Roman"/>
          <w:sz w:val="22"/>
          <w:szCs w:val="22"/>
          <w:u w:val="single" w:color="auto"/>
          <w:color w:val="auto"/>
        </w:rPr>
        <w:t>Casdin Shares</w:t>
      </w:r>
      <w:r>
        <w:rPr>
          <w:rFonts w:ascii="Times New Roman" w:cs="Times New Roman" w:eastAsia="Times New Roman" w:hAnsi="Times New Roman"/>
          <w:sz w:val="22"/>
          <w:szCs w:val="22"/>
          <w:color w:val="auto"/>
        </w:rPr>
        <w:t>”) for approximately $5,000,010. The price included underwriter’s commission, funded by cash on hand as part of an underwritten public offering</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Interest in the Securities of the Issuer</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information set forth in the facing pages of this Schedule 13D with respect to the shared beneficial ownership of Common Stock by the Reporting Persons is incorporated by reference into this Item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Items 2, 3 and 4 is hereby incorporated by reference into this Item 5.</w:t>
      </w:r>
    </w:p>
    <w:p>
      <w:pPr>
        <w:spacing w:after="0" w:line="233" w:lineRule="exact"/>
        <w:rPr>
          <w:sz w:val="20"/>
          <w:szCs w:val="20"/>
          <w:color w:val="auto"/>
        </w:rPr>
      </w:pPr>
    </w:p>
    <w:p>
      <w:pPr>
        <w:ind w:right="20" w:firstLine="8"/>
        <w:spacing w:after="0" w:line="258" w:lineRule="auto"/>
        <w:tabs>
          <w:tab w:leader="none" w:pos="34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number of shares of Common Stock and the percentage of total outstanding shares of Common Stock beneficially owned by the Reporting Persons is set forth below.</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References to percentage ownerships of shares of Common Stock in this Statement are based on 810,000,334 shares of Common Stock outstanding as reported in the Issuer’s final prospectus on Form 424 filed with the SEC on January 30, 2023 following the offerings referenced above reduced by the 22,336,624 Additional Direct Offering Shares (as defined above) plus 185,000 shares that the Issuer has informed the Reporting Persons that were issued as a partial exercise of the overallotment option. The filing of this Statement shall not be construed as an admission that a Reporting Person beneficially owns the shares held by any other Reporting Person.</w:t>
      </w:r>
    </w:p>
    <w:p>
      <w:pPr>
        <w:spacing w:after="0" w:line="208" w:lineRule="exact"/>
        <w:rPr>
          <w:sz w:val="20"/>
          <w:szCs w:val="20"/>
          <w:color w:val="auto"/>
        </w:rPr>
      </w:pPr>
    </w:p>
    <w:p>
      <w:pPr>
        <w:jc w:val="both"/>
        <w:ind w:firstLine="8"/>
        <w:spacing w:after="0" w:line="244" w:lineRule="auto"/>
        <w:tabs>
          <w:tab w:leader="none" w:pos="31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has the sole power to vote or direct the vote of 35,122 shares of Common Stock (including 22,286 vested options) and shared power to vote or to direct the vote and shared power to dispose or to direct the disposition of 119,882,204 shares of Common Stock.</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Keith Meister has the sole power to vote or to direct the vote and sole power to dispose or to direct the disposition of 86,811,516 shares of Common Stock and shared power to vote or direct the vote and shared power to dispose or to direct the disposition of</w:t>
      </w:r>
    </w:p>
    <w:p>
      <w:pPr>
        <w:sectPr>
          <w:pgSz w:w="11900" w:h="16918" w:orient="portrait"/>
          <w:cols w:equalWidth="0" w:num="1">
            <w:col w:w="11240"/>
          </w:cols>
          <w:pgMar w:left="320" w:top="351" w:right="3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color w:val="auto"/>
        </w:rPr>
        <w:t>17,730,419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15" w:name="page16"/>
    <w:bookmarkEnd w:id="15"/>
    <w:p>
      <w:pPr>
        <w:jc w:val="both"/>
        <w:spacing w:after="0" w:line="244" w:lineRule="auto"/>
        <w:rPr>
          <w:sz w:val="20"/>
          <w:szCs w:val="20"/>
          <w:color w:val="auto"/>
        </w:rPr>
      </w:pPr>
      <w:r>
        <w:rPr>
          <w:rFonts w:ascii="Times New Roman" w:cs="Times New Roman" w:eastAsia="Times New Roman" w:hAnsi="Times New Roman"/>
          <w:sz w:val="22"/>
          <w:szCs w:val="22"/>
          <w:color w:val="auto"/>
        </w:rPr>
        <w:t>The beneficial ownership of the shares of Common Stock reported herein does not include shares underlying unvested options to purchase shares of Common Stock or unvested restricted stock units held by Mr. Meister or Mr. Casdin as previously described in Item 6 of Schedule 13D or the Subsequent Corvex Shares.</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CMLS, C-LSH and M-LSH shared power to vote or to direct the vote and shared power to dispose or to direct the disposition of the 17,730,419 shares of Common Stock reported in (a) above. The shared beneficial ownership of each of Messrs. Casdin, Meister, CMLS, C-LSH and M-LSH includes warrants to acquire 6,736,669 shares of Common Stock.</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of Casdin Capital, LLC and Casdin Partners GP, LLC has shared power to vote or direct the vote and shared power to dispose or to direct the disposition of 102,151,785 shares of Common Stock.</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Casdin Partners Master Fund, L.P has shared power to vote or direct the vote and shared power to dispose or to direct the disposition of 87,866,402 shares of Common Stock.</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Casdin Partners FO1-MSV, LP has shared power to vote or direct the vote and shared power to dispose or to direct the disposition of 14,285,743 shares of Common Stock.</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Corvex has sole power to vote or direct the vote and sole power to dispose or to direct the disposition of 86,811,516 shares of Common Stock.</w:t>
      </w:r>
    </w:p>
    <w:p>
      <w:pPr>
        <w:spacing w:after="0" w:line="185" w:lineRule="exact"/>
        <w:rPr>
          <w:sz w:val="20"/>
          <w:szCs w:val="20"/>
          <w:color w:val="auto"/>
        </w:rPr>
      </w:pPr>
    </w:p>
    <w:p>
      <w:pPr>
        <w:jc w:val="both"/>
        <w:ind w:firstLine="8"/>
        <w:spacing w:after="0" w:line="244" w:lineRule="auto"/>
        <w:tabs>
          <w:tab w:leader="none" w:pos="31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the 77,663,376 Initial Direct Offering Shares to be acquired upon the closing of the offering and the 85,714,285 Casdin Shares described in Item 4 above, the Reporting Persons have not effected any transactions in the Issuer’s Common Stock during the past 60 days and not previously reported in the Schedule 13D.</w:t>
      </w:r>
    </w:p>
    <w:p>
      <w:pPr>
        <w:spacing w:after="0" w:line="200" w:lineRule="exact"/>
        <w:rPr>
          <w:rFonts w:ascii="Times New Roman" w:cs="Times New Roman" w:eastAsia="Times New Roman" w:hAnsi="Times New Roman"/>
          <w:sz w:val="22"/>
          <w:szCs w:val="22"/>
          <w:color w:val="auto"/>
        </w:rPr>
      </w:pPr>
    </w:p>
    <w:p>
      <w:pPr>
        <w:jc w:val="both"/>
        <w:ind w:right="20" w:firstLine="8"/>
        <w:spacing w:after="0" w:line="244" w:lineRule="auto"/>
        <w:tabs>
          <w:tab w:leader="none" w:pos="33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Reporting Persons, the funds that Corvex manages and the investors in the funds managed by Corvex and Casdin Capital LLC, no person is known to have the right to receive or the power to direct the receipt of dividends from, or the proceeds from the sale of, the Common Stock beneficially owned by the Reporting Persons.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Contracts, Arrangements, Understandings or Relationships with Respect to Securities of the Issuer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set forth in Item 4 above is hereby incorporated by reference into this Item 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Material to be Filed as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Joint Filing Agreement</w:t>
      </w:r>
    </w:p>
    <w:p>
      <w:pPr>
        <w:spacing w:after="0" w:line="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Exhibit 1 – Form of Subscription Agreement, dated January 26, 2023, with the Issuer (incorporated by reference to Exhibit 10.1 to the Issuer’s Current Report on Form 8-K, filed with the Securities and Exchange Commission on January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CMLS HOLDINGS LLC</w:t>
            </w:r>
          </w:p>
        </w:tc>
      </w:tr>
      <w:tr>
        <w:trPr>
          <w:trHeight w:val="434"/>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3520" w:type="dxa"/>
            <w:vAlign w:val="bottom"/>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C-LSH LLC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M-LSH LLC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4"/>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3520" w:type="dxa"/>
            <w:vAlign w:val="bottom"/>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34"/>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Eli Casdin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6"/>
        </w:trPr>
        <w:tc>
          <w:tcPr>
            <w:tcW w:w="4540" w:type="dxa"/>
            <w:vAlign w:val="bottom"/>
          </w:tcPr>
          <w:p>
            <w:pPr>
              <w:spacing w:after="0"/>
              <w:rPr>
                <w:sz w:val="23"/>
                <w:szCs w:val="23"/>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Eli Casdin</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CAPITAL, LLC</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GP, LLC</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729"/>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MASTER FUND, L.P.</w:t>
            </w:r>
          </w:p>
        </w:tc>
      </w:tr>
      <w:tr>
        <w:trPr>
          <w:trHeight w:val="486"/>
        </w:trPr>
        <w:tc>
          <w:tcPr>
            <w:tcW w:w="4540" w:type="dxa"/>
            <w:vAlign w:val="bottom"/>
          </w:tcPr>
          <w:p>
            <w:pPr>
              <w:spacing w:after="0"/>
              <w:rPr>
                <w:sz w:val="24"/>
                <w:szCs w:val="24"/>
                <w:color w:val="auto"/>
              </w:rPr>
            </w:pP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Casdin Capital LLC, its Investment Adviser</w:t>
            </w:r>
          </w:p>
        </w:tc>
      </w:tr>
      <w:tr>
        <w:trPr>
          <w:trHeight w:val="434"/>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FO1-MSV, LP</w:t>
            </w:r>
          </w:p>
        </w:tc>
      </w:tr>
      <w:tr>
        <w:trPr>
          <w:trHeight w:val="486"/>
        </w:trPr>
        <w:tc>
          <w:tcPr>
            <w:tcW w:w="4540" w:type="dxa"/>
            <w:vAlign w:val="bottom"/>
          </w:tcPr>
          <w:p>
            <w:pPr>
              <w:spacing w:after="0"/>
              <w:rPr>
                <w:sz w:val="24"/>
                <w:szCs w:val="24"/>
                <w:color w:val="auto"/>
              </w:rPr>
            </w:pP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Casdin Capital LLC, its Investment Adviser</w:t>
            </w:r>
          </w:p>
        </w:tc>
      </w:tr>
      <w:tr>
        <w:trPr>
          <w:trHeight w:val="447"/>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43"/>
        </w:trPr>
        <w:tc>
          <w:tcPr>
            <w:tcW w:w="4540" w:type="dxa"/>
            <w:vAlign w:val="bottom"/>
          </w:tcPr>
          <w:p>
            <w:pPr>
              <w:spacing w:after="0"/>
              <w:rPr>
                <w:sz w:val="21"/>
                <w:szCs w:val="21"/>
                <w:color w:val="auto"/>
              </w:rPr>
            </w:pPr>
          </w:p>
        </w:tc>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524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Eli Casdin</w:t>
            </w: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33"/>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76"/>
        </w:trPr>
        <w:tc>
          <w:tcPr>
            <w:tcW w:w="4540" w:type="dxa"/>
            <w:vAlign w:val="bottom"/>
          </w:tcPr>
          <w:p>
            <w:pPr>
              <w:spacing w:after="0"/>
              <w:rPr>
                <w:sz w:val="23"/>
                <w:szCs w:val="23"/>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Keith A. Meister</w:t>
            </w:r>
          </w:p>
        </w:tc>
        <w:tc>
          <w:tcPr>
            <w:tcW w:w="260" w:type="dxa"/>
            <w:vAlign w:val="bottom"/>
            <w:tcBorders>
              <w:top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CORVEX MANAGEMENT LP</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3520" w:type="dxa"/>
            <w:vAlign w:val="bottom"/>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Partner</w:t>
            </w:r>
          </w:p>
        </w:tc>
      </w:tr>
      <w:tr>
        <w:trPr>
          <w:trHeight w:val="656"/>
        </w:trPr>
        <w:tc>
          <w:tcPr>
            <w:tcW w:w="4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36"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jc w:val="center"/>
        <w:spacing w:after="0"/>
        <w:rPr>
          <w:sz w:val="20"/>
          <w:szCs w:val="20"/>
          <w:color w:val="auto"/>
        </w:rPr>
      </w:pPr>
      <w:r>
        <w:rPr>
          <w:rFonts w:ascii="Times New Roman" w:cs="Times New Roman" w:eastAsia="Times New Roman" w:hAnsi="Times New Roman"/>
          <w:sz w:val="22"/>
          <w:szCs w:val="22"/>
          <w:color w:val="auto"/>
        </w:rPr>
        <w:t>PURSUANT TO RULE 13d-1(k)</w:t>
      </w:r>
    </w:p>
    <w:p>
      <w:pPr>
        <w:spacing w:after="0" w:line="20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1"/>
          <w:szCs w:val="21"/>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CMLS HOLDINGS LLC</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3520" w:type="dxa"/>
            <w:vAlign w:val="bottom"/>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C-LSH LLC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4"/>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M-LSH LLC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gridSpan w:val="3"/>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3520" w:type="dxa"/>
            <w:vAlign w:val="bottom"/>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34"/>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Eli Casdin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6"/>
        </w:trPr>
        <w:tc>
          <w:tcPr>
            <w:tcW w:w="4540" w:type="dxa"/>
            <w:vAlign w:val="bottom"/>
          </w:tcPr>
          <w:p>
            <w:pPr>
              <w:spacing w:after="0"/>
              <w:rPr>
                <w:sz w:val="23"/>
                <w:szCs w:val="23"/>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Eli Casdin</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CAPITAL, LLC</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GP, LLC</w:t>
            </w:r>
          </w:p>
        </w:tc>
      </w:tr>
      <w:tr>
        <w:trPr>
          <w:trHeight w:val="433"/>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729"/>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MASTER FUND, L.P.</w:t>
            </w:r>
          </w:p>
        </w:tc>
      </w:tr>
      <w:tr>
        <w:trPr>
          <w:trHeight w:val="486"/>
        </w:trPr>
        <w:tc>
          <w:tcPr>
            <w:tcW w:w="4540" w:type="dxa"/>
            <w:vAlign w:val="bottom"/>
          </w:tcPr>
          <w:p>
            <w:pPr>
              <w:spacing w:after="0"/>
              <w:rPr>
                <w:sz w:val="24"/>
                <w:szCs w:val="24"/>
                <w:color w:val="auto"/>
              </w:rPr>
            </w:pP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Casdin Capital LLC, its Investment Adviser</w:t>
            </w:r>
          </w:p>
        </w:tc>
      </w:tr>
      <w:tr>
        <w:trPr>
          <w:trHeight w:val="434"/>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36"/>
        </w:trPr>
        <w:tc>
          <w:tcPr>
            <w:tcW w:w="4540" w:type="dxa"/>
            <w:vAlign w:val="bottom"/>
          </w:tcPr>
          <w:p>
            <w:pPr>
              <w:spacing w:after="0"/>
              <w:rPr>
                <w:sz w:val="20"/>
                <w:szCs w:val="20"/>
                <w:color w:val="auto"/>
              </w:rPr>
            </w:pPr>
          </w:p>
        </w:tc>
        <w:tc>
          <w:tcPr>
            <w:tcW w:w="146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16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Eli Casdin</w:t>
            </w:r>
          </w:p>
        </w:tc>
        <w:tc>
          <w:tcPr>
            <w:tcW w:w="4080" w:type="dxa"/>
            <w:vAlign w:val="bottom"/>
            <w:gridSpan w:val="2"/>
          </w:tcPr>
          <w:p>
            <w:pPr>
              <w:spacing w:after="0"/>
              <w:rPr>
                <w:sz w:val="20"/>
                <w:szCs w:val="20"/>
                <w:color w:val="auto"/>
              </w:rPr>
            </w:pP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86"/>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CASDIN PARTNERS FO1-MSV, LP</w:t>
            </w:r>
          </w:p>
        </w:tc>
      </w:tr>
      <w:tr>
        <w:trPr>
          <w:trHeight w:val="486"/>
        </w:trPr>
        <w:tc>
          <w:tcPr>
            <w:tcW w:w="4540" w:type="dxa"/>
            <w:vAlign w:val="bottom"/>
          </w:tcPr>
          <w:p>
            <w:pPr>
              <w:spacing w:after="0"/>
              <w:rPr>
                <w:sz w:val="24"/>
                <w:szCs w:val="24"/>
                <w:color w:val="auto"/>
              </w:rPr>
            </w:pP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Casdin Capital LLC, its Investment Adviser</w:t>
            </w:r>
          </w:p>
        </w:tc>
      </w:tr>
      <w:tr>
        <w:trPr>
          <w:trHeight w:val="447"/>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Eli Casdin</w:t>
            </w:r>
          </w:p>
        </w:tc>
      </w:tr>
      <w:tr>
        <w:trPr>
          <w:trHeight w:val="243"/>
        </w:trPr>
        <w:tc>
          <w:tcPr>
            <w:tcW w:w="4540" w:type="dxa"/>
            <w:vAlign w:val="bottom"/>
          </w:tcPr>
          <w:p>
            <w:pPr>
              <w:spacing w:after="0"/>
              <w:rPr>
                <w:sz w:val="21"/>
                <w:szCs w:val="21"/>
                <w:color w:val="auto"/>
              </w:rPr>
            </w:pPr>
          </w:p>
        </w:tc>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Name:</w:t>
            </w:r>
          </w:p>
        </w:tc>
        <w:tc>
          <w:tcPr>
            <w:tcW w:w="524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Eli Casdin</w:t>
            </w:r>
          </w:p>
        </w:tc>
      </w:tr>
      <w:tr>
        <w:trPr>
          <w:trHeight w:val="282"/>
        </w:trPr>
        <w:tc>
          <w:tcPr>
            <w:tcW w:w="45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Member</w:t>
            </w:r>
          </w:p>
        </w:tc>
      </w:tr>
      <w:tr>
        <w:trPr>
          <w:trHeight w:val="433"/>
        </w:trPr>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Keith A. Meister</w:t>
            </w:r>
          </w:p>
        </w:tc>
      </w:tr>
      <w:tr>
        <w:trPr>
          <w:trHeight w:val="276"/>
        </w:trPr>
        <w:tc>
          <w:tcPr>
            <w:tcW w:w="4540" w:type="dxa"/>
            <w:vAlign w:val="bottom"/>
          </w:tcPr>
          <w:p>
            <w:pPr>
              <w:spacing w:after="0"/>
              <w:rPr>
                <w:sz w:val="23"/>
                <w:szCs w:val="23"/>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Keith A. Meister</w:t>
            </w:r>
          </w:p>
        </w:tc>
        <w:tc>
          <w:tcPr>
            <w:tcW w:w="260" w:type="dxa"/>
            <w:vAlign w:val="bottom"/>
            <w:tcBorders>
              <w:top w:val="single" w:sz="8" w:color="auto"/>
            </w:tcBorders>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520" w:type="dxa"/>
            <w:vAlign w:val="bottom"/>
          </w:tcPr>
          <w:p>
            <w:pPr>
              <w:spacing w:after="0"/>
              <w:rPr>
                <w:sz w:val="23"/>
                <w:szCs w:val="23"/>
                <w:color w:val="auto"/>
              </w:rPr>
            </w:pPr>
          </w:p>
        </w:tc>
      </w:tr>
      <w:tr>
        <w:trPr>
          <w:trHeight w:val="656"/>
        </w:trPr>
        <w:tc>
          <w:tcPr>
            <w:tcW w:w="4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36"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February 1, 2023</w:t>
            </w:r>
          </w:p>
        </w:tc>
        <w:tc>
          <w:tcPr>
            <w:tcW w:w="4460" w:type="dxa"/>
            <w:vAlign w:val="bottom"/>
            <w:gridSpan w:val="3"/>
          </w:tcPr>
          <w:p>
            <w:pPr>
              <w:ind w:left="1260"/>
              <w:spacing w:after="0"/>
              <w:rPr>
                <w:sz w:val="20"/>
                <w:szCs w:val="20"/>
                <w:color w:val="auto"/>
              </w:rPr>
            </w:pPr>
            <w:r>
              <w:rPr>
                <w:rFonts w:ascii="Times New Roman" w:cs="Times New Roman" w:eastAsia="Times New Roman" w:hAnsi="Times New Roman"/>
                <w:sz w:val="22"/>
                <w:szCs w:val="22"/>
                <w:color w:val="auto"/>
              </w:rPr>
              <w:t>CORVEX MANAGEMENT LP</w:t>
            </w:r>
          </w:p>
        </w:tc>
      </w:tr>
      <w:tr>
        <w:trPr>
          <w:trHeight w:val="433"/>
        </w:trPr>
        <w:tc>
          <w:tcPr>
            <w:tcW w:w="3280" w:type="dxa"/>
            <w:vAlign w:val="bottom"/>
          </w:tcPr>
          <w:p>
            <w:pPr>
              <w:spacing w:after="0"/>
              <w:rPr>
                <w:sz w:val="24"/>
                <w:szCs w:val="24"/>
                <w:color w:val="auto"/>
              </w:rPr>
            </w:pPr>
          </w:p>
        </w:tc>
        <w:tc>
          <w:tcPr>
            <w:tcW w:w="272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By:</w:t>
            </w: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 Keith A. Meister</w:t>
            </w:r>
          </w:p>
        </w:tc>
      </w:tr>
      <w:tr>
        <w:trPr>
          <w:trHeight w:val="236"/>
        </w:trPr>
        <w:tc>
          <w:tcPr>
            <w:tcW w:w="3280" w:type="dxa"/>
            <w:vAlign w:val="bottom"/>
          </w:tcPr>
          <w:p>
            <w:pPr>
              <w:spacing w:after="0"/>
              <w:rPr>
                <w:sz w:val="20"/>
                <w:szCs w:val="20"/>
                <w:color w:val="auto"/>
              </w:rPr>
            </w:pPr>
          </w:p>
        </w:tc>
        <w:tc>
          <w:tcPr>
            <w:tcW w:w="2720" w:type="dxa"/>
            <w:vAlign w:val="bottom"/>
          </w:tcPr>
          <w:p>
            <w:pPr>
              <w:ind w:left="126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17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Keith A. Meister</w:t>
            </w:r>
          </w:p>
        </w:tc>
        <w:tc>
          <w:tcPr>
            <w:tcW w:w="20" w:type="dxa"/>
            <w:vAlign w:val="bottom"/>
          </w:tcPr>
          <w:p>
            <w:pPr>
              <w:spacing w:after="0"/>
              <w:rPr>
                <w:sz w:val="20"/>
                <w:szCs w:val="20"/>
                <w:color w:val="auto"/>
              </w:rPr>
            </w:pPr>
          </w:p>
        </w:tc>
      </w:tr>
      <w:tr>
        <w:trPr>
          <w:trHeight w:val="282"/>
        </w:trPr>
        <w:tc>
          <w:tcPr>
            <w:tcW w:w="3280" w:type="dxa"/>
            <w:vAlign w:val="bottom"/>
          </w:tcPr>
          <w:p>
            <w:pPr>
              <w:spacing w:after="0"/>
              <w:rPr>
                <w:sz w:val="24"/>
                <w:szCs w:val="24"/>
                <w:color w:val="auto"/>
              </w:rPr>
            </w:pPr>
          </w:p>
        </w:tc>
        <w:tc>
          <w:tcPr>
            <w:tcW w:w="272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Title:</w:t>
            </w: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Managing Partner</w:t>
            </w:r>
          </w:p>
        </w:tc>
      </w:tr>
    </w:tbl>
    <w:p>
      <w:pPr>
        <w:spacing w:after="0" w:line="1" w:lineRule="exact"/>
        <w:rPr>
          <w:sz w:val="20"/>
          <w:szCs w:val="20"/>
          <w:color w:val="auto"/>
        </w:rPr>
      </w:pPr>
    </w:p>
    <w:sectPr>
      <w:pgSz w:w="11900" w:h="16838" w:orient="portrait"/>
      <w:cols w:equalWidth="0" w:num="1">
        <w:col w:w="10139"/>
      </w:cols>
      <w:pgMar w:left="3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bullet"/>
      <w:start w:val="1"/>
    </w:lvl>
  </w:abstractNum>
  <w:abstractNum w:abstractNumId="1">
    <w:nsid w:val="2A487CB0"/>
    <w:multiLevelType w:val="hybridMultilevel"/>
    <w:lvl w:ilvl="0">
      <w:lvlJc w:val="left"/>
      <w:lvlText w:val="2"/>
      <w:numFmt w:val="bullet"/>
      <w:start w:val="1"/>
    </w:lvl>
  </w:abstractNum>
  <w:abstractNum w:abstractNumId="2">
    <w:nsid w:val="1D4ED43B"/>
    <w:multiLevelType w:val="hybridMultilevel"/>
    <w:lvl w:ilvl="0">
      <w:lvlJc w:val="left"/>
      <w:lvlText w:val="3"/>
      <w:numFmt w:val="bullet"/>
      <w:start w:val="1"/>
    </w:lvl>
  </w:abstractNum>
  <w:abstractNum w:abstractNumId="3">
    <w:nsid w:val="725A06FB"/>
    <w:multiLevelType w:val="hybridMultilevel"/>
    <w:lvl w:ilvl="0">
      <w:lvlJc w:val="left"/>
      <w:lvlText w:val="4"/>
      <w:numFmt w:val="bullet"/>
      <w:start w:val="1"/>
    </w:lvl>
  </w:abstractNum>
  <w:abstractNum w:abstractNumId="4">
    <w:nsid w:val="2CD89A32"/>
    <w:multiLevelType w:val="hybridMultilevel"/>
    <w:lvl w:ilvl="0">
      <w:lvlJc w:val="left"/>
      <w:lvlText w:val="5"/>
      <w:numFmt w:val="bullet"/>
      <w:start w:val="1"/>
    </w:lvl>
  </w:abstractNum>
  <w:abstractNum w:abstractNumId="5">
    <w:nsid w:val="57E4CCAF"/>
    <w:multiLevelType w:val="hybridMultilevel"/>
    <w:lvl w:ilvl="0">
      <w:lvlJc w:val="left"/>
      <w:lvlText w:val="6"/>
      <w:numFmt w:val="bullet"/>
      <w:start w:val="1"/>
    </w:lvl>
  </w:abstractNum>
  <w:abstractNum w:abstractNumId="6">
    <w:nsid w:val="7A6D8D3C"/>
    <w:multiLevelType w:val="hybridMultilevel"/>
    <w:lvl w:ilvl="0">
      <w:lvlJc w:val="left"/>
      <w:lvlText w:val="%1"/>
      <w:numFmt w:val="decimal"/>
      <w:start w:val="11"/>
    </w:lvl>
  </w:abstractNum>
  <w:abstractNum w:abstractNumId="7">
    <w:nsid w:val="4B588F54"/>
    <w:multiLevelType w:val="hybridMultilevel"/>
    <w:lvl w:ilvl="0">
      <w:lvlJc w:val="left"/>
      <w:lvlText w:val="1"/>
      <w:numFmt w:val="bullet"/>
      <w:start w:val="1"/>
    </w:lvl>
  </w:abstractNum>
  <w:abstractNum w:abstractNumId="8">
    <w:nsid w:val="542289EC"/>
    <w:multiLevelType w:val="hybridMultilevel"/>
    <w:lvl w:ilvl="0">
      <w:lvlJc w:val="left"/>
      <w:lvlText w:val="2"/>
      <w:numFmt w:val="bullet"/>
      <w:start w:val="1"/>
    </w:lvl>
  </w:abstractNum>
  <w:abstractNum w:abstractNumId="9">
    <w:nsid w:val="6DE91B18"/>
    <w:multiLevelType w:val="hybridMultilevel"/>
    <w:lvl w:ilvl="0">
      <w:lvlJc w:val="left"/>
      <w:lvlText w:val="3"/>
      <w:numFmt w:val="bullet"/>
      <w:start w:val="1"/>
    </w:lvl>
  </w:abstractNum>
  <w:abstractNum w:abstractNumId="10">
    <w:nsid w:val="38437FDB"/>
    <w:multiLevelType w:val="hybridMultilevel"/>
    <w:lvl w:ilvl="0">
      <w:lvlJc w:val="left"/>
      <w:lvlText w:val="4"/>
      <w:numFmt w:val="bullet"/>
      <w:start w:val="1"/>
    </w:lvl>
  </w:abstractNum>
  <w:abstractNum w:abstractNumId="11">
    <w:nsid w:val="7644A45C"/>
    <w:multiLevelType w:val="hybridMultilevel"/>
    <w:lvl w:ilvl="0">
      <w:lvlJc w:val="left"/>
      <w:lvlText w:val="5"/>
      <w:numFmt w:val="bullet"/>
      <w:start w:val="1"/>
    </w:lvl>
  </w:abstractNum>
  <w:abstractNum w:abstractNumId="12">
    <w:nsid w:val="32FFF902"/>
    <w:multiLevelType w:val="hybridMultilevel"/>
    <w:lvl w:ilvl="0">
      <w:lvlJc w:val="left"/>
      <w:lvlText w:val="6"/>
      <w:numFmt w:val="bullet"/>
      <w:start w:val="1"/>
    </w:lvl>
  </w:abstractNum>
  <w:abstractNum w:abstractNumId="13">
    <w:nsid w:val="684A481A"/>
    <w:multiLevelType w:val="hybridMultilevel"/>
    <w:lvl w:ilvl="0">
      <w:lvlJc w:val="left"/>
      <w:lvlText w:val="%1"/>
      <w:numFmt w:val="decimal"/>
      <w:start w:val="11"/>
    </w:lvl>
  </w:abstractNum>
  <w:abstractNum w:abstractNumId="14">
    <w:nsid w:val="579478FE"/>
    <w:multiLevelType w:val="hybridMultilevel"/>
    <w:lvl w:ilvl="0">
      <w:lvlJc w:val="left"/>
      <w:lvlText w:val="1"/>
      <w:numFmt w:val="bullet"/>
      <w:start w:val="1"/>
    </w:lvl>
  </w:abstractNum>
  <w:abstractNum w:abstractNumId="15">
    <w:nsid w:val="749ABB43"/>
    <w:multiLevelType w:val="hybridMultilevel"/>
    <w:lvl w:ilvl="0">
      <w:lvlJc w:val="left"/>
      <w:lvlText w:val="2"/>
      <w:numFmt w:val="bullet"/>
      <w:start w:val="1"/>
    </w:lvl>
  </w:abstractNum>
  <w:abstractNum w:abstractNumId="16">
    <w:nsid w:val="3DC240FB"/>
    <w:multiLevelType w:val="hybridMultilevel"/>
    <w:lvl w:ilvl="0">
      <w:lvlJc w:val="left"/>
      <w:lvlText w:val="3"/>
      <w:numFmt w:val="bullet"/>
      <w:start w:val="1"/>
    </w:lvl>
  </w:abstractNum>
  <w:abstractNum w:abstractNumId="17">
    <w:nsid w:val="1BA026FA"/>
    <w:multiLevelType w:val="hybridMultilevel"/>
    <w:lvl w:ilvl="0">
      <w:lvlJc w:val="left"/>
      <w:lvlText w:val="4"/>
      <w:numFmt w:val="bullet"/>
      <w:start w:val="1"/>
    </w:lvl>
  </w:abstractNum>
  <w:abstractNum w:abstractNumId="18">
    <w:nsid w:val="79A1DEAA"/>
    <w:multiLevelType w:val="hybridMultilevel"/>
    <w:lvl w:ilvl="0">
      <w:lvlJc w:val="left"/>
      <w:lvlText w:val="5"/>
      <w:numFmt w:val="bullet"/>
      <w:start w:val="1"/>
    </w:lvl>
  </w:abstractNum>
  <w:abstractNum w:abstractNumId="19">
    <w:nsid w:val="75C6C33A"/>
    <w:multiLevelType w:val="hybridMultilevel"/>
    <w:lvl w:ilvl="0">
      <w:lvlJc w:val="left"/>
      <w:lvlText w:val="6"/>
      <w:numFmt w:val="bullet"/>
      <w:start w:val="1"/>
    </w:lvl>
  </w:abstractNum>
  <w:abstractNum w:abstractNumId="20">
    <w:nsid w:val="12E685FB"/>
    <w:multiLevelType w:val="hybridMultilevel"/>
    <w:lvl w:ilvl="0">
      <w:lvlJc w:val="left"/>
      <w:lvlText w:val="%1"/>
      <w:numFmt w:val="decimal"/>
      <w:start w:val="11"/>
    </w:lvl>
  </w:abstractNum>
  <w:abstractNum w:abstractNumId="21">
    <w:nsid w:val="70C6A529"/>
    <w:multiLevelType w:val="hybridMultilevel"/>
    <w:lvl w:ilvl="0">
      <w:lvlJc w:val="left"/>
      <w:lvlText w:val="1"/>
      <w:numFmt w:val="bullet"/>
      <w:start w:val="1"/>
    </w:lvl>
  </w:abstractNum>
  <w:abstractNum w:abstractNumId="22">
    <w:nsid w:val="520EEDD1"/>
    <w:multiLevelType w:val="hybridMultilevel"/>
    <w:lvl w:ilvl="0">
      <w:lvlJc w:val="left"/>
      <w:lvlText w:val="2"/>
      <w:numFmt w:val="bullet"/>
      <w:start w:val="1"/>
    </w:lvl>
  </w:abstractNum>
  <w:abstractNum w:abstractNumId="23">
    <w:nsid w:val="374A3FE6"/>
    <w:multiLevelType w:val="hybridMultilevel"/>
    <w:lvl w:ilvl="0">
      <w:lvlJc w:val="left"/>
      <w:lvlText w:val="3"/>
      <w:numFmt w:val="bullet"/>
      <w:start w:val="1"/>
    </w:lvl>
  </w:abstractNum>
  <w:abstractNum w:abstractNumId="24">
    <w:nsid w:val="4F4EF005"/>
    <w:multiLevelType w:val="hybridMultilevel"/>
    <w:lvl w:ilvl="0">
      <w:lvlJc w:val="left"/>
      <w:lvlText w:val="4"/>
      <w:numFmt w:val="bullet"/>
      <w:start w:val="1"/>
    </w:lvl>
  </w:abstractNum>
  <w:abstractNum w:abstractNumId="25">
    <w:nsid w:val="23F9C13C"/>
    <w:multiLevelType w:val="hybridMultilevel"/>
    <w:lvl w:ilvl="0">
      <w:lvlJc w:val="left"/>
      <w:lvlText w:val="5"/>
      <w:numFmt w:val="bullet"/>
      <w:start w:val="1"/>
    </w:lvl>
  </w:abstractNum>
  <w:abstractNum w:abstractNumId="26">
    <w:nsid w:val="649BB77C"/>
    <w:multiLevelType w:val="hybridMultilevel"/>
    <w:lvl w:ilvl="0">
      <w:lvlJc w:val="left"/>
      <w:lvlText w:val="6"/>
      <w:numFmt w:val="bullet"/>
      <w:start w:val="1"/>
    </w:lvl>
  </w:abstractNum>
  <w:abstractNum w:abstractNumId="27">
    <w:nsid w:val="275AC794"/>
    <w:multiLevelType w:val="hybridMultilevel"/>
    <w:lvl w:ilvl="0">
      <w:lvlJc w:val="left"/>
      <w:lvlText w:val="%1"/>
      <w:numFmt w:val="decimal"/>
      <w:start w:val="11"/>
    </w:lvl>
  </w:abstractNum>
  <w:abstractNum w:abstractNumId="28">
    <w:nsid w:val="39386575"/>
    <w:multiLevelType w:val="hybridMultilevel"/>
    <w:lvl w:ilvl="0">
      <w:lvlJc w:val="left"/>
      <w:lvlText w:val="1"/>
      <w:numFmt w:val="bullet"/>
      <w:start w:val="1"/>
    </w:lvl>
  </w:abstractNum>
  <w:abstractNum w:abstractNumId="29">
    <w:nsid w:val="1CF10FD8"/>
    <w:multiLevelType w:val="hybridMultilevel"/>
    <w:lvl w:ilvl="0">
      <w:lvlJc w:val="left"/>
      <w:lvlText w:val="2"/>
      <w:numFmt w:val="bullet"/>
      <w:start w:val="1"/>
    </w:lvl>
  </w:abstractNum>
  <w:abstractNum w:abstractNumId="30">
    <w:nsid w:val="180115BE"/>
    <w:multiLevelType w:val="hybridMultilevel"/>
    <w:lvl w:ilvl="0">
      <w:lvlJc w:val="left"/>
      <w:lvlText w:val="3"/>
      <w:numFmt w:val="bullet"/>
      <w:start w:val="1"/>
    </w:lvl>
  </w:abstractNum>
  <w:abstractNum w:abstractNumId="31">
    <w:nsid w:val="235BA861"/>
    <w:multiLevelType w:val="hybridMultilevel"/>
    <w:lvl w:ilvl="0">
      <w:lvlJc w:val="left"/>
      <w:lvlText w:val="4"/>
      <w:numFmt w:val="bullet"/>
      <w:start w:val="1"/>
    </w:lvl>
  </w:abstractNum>
  <w:abstractNum w:abstractNumId="32">
    <w:nsid w:val="47398C89"/>
    <w:multiLevelType w:val="hybridMultilevel"/>
    <w:lvl w:ilvl="0">
      <w:lvlJc w:val="left"/>
      <w:lvlText w:val="5"/>
      <w:numFmt w:val="bullet"/>
      <w:start w:val="1"/>
    </w:lvl>
  </w:abstractNum>
  <w:abstractNum w:abstractNumId="33">
    <w:nsid w:val="354FE9F9"/>
    <w:multiLevelType w:val="hybridMultilevel"/>
    <w:lvl w:ilvl="0">
      <w:lvlJc w:val="left"/>
      <w:lvlText w:val="6"/>
      <w:numFmt w:val="bullet"/>
      <w:start w:val="1"/>
    </w:lvl>
  </w:abstractNum>
  <w:abstractNum w:abstractNumId="34">
    <w:nsid w:val="15B5AF5C"/>
    <w:multiLevelType w:val="hybridMultilevel"/>
    <w:lvl w:ilvl="0">
      <w:lvlJc w:val="left"/>
      <w:lvlText w:val="%1"/>
      <w:numFmt w:val="decimal"/>
      <w:start w:val="11"/>
    </w:lvl>
  </w:abstractNum>
  <w:abstractNum w:abstractNumId="35">
    <w:nsid w:val="741226BB"/>
    <w:multiLevelType w:val="hybridMultilevel"/>
    <w:lvl w:ilvl="0">
      <w:lvlJc w:val="left"/>
      <w:lvlText w:val="1"/>
      <w:numFmt w:val="bullet"/>
      <w:start w:val="1"/>
    </w:lvl>
  </w:abstractNum>
  <w:abstractNum w:abstractNumId="36">
    <w:nsid w:val="D34B6A8"/>
    <w:multiLevelType w:val="hybridMultilevel"/>
    <w:lvl w:ilvl="0">
      <w:lvlJc w:val="left"/>
      <w:lvlText w:val="2"/>
      <w:numFmt w:val="bullet"/>
      <w:start w:val="1"/>
    </w:lvl>
  </w:abstractNum>
  <w:abstractNum w:abstractNumId="37">
    <w:nsid w:val="10233C99"/>
    <w:multiLevelType w:val="hybridMultilevel"/>
    <w:lvl w:ilvl="0">
      <w:lvlJc w:val="left"/>
      <w:lvlText w:val="3"/>
      <w:numFmt w:val="bullet"/>
      <w:start w:val="1"/>
    </w:lvl>
  </w:abstractNum>
  <w:abstractNum w:abstractNumId="38">
    <w:nsid w:val="3F6AB60F"/>
    <w:multiLevelType w:val="hybridMultilevel"/>
    <w:lvl w:ilvl="0">
      <w:lvlJc w:val="left"/>
      <w:lvlText w:val="4"/>
      <w:numFmt w:val="bullet"/>
      <w:start w:val="1"/>
    </w:lvl>
  </w:abstractNum>
  <w:abstractNum w:abstractNumId="39">
    <w:nsid w:val="61574095"/>
    <w:multiLevelType w:val="hybridMultilevel"/>
    <w:lvl w:ilvl="0">
      <w:lvlJc w:val="left"/>
      <w:lvlText w:val="5"/>
      <w:numFmt w:val="bullet"/>
      <w:start w:val="1"/>
    </w:lvl>
  </w:abstractNum>
  <w:abstractNum w:abstractNumId="40">
    <w:nsid w:val="7E0C57B1"/>
    <w:multiLevelType w:val="hybridMultilevel"/>
    <w:lvl w:ilvl="0">
      <w:lvlJc w:val="left"/>
      <w:lvlText w:val="6"/>
      <w:numFmt w:val="bullet"/>
      <w:start w:val="1"/>
    </w:lvl>
  </w:abstractNum>
  <w:abstractNum w:abstractNumId="41">
    <w:nsid w:val="77AE35EB"/>
    <w:multiLevelType w:val="hybridMultilevel"/>
    <w:lvl w:ilvl="0">
      <w:lvlJc w:val="left"/>
      <w:lvlText w:val="%1"/>
      <w:numFmt w:val="decimal"/>
      <w:start w:val="11"/>
    </w:lvl>
  </w:abstractNum>
  <w:abstractNum w:abstractNumId="42">
    <w:nsid w:val="579BE4F1"/>
    <w:multiLevelType w:val="hybridMultilevel"/>
    <w:lvl w:ilvl="0">
      <w:lvlJc w:val="left"/>
      <w:lvlText w:val="1"/>
      <w:numFmt w:val="bullet"/>
      <w:start w:val="1"/>
    </w:lvl>
  </w:abstractNum>
  <w:abstractNum w:abstractNumId="43">
    <w:nsid w:val="310C50B3"/>
    <w:multiLevelType w:val="hybridMultilevel"/>
    <w:lvl w:ilvl="0">
      <w:lvlJc w:val="left"/>
      <w:lvlText w:val="2"/>
      <w:numFmt w:val="bullet"/>
      <w:start w:val="1"/>
    </w:lvl>
  </w:abstractNum>
  <w:abstractNum w:abstractNumId="44">
    <w:nsid w:val="5FF87E05"/>
    <w:multiLevelType w:val="hybridMultilevel"/>
    <w:lvl w:ilvl="0">
      <w:lvlJc w:val="left"/>
      <w:lvlText w:val="3"/>
      <w:numFmt w:val="bullet"/>
      <w:start w:val="1"/>
    </w:lvl>
  </w:abstractNum>
  <w:abstractNum w:abstractNumId="45">
    <w:nsid w:val="2F305DEF"/>
    <w:multiLevelType w:val="hybridMultilevel"/>
    <w:lvl w:ilvl="0">
      <w:lvlJc w:val="left"/>
      <w:lvlText w:val="4"/>
      <w:numFmt w:val="bullet"/>
      <w:start w:val="1"/>
    </w:lvl>
  </w:abstractNum>
  <w:abstractNum w:abstractNumId="46">
    <w:nsid w:val="25A70BF7"/>
    <w:multiLevelType w:val="hybridMultilevel"/>
    <w:lvl w:ilvl="0">
      <w:lvlJc w:val="left"/>
      <w:lvlText w:val="5"/>
      <w:numFmt w:val="bullet"/>
      <w:start w:val="1"/>
    </w:lvl>
  </w:abstractNum>
  <w:abstractNum w:abstractNumId="47">
    <w:nsid w:val="1DBABF00"/>
    <w:multiLevelType w:val="hybridMultilevel"/>
    <w:lvl w:ilvl="0">
      <w:lvlJc w:val="left"/>
      <w:lvlText w:val="6"/>
      <w:numFmt w:val="bullet"/>
      <w:start w:val="1"/>
    </w:lvl>
  </w:abstractNum>
  <w:abstractNum w:abstractNumId="48">
    <w:nsid w:val="4AD084E9"/>
    <w:multiLevelType w:val="hybridMultilevel"/>
    <w:lvl w:ilvl="0">
      <w:lvlJc w:val="left"/>
      <w:lvlText w:val="%1"/>
      <w:numFmt w:val="decimal"/>
      <w:start w:val="11"/>
    </w:lvl>
  </w:abstractNum>
  <w:abstractNum w:abstractNumId="49">
    <w:nsid w:val="1F48EAA1"/>
    <w:multiLevelType w:val="hybridMultilevel"/>
    <w:lvl w:ilvl="0">
      <w:lvlJc w:val="left"/>
      <w:lvlText w:val="1"/>
      <w:numFmt w:val="bullet"/>
      <w:start w:val="1"/>
    </w:lvl>
  </w:abstractNum>
  <w:abstractNum w:abstractNumId="50">
    <w:nsid w:val="1381823A"/>
    <w:multiLevelType w:val="hybridMultilevel"/>
    <w:lvl w:ilvl="0">
      <w:lvlJc w:val="left"/>
      <w:lvlText w:val="2"/>
      <w:numFmt w:val="bullet"/>
      <w:start w:val="1"/>
    </w:lvl>
  </w:abstractNum>
  <w:abstractNum w:abstractNumId="51">
    <w:nsid w:val="5DB70AE5"/>
    <w:multiLevelType w:val="hybridMultilevel"/>
    <w:lvl w:ilvl="0">
      <w:lvlJc w:val="left"/>
      <w:lvlText w:val="3"/>
      <w:numFmt w:val="bullet"/>
      <w:start w:val="1"/>
    </w:lvl>
  </w:abstractNum>
  <w:abstractNum w:abstractNumId="52">
    <w:nsid w:val="100F8FCA"/>
    <w:multiLevelType w:val="hybridMultilevel"/>
    <w:lvl w:ilvl="0">
      <w:lvlJc w:val="left"/>
      <w:lvlText w:val="4"/>
      <w:numFmt w:val="bullet"/>
      <w:start w:val="1"/>
    </w:lvl>
  </w:abstractNum>
  <w:abstractNum w:abstractNumId="53">
    <w:nsid w:val="6590700B"/>
    <w:multiLevelType w:val="hybridMultilevel"/>
    <w:lvl w:ilvl="0">
      <w:lvlJc w:val="left"/>
      <w:lvlText w:val="5"/>
      <w:numFmt w:val="bullet"/>
      <w:start w:val="1"/>
    </w:lvl>
  </w:abstractNum>
  <w:abstractNum w:abstractNumId="54">
    <w:nsid w:val="15014ACB"/>
    <w:multiLevelType w:val="hybridMultilevel"/>
    <w:lvl w:ilvl="0">
      <w:lvlJc w:val="left"/>
      <w:lvlText w:val="6"/>
      <w:numFmt w:val="bullet"/>
      <w:start w:val="1"/>
    </w:lvl>
  </w:abstractNum>
  <w:abstractNum w:abstractNumId="55">
    <w:nsid w:val="5F5E7FD0"/>
    <w:multiLevelType w:val="hybridMultilevel"/>
    <w:lvl w:ilvl="0">
      <w:lvlJc w:val="left"/>
      <w:lvlText w:val="%1"/>
      <w:numFmt w:val="decimal"/>
      <w:start w:val="11"/>
    </w:lvl>
  </w:abstractNum>
  <w:abstractNum w:abstractNumId="56">
    <w:nsid w:val="98A3148"/>
    <w:multiLevelType w:val="hybridMultilevel"/>
    <w:lvl w:ilvl="0">
      <w:lvlJc w:val="left"/>
      <w:lvlText w:val="1"/>
      <w:numFmt w:val="bullet"/>
      <w:start w:val="1"/>
    </w:lvl>
  </w:abstractNum>
  <w:abstractNum w:abstractNumId="57">
    <w:nsid w:val="799D0247"/>
    <w:multiLevelType w:val="hybridMultilevel"/>
    <w:lvl w:ilvl="0">
      <w:lvlJc w:val="left"/>
      <w:lvlText w:val="2"/>
      <w:numFmt w:val="bullet"/>
      <w:start w:val="1"/>
    </w:lvl>
  </w:abstractNum>
  <w:abstractNum w:abstractNumId="58">
    <w:nsid w:val="6B94764"/>
    <w:multiLevelType w:val="hybridMultilevel"/>
    <w:lvl w:ilvl="0">
      <w:lvlJc w:val="left"/>
      <w:lvlText w:val="3"/>
      <w:numFmt w:val="bullet"/>
      <w:start w:val="1"/>
    </w:lvl>
  </w:abstractNum>
  <w:abstractNum w:abstractNumId="59">
    <w:nsid w:val="42C296BD"/>
    <w:multiLevelType w:val="hybridMultilevel"/>
    <w:lvl w:ilvl="0">
      <w:lvlJc w:val="left"/>
      <w:lvlText w:val="4"/>
      <w:numFmt w:val="bullet"/>
      <w:start w:val="1"/>
    </w:lvl>
  </w:abstractNum>
  <w:abstractNum w:abstractNumId="60">
    <w:nsid w:val="168E121F"/>
    <w:multiLevelType w:val="hybridMultilevel"/>
    <w:lvl w:ilvl="0">
      <w:lvlJc w:val="left"/>
      <w:lvlText w:val="5"/>
      <w:numFmt w:val="bullet"/>
      <w:start w:val="1"/>
    </w:lvl>
  </w:abstractNum>
  <w:abstractNum w:abstractNumId="61">
    <w:nsid w:val="1EBA5D23"/>
    <w:multiLevelType w:val="hybridMultilevel"/>
    <w:lvl w:ilvl="0">
      <w:lvlJc w:val="left"/>
      <w:lvlText w:val="6"/>
      <w:numFmt w:val="bullet"/>
      <w:start w:val="1"/>
    </w:lvl>
  </w:abstractNum>
  <w:abstractNum w:abstractNumId="62">
    <w:nsid w:val="661E3F1E"/>
    <w:multiLevelType w:val="hybridMultilevel"/>
    <w:lvl w:ilvl="0">
      <w:lvlJc w:val="left"/>
      <w:lvlText w:val="%1"/>
      <w:numFmt w:val="decimal"/>
      <w:start w:val="11"/>
    </w:lvl>
  </w:abstractNum>
  <w:abstractNum w:abstractNumId="63">
    <w:nsid w:val="5DC79EA8"/>
    <w:multiLevelType w:val="hybridMultilevel"/>
    <w:lvl w:ilvl="0">
      <w:lvlJc w:val="left"/>
      <w:lvlText w:val="1"/>
      <w:numFmt w:val="bullet"/>
      <w:start w:val="1"/>
    </w:lvl>
  </w:abstractNum>
  <w:abstractNum w:abstractNumId="64">
    <w:nsid w:val="540A471C"/>
    <w:multiLevelType w:val="hybridMultilevel"/>
    <w:lvl w:ilvl="0">
      <w:lvlJc w:val="left"/>
      <w:lvlText w:val="2"/>
      <w:numFmt w:val="bullet"/>
      <w:start w:val="1"/>
    </w:lvl>
  </w:abstractNum>
  <w:abstractNum w:abstractNumId="65">
    <w:nsid w:val="7BD3EE7B"/>
    <w:multiLevelType w:val="hybridMultilevel"/>
    <w:lvl w:ilvl="0">
      <w:lvlJc w:val="left"/>
      <w:lvlText w:val="3"/>
      <w:numFmt w:val="bullet"/>
      <w:start w:val="1"/>
    </w:lvl>
  </w:abstractNum>
  <w:abstractNum w:abstractNumId="66">
    <w:nsid w:val="51D9C564"/>
    <w:multiLevelType w:val="hybridMultilevel"/>
    <w:lvl w:ilvl="0">
      <w:lvlJc w:val="left"/>
      <w:lvlText w:val="4"/>
      <w:numFmt w:val="bullet"/>
      <w:start w:val="1"/>
    </w:lvl>
  </w:abstractNum>
  <w:abstractNum w:abstractNumId="67">
    <w:nsid w:val="613EFDC5"/>
    <w:multiLevelType w:val="hybridMultilevel"/>
    <w:lvl w:ilvl="0">
      <w:lvlJc w:val="left"/>
      <w:lvlText w:val="5"/>
      <w:numFmt w:val="bullet"/>
      <w:start w:val="1"/>
    </w:lvl>
  </w:abstractNum>
  <w:abstractNum w:abstractNumId="68">
    <w:nsid w:val="BF72B14"/>
    <w:multiLevelType w:val="hybridMultilevel"/>
    <w:lvl w:ilvl="0">
      <w:lvlJc w:val="left"/>
      <w:lvlText w:val="6"/>
      <w:numFmt w:val="bullet"/>
      <w:start w:val="1"/>
    </w:lvl>
  </w:abstractNum>
  <w:abstractNum w:abstractNumId="69">
    <w:nsid w:val="11447B73"/>
    <w:multiLevelType w:val="hybridMultilevel"/>
    <w:lvl w:ilvl="0">
      <w:lvlJc w:val="left"/>
      <w:lvlText w:val="%1"/>
      <w:numFmt w:val="decimal"/>
      <w:start w:val="1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3"/>
    </w:lvl>
  </w:abstractNum>
  <w:abstractNum w:abstractNumId="72">
    <w:nsid w:val="8F2B15E"/>
    <w:multiLevelType w:val="hybridMultilevel"/>
    <w:lvl w:ilvl="0">
      <w:lvlJc w:val="left"/>
      <w:lvlText w:val="%1."/>
      <w:numFmt w:val="lowerRoman"/>
      <w:start w:val="1"/>
    </w:lvl>
  </w:abstractNum>
  <w:abstractNum w:abstractNumId="73">
    <w:nsid w:val="1A32234B"/>
    <w:multiLevelType w:val="hybridMultilevel"/>
    <w:lvl w:ilvl="0">
      <w:lvlJc w:val="left"/>
      <w:lvlText w:val="%1."/>
      <w:numFmt w:val="lowerRoman"/>
      <w:start w:val="5"/>
    </w:lvl>
  </w:abstractNum>
  <w:abstractNum w:abstractNumId="74">
    <w:nsid w:val="3B0FD379"/>
    <w:multiLevelType w:val="hybridMultilevel"/>
    <w:lvl w:ilvl="0">
      <w:lvlJc w:val="left"/>
      <w:lvlText w:val="%1."/>
      <w:numFmt w:val="lowerRoman"/>
      <w:start w:val="5"/>
    </w:lvl>
  </w:abstractNum>
  <w:abstractNum w:abstractNumId="75">
    <w:nsid w:val="68EB2F63"/>
    <w:multiLevelType w:val="hybridMultilevel"/>
    <w:lvl w:ilvl="0">
      <w:lvlJc w:val="left"/>
      <w:lvlText w:val="%1."/>
      <w:numFmt w:val="lowerRoman"/>
      <w:start w:val="8"/>
    </w:lvl>
  </w:abstractNum>
  <w:abstractNum w:abstractNumId="76">
    <w:nsid w:val="4962813B"/>
    <w:multiLevelType w:val="hybridMultilevel"/>
    <w:lvl w:ilvl="0">
      <w:lvlJc w:val="left"/>
      <w:lvlText w:val="%1."/>
      <w:numFmt w:val="lowerRoman"/>
      <w:start w:val="10"/>
    </w:lvl>
  </w:abstractNum>
  <w:abstractNum w:abstractNumId="77">
    <w:nsid w:val="60B6DF70"/>
    <w:multiLevelType w:val="hybridMultilevel"/>
    <w:lvl w:ilvl="0">
      <w:lvlJc w:val="left"/>
      <w:lvlText w:val="%1."/>
      <w:numFmt w:val="lowerRoman"/>
      <w:start w:val="1"/>
    </w:lvl>
  </w:abstractNum>
  <w:abstractNum w:abstractNumId="78">
    <w:nsid w:val="6A5EE64"/>
    <w:multiLevelType w:val="hybridMultilevel"/>
    <w:lvl w:ilvl="0">
      <w:lvlJc w:val="left"/>
      <w:lvlText w:val="%1."/>
      <w:numFmt w:val="lowerRoman"/>
      <w:start w:val="5"/>
    </w:lvl>
  </w:abstractNum>
  <w:abstractNum w:abstractNumId="79">
    <w:nsid w:val="14330624"/>
    <w:multiLevelType w:val="hybridMultilevel"/>
    <w:lvl w:ilvl="0">
      <w:lvlJc w:val="left"/>
      <w:lvlText w:val="%1."/>
      <w:numFmt w:val="lowerRoman"/>
      <w:start w:val="8"/>
    </w:lvl>
  </w:abstractNum>
  <w:abstractNum w:abstractNumId="80">
    <w:nsid w:val="7FFFCA11"/>
    <w:multiLevelType w:val="hybridMultilevel"/>
    <w:lvl w:ilvl="0">
      <w:lvlJc w:val="left"/>
      <w:lvlText w:val="%1."/>
      <w:numFmt w:val="lowerRoman"/>
      <w:start w:val="9"/>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2"/>
    </w:lvl>
  </w:abstractNum>
  <w:abstractNum w:abstractNumId="83">
    <w:nsid w:val="100F59D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2023-02-01T17:43:38Z</dcterms:created>
  <dcterms:modified xsi:type="dcterms:W3CDTF">2023-02-01T17:43:38Z</dcterms:modified>
</cp:coreProperties>
</file>