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4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333-264626</w:t>
      </w:r>
    </w:p>
    <w:p>
      <w:pPr>
        <w:spacing w:after="0" w:line="19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PROSPECTUS SUPPLEMENT NO. 4</w:t>
      </w:r>
    </w:p>
    <w:p>
      <w:pPr>
        <w:spacing w:after="0" w:line="20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(to Prospectus dated May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2729865</wp:posOffset>
            </wp:positionH>
            <wp:positionV relativeFrom="paragraph">
              <wp:posOffset>125730</wp:posOffset>
            </wp:positionV>
            <wp:extent cx="1892935" cy="580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2935" cy="5803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8"/>
          <w:szCs w:val="28"/>
          <w:b w:val="1"/>
          <w:bCs w:val="1"/>
          <w:color w:val="auto"/>
        </w:rPr>
        <w:t>Sema4 Holdings Corp.</w:t>
      </w:r>
    </w:p>
    <w:p>
      <w:pPr>
        <w:spacing w:after="0" w:line="22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8"/>
          <w:szCs w:val="28"/>
          <w:b w:val="1"/>
          <w:bCs w:val="1"/>
          <w:color w:val="auto"/>
        </w:rPr>
        <w:t>160,864,198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2266950</wp:posOffset>
            </wp:positionH>
            <wp:positionV relativeFrom="paragraph">
              <wp:posOffset>207010</wp:posOffset>
            </wp:positionV>
            <wp:extent cx="10179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17905" cy="825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both"/>
        <w:ind w:firstLine="318"/>
        <w:spacing w:after="0" w:line="275"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May 11, 2022 (the “Prospectus”), which forms a part of our registration statement on Form S-1 (No. 333-264626). This prospectus supplement is being filed to update and supplement the information in the Prospectus with the information contained in our quarterly report on Form 10-Q, filed with the Securities and Exchange Commission (the “SEC”) on August 15, 2022. Accordingly, we have attached the quarterly report on Form 10-Q to this prospectus supplement.</w:t>
      </w:r>
    </w:p>
    <w:p>
      <w:pPr>
        <w:spacing w:after="0" w:line="200" w:lineRule="exact"/>
        <w:rPr>
          <w:sz w:val="24"/>
          <w:szCs w:val="24"/>
          <w:color w:val="auto"/>
        </w:rPr>
      </w:pPr>
    </w:p>
    <w:p>
      <w:pPr>
        <w:spacing w:after="0" w:line="322" w:lineRule="exact"/>
        <w:rPr>
          <w:sz w:val="24"/>
          <w:szCs w:val="24"/>
          <w:color w:val="auto"/>
        </w:rPr>
      </w:pPr>
    </w:p>
    <w:p>
      <w:pPr>
        <w:jc w:val="both"/>
        <w:ind w:firstLine="318"/>
        <w:spacing w:after="0" w:line="288" w:lineRule="auto"/>
        <w:rPr>
          <w:sz w:val="20"/>
          <w:szCs w:val="20"/>
          <w:color w:val="auto"/>
        </w:rPr>
      </w:pPr>
      <w:r>
        <w:rPr>
          <w:rFonts w:ascii="Times New Roman" w:cs="Times New Roman" w:eastAsia="Times New Roman" w:hAnsi="Times New Roman"/>
          <w:sz w:val="18"/>
          <w:szCs w:val="18"/>
          <w:color w:val="auto"/>
        </w:rPr>
        <w:t>The Prospectus and this prospectus supplement relate to the offer and sale from time to time by the selling stockholders named in this prospectus (the “Selling Stockholders”) of up to 160,864,198 shares of our Class A common stock, par value $0.0001 per share (“Class A common stock”), consisting of (i) up to 80,000,000 shares of our Class A common stock (the “Stock Consideration Shares”) issued to OPKO Health, Inc. (“OPKO”) as a portion of the consideration for the Acquisition (as defined below), (ii) up to 30,864,198 shares of our Class A common stock (the “Milestone Shares”) that may be issuable to OPKO in connection with the achievement of certain revenue-based milestones for each of the fiscal years ending December 31, 2022 and December 31, 2023 and (iii) up to 50,000,000 shares of our Class A common stock (the “PIPE Shares”) issued in a private placement pursuant to subscription agreements each entered into on January 14, 2022 (the “PIPE Investment”).</w:t>
      </w:r>
    </w:p>
    <w:p>
      <w:pPr>
        <w:spacing w:after="0" w:line="143" w:lineRule="exact"/>
        <w:rPr>
          <w:sz w:val="24"/>
          <w:szCs w:val="24"/>
          <w:color w:val="auto"/>
        </w:rPr>
      </w:pPr>
    </w:p>
    <w:p>
      <w:pPr>
        <w:jc w:val="both"/>
        <w:ind w:firstLine="318"/>
        <w:spacing w:after="0" w:line="286" w:lineRule="auto"/>
        <w:rPr>
          <w:sz w:val="20"/>
          <w:szCs w:val="20"/>
          <w:color w:val="auto"/>
        </w:rPr>
      </w:pPr>
      <w:r>
        <w:rPr>
          <w:rFonts w:ascii="Times New Roman" w:cs="Times New Roman" w:eastAsia="Times New Roman" w:hAnsi="Times New Roman"/>
          <w:sz w:val="18"/>
          <w:szCs w:val="18"/>
          <w:color w:val="auto"/>
        </w:rPr>
        <w:t>On April 29, 2022, we consummated the transactions contemplated by that certain Agreement and Plan of Merger, dated as of January 14, 2022 (as amended, the “Merger Agreement”), by and among us and our wholly-owned subsidiaries, Orion Merger Sub I, Inc. (“Merger Sub I”) and Orion Merger Sub II, LLC (“Merger Sub II” and, together with Merger Sub I, “Merger Subs”), and GeneDx, Inc., a New Jersey corporation and wholly-owned subsidiary of OPKO (“GeneDx”), GeneDx Holding 2, Inc., which held 100% of GeneDx at the Effective Time (as defined below) (“Holdco2”), and OPKO. Pursuant to the terms of the Merger Agreement, we acquired GeneDx through the merger of Merger Sub I with and into Holdco2 (the “First Merger”), with Holdco2 as the surviving corporation in the First Merger. Immediately after the consummation of the First Merger, as part of the same overall transaction, Holdco2, as the surviving corporation in the First Merger, merged with and into Merger Sub II (the “Second Merger” and, together with the First Merger, the “Mergers”), with Merger Sub II as the surviving company. After giving effect to the Mergers and the other transactions contemplated by the Merger Agreement, GeneDx was converted into a Delaware limited liability company and became our wholly-owned indirect subsidiary. At the closing of the Acquisition, we paid OPKO $150 million of Cash Consideration (as defined herein) and issued to OPKO the Stock Consideration Shares. Concurrently with the closing, we also consummated the PIPE Investment, issuing the PIPE Shares for aggregate gross proceeds of $200 million. We have filed the registration statement to which this prospectus relates to satisfy certain registration rights obligations we have to the Selling Stockholders in respect of the Stock Consideration Shares, the Milestone Shares and the PIPE Shares.</w:t>
      </w:r>
    </w:p>
    <w:p>
      <w:pPr>
        <w:spacing w:after="0" w:line="146" w:lineRule="exact"/>
        <w:rPr>
          <w:sz w:val="24"/>
          <w:szCs w:val="24"/>
          <w:color w:val="auto"/>
        </w:rPr>
      </w:pPr>
    </w:p>
    <w:p>
      <w:pPr>
        <w:jc w:val="both"/>
        <w:ind w:firstLine="318"/>
        <w:spacing w:after="0" w:line="298" w:lineRule="auto"/>
        <w:rPr>
          <w:sz w:val="20"/>
          <w:szCs w:val="20"/>
          <w:color w:val="auto"/>
        </w:rPr>
      </w:pPr>
      <w:r>
        <w:rPr>
          <w:rFonts w:ascii="Times New Roman" w:cs="Times New Roman" w:eastAsia="Times New Roman" w:hAnsi="Times New Roman"/>
          <w:sz w:val="18"/>
          <w:szCs w:val="18"/>
          <w:color w:val="auto"/>
        </w:rPr>
        <w:t>Our common stock and public warrants are listed on the Nasdaq Global Select Market (the “Nasdaq”) under the symbol “SMFR” and “SMFRW”, respectively. On August 11, 2022, the last reported sales price of our common stock was $2.17 per share and the last reported sales price of our public warrants was $0.42 per warrant.</w:t>
      </w:r>
    </w:p>
    <w:p>
      <w:pPr>
        <w:spacing w:after="0" w:line="117" w:lineRule="exact"/>
        <w:rPr>
          <w:sz w:val="24"/>
          <w:szCs w:val="24"/>
          <w:color w:val="auto"/>
        </w:rPr>
      </w:pPr>
    </w:p>
    <w:p>
      <w:pPr>
        <w:jc w:val="both"/>
        <w:ind w:firstLine="318"/>
        <w:spacing w:after="0" w:line="296"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18" w:lineRule="exact"/>
        <w:rPr>
          <w:sz w:val="24"/>
          <w:szCs w:val="24"/>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and, as such, have elected to comply with certain reduced disclosure and regulatory requirements.</w:t>
      </w:r>
    </w:p>
    <w:p>
      <w:pPr>
        <w:spacing w:after="0" w:line="93" w:lineRule="exact"/>
        <w:rPr>
          <w:sz w:val="24"/>
          <w:szCs w:val="24"/>
          <w:color w:val="auto"/>
        </w:rPr>
      </w:pPr>
    </w:p>
    <w:p>
      <w:pPr>
        <w:jc w:val="both"/>
        <w:ind w:right="20" w:firstLine="318"/>
        <w:spacing w:after="0" w:line="324" w:lineRule="auto"/>
        <w:rPr>
          <w:sz w:val="20"/>
          <w:szCs w:val="20"/>
          <w:color w:val="auto"/>
        </w:rPr>
      </w:pPr>
      <w:r>
        <w:rPr>
          <w:rFonts w:ascii="Times New Roman" w:cs="Times New Roman" w:eastAsia="Times New Roman" w:hAnsi="Times New Roman"/>
          <w:sz w:val="18"/>
          <w:szCs w:val="18"/>
          <w:b w:val="1"/>
          <w:bCs w:val="1"/>
          <w:i w:val="1"/>
          <w:iCs w:val="1"/>
          <w:color w:val="auto"/>
        </w:rPr>
        <w:t>Investing in our securities involves risks. See the section entitled “Risk Factors” beginning on page 8 of the Prospectus to read about factors you should consider before buying our securities.</w:t>
      </w:r>
    </w:p>
    <w:p>
      <w:pPr>
        <w:spacing w:after="0" w:line="106" w:lineRule="exact"/>
        <w:rPr>
          <w:sz w:val="24"/>
          <w:szCs w:val="24"/>
          <w:color w:val="auto"/>
        </w:rPr>
      </w:pPr>
    </w:p>
    <w:p>
      <w:pPr>
        <w:jc w:val="both"/>
        <w:ind w:firstLine="318"/>
        <w:spacing w:after="0" w:line="307"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67"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August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205740</wp:posOffset>
            </wp:positionH>
            <wp:positionV relativeFrom="paragraph">
              <wp:posOffset>159385</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184150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1033" w:right="339" w:bottom="326" w:gutter="0" w:footer="0" w:header="0"/>
        </w:sectPr>
      </w:pPr>
    </w:p>
    <w:bookmarkStart w:id="1" w:name="page2"/>
    <w:bookmarkEnd w:id="1"/>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2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7" w:lineRule="exact"/>
        <w:rPr>
          <w:sz w:val="20"/>
          <w:szCs w:val="20"/>
          <w:color w:val="auto"/>
        </w:rPr>
      </w:pPr>
    </w:p>
    <w:p>
      <w:pPr>
        <w:ind w:left="480" w:right="480" w:hanging="456"/>
        <w:spacing w:after="0" w:line="193" w:lineRule="auto"/>
        <w:tabs>
          <w:tab w:leader="none" w:pos="480" w:val="left"/>
        </w:tabs>
        <w:numPr>
          <w:ilvl w:val="0"/>
          <w:numId w:val="1"/>
        </w:numPr>
        <w:rPr>
          <w:rFonts w:ascii="Arial" w:cs="Arial" w:eastAsia="Arial" w:hAnsi="Arial"/>
          <w:sz w:val="35"/>
          <w:szCs w:val="35"/>
          <w:color w:val="auto"/>
          <w:vertAlign w:val="superscript"/>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16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16" w:lineRule="exact"/>
        <w:rPr>
          <w:sz w:val="20"/>
          <w:szCs w:val="20"/>
          <w:color w:val="auto"/>
        </w:rPr>
      </w:pPr>
    </w:p>
    <w:p>
      <w:pPr>
        <w:ind w:left="480" w:right="460" w:hanging="456"/>
        <w:spacing w:after="0" w:line="210" w:lineRule="auto"/>
        <w:tabs>
          <w:tab w:leader="none" w:pos="480" w:val="left"/>
        </w:tabs>
        <w:numPr>
          <w:ilvl w:val="0"/>
          <w:numId w:val="2"/>
        </w:numPr>
        <w:rPr>
          <w:rFonts w:ascii="MS PGothic" w:cs="MS PGothic" w:eastAsia="MS PGothic" w:hAnsi="MS PGothic"/>
          <w:sz w:val="35"/>
          <w:szCs w:val="35"/>
          <w:color w:val="auto"/>
          <w:vertAlign w:val="superscript"/>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9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16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Commission file number 001-39482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2729865</wp:posOffset>
            </wp:positionH>
            <wp:positionV relativeFrom="paragraph">
              <wp:posOffset>116840</wp:posOffset>
            </wp:positionV>
            <wp:extent cx="1892935" cy="572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2935" cy="572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1560" w:type="dxa"/>
        <w:tblCellMar>
          <w:top w:w="0" w:type="dxa"/>
          <w:left w:w="0" w:type="dxa"/>
          <w:bottom w:w="0" w:type="dxa"/>
          <w:right w:w="0" w:type="dxa"/>
        </w:tblCellMar>
      </w:tblPr>
      <w:tr>
        <w:trPr>
          <w:trHeight w:val="376"/>
        </w:trPr>
        <w:tc>
          <w:tcPr>
            <w:tcW w:w="6000" w:type="dxa"/>
            <w:vAlign w:val="bottom"/>
          </w:tcPr>
          <w:p>
            <w:pPr>
              <w:ind w:left="2700"/>
              <w:spacing w:after="0"/>
              <w:rPr>
                <w:sz w:val="20"/>
                <w:szCs w:val="20"/>
                <w:color w:val="auto"/>
              </w:rPr>
            </w:pPr>
            <w:r>
              <w:rPr>
                <w:rFonts w:ascii="Times New Roman" w:cs="Times New Roman" w:eastAsia="Times New Roman" w:hAnsi="Times New Roman"/>
                <w:sz w:val="28"/>
                <w:szCs w:val="28"/>
                <w:b w:val="1"/>
                <w:bCs w:val="1"/>
                <w:color w:val="auto"/>
              </w:rPr>
              <w:t>Sema4 Holdings Corp.</w:t>
            </w:r>
          </w:p>
        </w:tc>
        <w:tc>
          <w:tcPr>
            <w:tcW w:w="1880" w:type="dxa"/>
            <w:vAlign w:val="bottom"/>
          </w:tcPr>
          <w:p>
            <w:pPr>
              <w:spacing w:after="0"/>
              <w:rPr>
                <w:sz w:val="24"/>
                <w:szCs w:val="24"/>
                <w:color w:val="auto"/>
              </w:rPr>
            </w:pPr>
          </w:p>
        </w:tc>
      </w:tr>
      <w:tr>
        <w:trPr>
          <w:trHeight w:val="415"/>
        </w:trPr>
        <w:tc>
          <w:tcPr>
            <w:tcW w:w="7880" w:type="dxa"/>
            <w:vAlign w:val="bottom"/>
            <w:gridSpan w:val="2"/>
          </w:tcPr>
          <w:p>
            <w:pPr>
              <w:jc w:val="right"/>
              <w:ind w:right="1232"/>
              <w:spacing w:after="0"/>
              <w:rPr>
                <w:sz w:val="20"/>
                <w:szCs w:val="20"/>
                <w:color w:val="auto"/>
              </w:rPr>
            </w:pPr>
            <w:r>
              <w:rPr>
                <w:rFonts w:ascii="Times New Roman" w:cs="Times New Roman" w:eastAsia="Times New Roman" w:hAnsi="Times New Roman"/>
                <w:sz w:val="21"/>
                <w:szCs w:val="21"/>
                <w:b w:val="1"/>
                <w:bCs w:val="1"/>
                <w:color w:val="auto"/>
              </w:rPr>
              <w:t>(Exact name of registrant as specified in its charter)</w:t>
            </w:r>
          </w:p>
        </w:tc>
      </w:tr>
      <w:tr>
        <w:trPr>
          <w:trHeight w:val="401"/>
        </w:trPr>
        <w:tc>
          <w:tcPr>
            <w:tcW w:w="6000" w:type="dxa"/>
            <w:vAlign w:val="bottom"/>
          </w:tcPr>
          <w:p>
            <w:pPr>
              <w:jc w:val="center"/>
              <w:ind w:right="270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88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85-1966622</w:t>
            </w:r>
          </w:p>
        </w:tc>
      </w:tr>
      <w:tr>
        <w:trPr>
          <w:trHeight w:val="219"/>
        </w:trPr>
        <w:tc>
          <w:tcPr>
            <w:tcW w:w="6000" w:type="dxa"/>
            <w:vAlign w:val="bottom"/>
          </w:tcPr>
          <w:p>
            <w:pPr>
              <w:jc w:val="center"/>
              <w:ind w:right="2703"/>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1880" w:type="dxa"/>
            <w:vAlign w:val="bottom"/>
          </w:tcPr>
          <w:p>
            <w:pPr>
              <w:jc w:val="center"/>
              <w:ind w:left="472"/>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31"/>
        </w:trPr>
        <w:tc>
          <w:tcPr>
            <w:tcW w:w="6000" w:type="dxa"/>
            <w:vAlign w:val="bottom"/>
          </w:tcPr>
          <w:p>
            <w:pPr>
              <w:jc w:val="center"/>
              <w:ind w:right="2703"/>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1880" w:type="dxa"/>
            <w:vAlign w:val="bottom"/>
          </w:tcPr>
          <w:p>
            <w:pPr>
              <w:jc w:val="center"/>
              <w:ind w:left="472"/>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270"/>
        </w:trPr>
        <w:tc>
          <w:tcPr>
            <w:tcW w:w="6000" w:type="dxa"/>
            <w:vAlign w:val="bottom"/>
          </w:tcPr>
          <w:p>
            <w:pPr>
              <w:jc w:val="center"/>
              <w:ind w:right="2703"/>
              <w:spacing w:after="0"/>
              <w:rPr>
                <w:sz w:val="20"/>
                <w:szCs w:val="20"/>
                <w:color w:val="auto"/>
              </w:rPr>
            </w:pPr>
            <w:r>
              <w:rPr>
                <w:rFonts w:ascii="Times New Roman" w:cs="Times New Roman" w:eastAsia="Times New Roman" w:hAnsi="Times New Roman"/>
                <w:sz w:val="18"/>
                <w:szCs w:val="18"/>
                <w:b w:val="1"/>
                <w:bCs w:val="1"/>
                <w:color w:val="auto"/>
                <w:w w:val="96"/>
              </w:rPr>
              <w:t>333 Ludlow Street, North Tower, 8th Floor</w:t>
            </w:r>
          </w:p>
        </w:tc>
        <w:tc>
          <w:tcPr>
            <w:tcW w:w="1880" w:type="dxa"/>
            <w:vAlign w:val="bottom"/>
          </w:tcPr>
          <w:p>
            <w:pPr>
              <w:spacing w:after="0"/>
              <w:rPr>
                <w:sz w:val="23"/>
                <w:szCs w:val="23"/>
                <w:color w:val="auto"/>
              </w:rPr>
            </w:pPr>
          </w:p>
        </w:tc>
      </w:tr>
      <w:tr>
        <w:trPr>
          <w:trHeight w:val="233"/>
        </w:trPr>
        <w:tc>
          <w:tcPr>
            <w:tcW w:w="6000" w:type="dxa"/>
            <w:vAlign w:val="bottom"/>
          </w:tcPr>
          <w:p>
            <w:pPr>
              <w:jc w:val="center"/>
              <w:ind w:right="2703"/>
              <w:spacing w:after="0"/>
              <w:rPr>
                <w:sz w:val="20"/>
                <w:szCs w:val="20"/>
                <w:color w:val="auto"/>
              </w:rPr>
            </w:pPr>
            <w:r>
              <w:rPr>
                <w:rFonts w:ascii="Times New Roman" w:cs="Times New Roman" w:eastAsia="Times New Roman" w:hAnsi="Times New Roman"/>
                <w:sz w:val="18"/>
                <w:szCs w:val="18"/>
                <w:b w:val="1"/>
                <w:bCs w:val="1"/>
                <w:color w:val="auto"/>
                <w:w w:val="98"/>
              </w:rPr>
              <w:t>Stamford, Connecticut</w:t>
            </w:r>
          </w:p>
        </w:tc>
        <w:tc>
          <w:tcPr>
            <w:tcW w:w="1880" w:type="dxa"/>
            <w:vAlign w:val="bottom"/>
          </w:tcPr>
          <w:p>
            <w:pPr>
              <w:jc w:val="center"/>
              <w:ind w:left="472"/>
              <w:spacing w:after="0"/>
              <w:rPr>
                <w:sz w:val="20"/>
                <w:szCs w:val="20"/>
                <w:color w:val="auto"/>
              </w:rPr>
            </w:pPr>
            <w:r>
              <w:rPr>
                <w:rFonts w:ascii="Times New Roman" w:cs="Times New Roman" w:eastAsia="Times New Roman" w:hAnsi="Times New Roman"/>
                <w:sz w:val="18"/>
                <w:szCs w:val="18"/>
                <w:b w:val="1"/>
                <w:bCs w:val="1"/>
                <w:color w:val="auto"/>
                <w:w w:val="97"/>
              </w:rPr>
              <w:t>06902</w:t>
            </w:r>
          </w:p>
        </w:tc>
      </w:tr>
      <w:tr>
        <w:trPr>
          <w:trHeight w:val="252"/>
        </w:trPr>
        <w:tc>
          <w:tcPr>
            <w:tcW w:w="6000" w:type="dxa"/>
            <w:vAlign w:val="bottom"/>
          </w:tcPr>
          <w:p>
            <w:pPr>
              <w:jc w:val="center"/>
              <w:ind w:right="2703"/>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188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(800) 298-6470</w:t>
      </w:r>
    </w:p>
    <w:p>
      <w:pPr>
        <w:spacing w:after="0" w:line="2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9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46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 of each exchange on which registered</w:t>
            </w:r>
          </w:p>
        </w:tc>
      </w:tr>
      <w:tr>
        <w:trPr>
          <w:trHeight w:val="20"/>
        </w:trPr>
        <w:tc>
          <w:tcPr>
            <w:tcW w:w="4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r>
      <w:tr>
        <w:trPr>
          <w:trHeight w:val="238"/>
        </w:trPr>
        <w:tc>
          <w:tcPr>
            <w:tcW w:w="46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Class A common stock, par value $0.0001 per share</w:t>
            </w:r>
          </w:p>
        </w:tc>
        <w:tc>
          <w:tcPr>
            <w:tcW w:w="1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SMFR</w:t>
            </w:r>
          </w:p>
        </w:tc>
        <w:tc>
          <w:tcPr>
            <w:tcW w:w="4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Nasdaq Global Select Market</w:t>
            </w:r>
          </w:p>
        </w:tc>
      </w:tr>
      <w:tr>
        <w:trPr>
          <w:trHeight w:val="192"/>
        </w:trPr>
        <w:tc>
          <w:tcPr>
            <w:tcW w:w="4620" w:type="dxa"/>
            <w:vAlign w:val="bottom"/>
            <w:tcBorders>
              <w:left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7"/>
              </w:rPr>
              <w:t>Warrants to purchase one share of Class A common stock,</w:t>
            </w:r>
          </w:p>
        </w:tc>
        <w:tc>
          <w:tcPr>
            <w:tcW w:w="188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8"/>
              </w:rPr>
              <w:t>SMFRW</w:t>
            </w:r>
          </w:p>
        </w:tc>
        <w:tc>
          <w:tcPr>
            <w:tcW w:w="476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8"/>
              </w:rPr>
              <w:t>The Nasdaq Global Select Market</w:t>
            </w:r>
          </w:p>
        </w:tc>
      </w:tr>
      <w:tr>
        <w:trPr>
          <w:trHeight w:val="233"/>
        </w:trPr>
        <w:tc>
          <w:tcPr>
            <w:tcW w:w="4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each at an exercise price of $11.50 per share</w:t>
            </w:r>
          </w:p>
        </w:tc>
        <w:tc>
          <w:tcPr>
            <w:tcW w:w="1880" w:type="dxa"/>
            <w:vAlign w:val="bottom"/>
            <w:tcBorders>
              <w:right w:val="single" w:sz="8" w:color="auto"/>
            </w:tcBorders>
          </w:tcPr>
          <w:p>
            <w:pPr>
              <w:spacing w:after="0"/>
              <w:rPr>
                <w:sz w:val="20"/>
                <w:szCs w:val="20"/>
                <w:color w:val="auto"/>
              </w:rPr>
            </w:pPr>
          </w:p>
        </w:tc>
        <w:tc>
          <w:tcPr>
            <w:tcW w:w="4760" w:type="dxa"/>
            <w:vAlign w:val="bottom"/>
            <w:tcBorders>
              <w:right w:val="single" w:sz="8" w:color="auto"/>
            </w:tcBorders>
          </w:tcPr>
          <w:p>
            <w:pPr>
              <w:spacing w:after="0"/>
              <w:rPr>
                <w:sz w:val="20"/>
                <w:szCs w:val="20"/>
                <w:color w:val="auto"/>
              </w:rPr>
            </w:pPr>
          </w:p>
        </w:tc>
      </w:tr>
      <w:tr>
        <w:trPr>
          <w:trHeight w:val="25"/>
        </w:trPr>
        <w:tc>
          <w:tcPr>
            <w:tcW w:w="462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r>
    </w:tbl>
    <w:p>
      <w:pPr>
        <w:spacing w:after="0" w:line="23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spacing w:after="0" w:line="12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8"/>
          <w:szCs w:val="18"/>
          <w:color w:val="auto"/>
        </w:rPr>
        <w:t xml:space="preserve">x </w:t>
      </w:r>
      <w:r>
        <w:rPr>
          <w:rFonts w:ascii="Times New Roman" w:cs="Times New Roman" w:eastAsia="Times New Roman" w:hAnsi="Times New Roman"/>
          <w:sz w:val="18"/>
          <w:szCs w:val="18"/>
          <w:color w:val="auto"/>
        </w:rPr>
        <w:t>No</w:t>
      </w:r>
      <w:r>
        <w:rPr>
          <w:rFonts w:ascii="Arial" w:cs="Arial" w:eastAsia="Arial" w:hAnsi="Arial"/>
          <w:sz w:val="18"/>
          <w:szCs w:val="18"/>
          <w:color w:val="auto"/>
        </w:rPr>
        <w:t xml:space="preserve"> o</w:t>
      </w:r>
    </w:p>
    <w:p>
      <w:pPr>
        <w:spacing w:after="0" w:line="12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520" w:type="dxa"/>
            <w:vAlign w:val="bottom"/>
          </w:tcPr>
          <w:p>
            <w:pPr>
              <w:ind w:left="740"/>
              <w:spacing w:after="0"/>
              <w:rPr>
                <w:sz w:val="20"/>
                <w:szCs w:val="20"/>
                <w:color w:val="auto"/>
              </w:rPr>
            </w:pPr>
            <w:r>
              <w:rPr>
                <w:rFonts w:ascii="Arial" w:cs="Arial" w:eastAsia="Arial" w:hAnsi="Arial"/>
                <w:sz w:val="18"/>
                <w:szCs w:val="18"/>
                <w:color w:val="auto"/>
              </w:rPr>
              <w:t>o</w:t>
            </w:r>
          </w:p>
        </w:tc>
        <w:tc>
          <w:tcPr>
            <w:tcW w:w="47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Accelerated filer</w:t>
            </w:r>
          </w:p>
        </w:tc>
        <w:tc>
          <w:tcPr>
            <w:tcW w:w="1220" w:type="dxa"/>
            <w:vAlign w:val="bottom"/>
          </w:tcPr>
          <w:p>
            <w:pPr>
              <w:ind w:left="1120"/>
              <w:spacing w:after="0"/>
              <w:rPr>
                <w:sz w:val="20"/>
                <w:szCs w:val="20"/>
                <w:color w:val="auto"/>
              </w:rPr>
            </w:pPr>
            <w:r>
              <w:rPr>
                <w:rFonts w:ascii="Arial" w:cs="Arial" w:eastAsia="Arial" w:hAnsi="Arial"/>
                <w:sz w:val="18"/>
                <w:szCs w:val="18"/>
                <w:color w:val="auto"/>
                <w:w w:val="79"/>
              </w:rPr>
              <w:t>o</w:t>
            </w:r>
          </w:p>
        </w:tc>
      </w:tr>
      <w:tr>
        <w:trPr>
          <w:trHeight w:val="252"/>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520" w:type="dxa"/>
            <w:vAlign w:val="bottom"/>
          </w:tcPr>
          <w:p>
            <w:pPr>
              <w:ind w:left="740"/>
              <w:spacing w:after="0"/>
              <w:rPr>
                <w:sz w:val="20"/>
                <w:szCs w:val="20"/>
                <w:color w:val="auto"/>
              </w:rPr>
            </w:pPr>
            <w:r>
              <w:rPr>
                <w:rFonts w:ascii="Arial" w:cs="Arial" w:eastAsia="Arial" w:hAnsi="Arial"/>
                <w:sz w:val="18"/>
                <w:szCs w:val="18"/>
                <w:color w:val="auto"/>
              </w:rPr>
              <w:t>x</w:t>
            </w:r>
          </w:p>
        </w:tc>
        <w:tc>
          <w:tcPr>
            <w:tcW w:w="47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20" w:type="dxa"/>
            <w:vAlign w:val="bottom"/>
          </w:tcPr>
          <w:p>
            <w:pPr>
              <w:ind w:left="1120"/>
              <w:spacing w:after="0"/>
              <w:rPr>
                <w:sz w:val="20"/>
                <w:szCs w:val="20"/>
                <w:color w:val="auto"/>
              </w:rPr>
            </w:pPr>
            <w:r>
              <w:rPr>
                <w:rFonts w:ascii="Arial" w:cs="Arial" w:eastAsia="Arial" w:hAnsi="Arial"/>
                <w:sz w:val="18"/>
                <w:szCs w:val="18"/>
                <w:color w:val="auto"/>
                <w:w w:val="88"/>
              </w:rPr>
              <w:t>x</w:t>
            </w:r>
          </w:p>
        </w:tc>
      </w:tr>
      <w:tr>
        <w:trPr>
          <w:trHeight w:val="252"/>
        </w:trPr>
        <w:tc>
          <w:tcPr>
            <w:tcW w:w="234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47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20" w:type="dxa"/>
            <w:vAlign w:val="bottom"/>
          </w:tcPr>
          <w:p>
            <w:pPr>
              <w:ind w:left="1120"/>
              <w:spacing w:after="0"/>
              <w:rPr>
                <w:sz w:val="20"/>
                <w:szCs w:val="20"/>
                <w:color w:val="auto"/>
              </w:rPr>
            </w:pPr>
            <w:r>
              <w:rPr>
                <w:rFonts w:ascii="Arial" w:cs="Arial" w:eastAsia="Arial" w:hAnsi="Arial"/>
                <w:sz w:val="18"/>
                <w:szCs w:val="18"/>
                <w:color w:val="auto"/>
                <w:w w:val="88"/>
              </w:rPr>
              <w:t>x</w:t>
            </w:r>
          </w:p>
        </w:tc>
      </w:tr>
    </w:tbl>
    <w:p>
      <w:pPr>
        <w:spacing w:after="0" w:line="24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Arial" w:cs="Arial" w:eastAsia="Arial" w:hAnsi="Arial"/>
          <w:sz w:val="18"/>
          <w:szCs w:val="18"/>
          <w:color w:val="auto"/>
        </w:rPr>
        <w:t>o</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x</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outstanding 380,641,510 shares of Class A common stock as of August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713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174625</wp:posOffset>
            </wp:positionV>
            <wp:extent cx="7134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60"/>
          </w:cols>
          <w:pgMar w:left="320" w:top="106" w:right="319" w:bottom="509" w:gutter="0" w:footer="0" w:header="0"/>
        </w:sectPr>
      </w:pPr>
    </w:p>
    <w:bookmarkStart w:id="2" w:name="page3"/>
    <w:bookmarkEnd w:id="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3"/>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12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w w:val="91"/>
              </w:rPr>
              <w:t>Page</w:t>
            </w:r>
          </w:p>
        </w:tc>
        <w:tc>
          <w:tcPr>
            <w:tcW w:w="0" w:type="dxa"/>
            <w:vAlign w:val="bottom"/>
          </w:tcPr>
          <w:p>
            <w:pPr>
              <w:spacing w:after="0"/>
              <w:rPr>
                <w:sz w:val="1"/>
                <w:szCs w:val="1"/>
                <w:color w:val="auto"/>
              </w:rPr>
            </w:pPr>
          </w:p>
        </w:tc>
      </w:tr>
      <w:tr>
        <w:trPr>
          <w:trHeight w:val="211"/>
        </w:trPr>
        <w:tc>
          <w:tcPr>
            <w:tcW w:w="12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5"/>
              </w:rPr>
              <w:t>Explanatory Note</w:t>
            </w:r>
          </w:p>
        </w:tc>
        <w:tc>
          <w:tcPr>
            <w:tcW w:w="8740" w:type="dxa"/>
            <w:vAlign w:val="bottom"/>
            <w:gridSpan w:val="16"/>
          </w:tcPr>
          <w:p>
            <w:pPr>
              <w:spacing w:after="0"/>
              <w:rPr>
                <w:sz w:val="18"/>
                <w:szCs w:val="18"/>
                <w:color w:val="auto"/>
              </w:rPr>
            </w:pPr>
          </w:p>
        </w:tc>
        <w:tc>
          <w:tcPr>
            <w:tcW w:w="100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32"/>
        </w:trPr>
        <w:tc>
          <w:tcPr>
            <w:tcW w:w="40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7"/>
              </w:rPr>
              <w:t>Cautionary Note Regarding Forward Looking Statements</w:t>
            </w:r>
          </w:p>
        </w:tc>
        <w:tc>
          <w:tcPr>
            <w:tcW w:w="5940" w:type="dxa"/>
            <w:vAlign w:val="bottom"/>
            <w:gridSpan w:val="9"/>
          </w:tcPr>
          <w:p>
            <w:pPr>
              <w:spacing w:after="0"/>
              <w:rPr>
                <w:sz w:val="20"/>
                <w:szCs w:val="20"/>
                <w:color w:val="auto"/>
              </w:rPr>
            </w:pPr>
          </w:p>
        </w:tc>
        <w:tc>
          <w:tcPr>
            <w:tcW w:w="100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497"/>
        </w:trPr>
        <w:tc>
          <w:tcPr>
            <w:tcW w:w="100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9260" w:type="dxa"/>
            <w:vAlign w:val="bottom"/>
            <w:gridSpan w:val="18"/>
          </w:tcPr>
          <w:p>
            <w:pPr>
              <w:ind w:left="340"/>
              <w:spacing w:after="0"/>
              <w:rPr>
                <w:sz w:val="20"/>
                <w:szCs w:val="20"/>
                <w:color w:val="auto"/>
              </w:rPr>
            </w:pPr>
            <w:r>
              <w:rPr>
                <w:rFonts w:ascii="Times New Roman" w:cs="Times New Roman" w:eastAsia="Times New Roman" w:hAnsi="Times New Roman"/>
                <w:sz w:val="18"/>
                <w:szCs w:val="18"/>
                <w:color w:val="0000FF"/>
              </w:rPr>
              <w:t>Unaudited Condensed Consolidated Financial Statements</w:t>
            </w:r>
          </w:p>
        </w:tc>
        <w:tc>
          <w:tcPr>
            <w:tcW w:w="100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32"/>
        </w:trPr>
        <w:tc>
          <w:tcPr>
            <w:tcW w:w="50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8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6"/>
              </w:rPr>
              <w:t>Condensed Consolidated Balance Sheets</w:t>
            </w:r>
          </w:p>
        </w:tc>
        <w:tc>
          <w:tcPr>
            <w:tcW w:w="1020" w:type="dxa"/>
            <w:vAlign w:val="bottom"/>
            <w:tcBorders>
              <w:top w:val="single" w:sz="8" w:color="0000FF"/>
            </w:tcBorders>
            <w:gridSpan w:val="2"/>
          </w:tcPr>
          <w:p>
            <w:pPr>
              <w:spacing w:after="0"/>
              <w:rPr>
                <w:sz w:val="20"/>
                <w:szCs w:val="20"/>
                <w:color w:val="auto"/>
              </w:rPr>
            </w:pPr>
          </w:p>
        </w:tc>
        <w:tc>
          <w:tcPr>
            <w:tcW w:w="4860" w:type="dxa"/>
            <w:vAlign w:val="bottom"/>
            <w:gridSpan w:val="6"/>
          </w:tcPr>
          <w:p>
            <w:pPr>
              <w:spacing w:after="0"/>
              <w:rPr>
                <w:sz w:val="20"/>
                <w:szCs w:val="20"/>
                <w:color w:val="auto"/>
              </w:rPr>
            </w:pPr>
          </w:p>
        </w:tc>
        <w:tc>
          <w:tcPr>
            <w:tcW w:w="100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32"/>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Operations and Comprehensive Loss</w:t>
            </w:r>
          </w:p>
        </w:tc>
        <w:tc>
          <w:tcPr>
            <w:tcW w:w="3340" w:type="dxa"/>
            <w:vAlign w:val="bottom"/>
            <w:gridSpan w:val="3"/>
          </w:tcPr>
          <w:p>
            <w:pPr>
              <w:spacing w:after="0"/>
              <w:rPr>
                <w:sz w:val="20"/>
                <w:szCs w:val="20"/>
                <w:color w:val="auto"/>
              </w:rPr>
            </w:pPr>
          </w:p>
        </w:tc>
        <w:tc>
          <w:tcPr>
            <w:tcW w:w="100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32"/>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 of Redeemable Convertible Preferred Stock and Stockholders' Equity (Deficit)</w:t>
            </w:r>
          </w:p>
        </w:tc>
        <w:tc>
          <w:tcPr>
            <w:tcW w:w="100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32"/>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8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660" w:type="dxa"/>
            <w:vAlign w:val="bottom"/>
          </w:tcPr>
          <w:p>
            <w:pPr>
              <w:spacing w:after="0"/>
              <w:rPr>
                <w:sz w:val="20"/>
                <w:szCs w:val="20"/>
                <w:color w:val="auto"/>
              </w:rPr>
            </w:pPr>
          </w:p>
        </w:tc>
        <w:tc>
          <w:tcPr>
            <w:tcW w:w="100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vMerge w:val="restart"/>
          </w:tcPr>
          <w:p>
            <w:pPr>
              <w:jc w:val="center"/>
              <w:ind w:left="532"/>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line="20" w:lineRule="exact"/>
              <w:rPr>
                <w:sz w:val="1"/>
                <w:szCs w:val="1"/>
                <w:color w:val="auto"/>
              </w:rPr>
            </w:pPr>
          </w:p>
        </w:tc>
      </w:tr>
      <w:tr>
        <w:trPr>
          <w:trHeight w:val="35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8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FF"/>
                <w:w w:val="97"/>
              </w:rPr>
              <w:t>Notes to Unaudited Condensed Consolidated Financial Statements</w:t>
            </w:r>
          </w:p>
        </w:tc>
        <w:tc>
          <w:tcPr>
            <w:tcW w:w="4060" w:type="dxa"/>
            <w:vAlign w:val="bottom"/>
            <w:gridSpan w:val="4"/>
            <w:vMerge w:val="restart"/>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80" w:type="dxa"/>
            <w:vAlign w:val="bottom"/>
            <w:tcBorders>
              <w:bottom w:val="single" w:sz="8" w:color="0000FF"/>
            </w:tcBorders>
            <w:gridSpan w:val="12"/>
            <w:vMerge w:val="continue"/>
          </w:tcPr>
          <w:p>
            <w:pPr>
              <w:spacing w:after="0"/>
              <w:rPr>
                <w:sz w:val="4"/>
                <w:szCs w:val="4"/>
                <w:color w:val="auto"/>
              </w:rPr>
            </w:pPr>
          </w:p>
        </w:tc>
        <w:tc>
          <w:tcPr>
            <w:tcW w:w="406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2.</w:t>
            </w:r>
          </w:p>
        </w:tc>
        <w:tc>
          <w:tcPr>
            <w:tcW w:w="240" w:type="dxa"/>
            <w:vAlign w:val="bottom"/>
            <w:gridSpan w:val="2"/>
          </w:tcPr>
          <w:p>
            <w:pPr>
              <w:spacing w:after="0"/>
              <w:rPr>
                <w:sz w:val="20"/>
                <w:szCs w:val="20"/>
                <w:color w:val="auto"/>
              </w:rPr>
            </w:pPr>
          </w:p>
        </w:tc>
        <w:tc>
          <w:tcPr>
            <w:tcW w:w="9260" w:type="dxa"/>
            <w:vAlign w:val="bottom"/>
            <w:gridSpan w:val="18"/>
          </w:tcPr>
          <w:p>
            <w:pPr>
              <w:ind w:left="34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0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2060" w:type="dxa"/>
            <w:vAlign w:val="bottom"/>
            <w:tcBorders>
              <w:left w:val="single" w:sz="8" w:color="0000FF"/>
            </w:tcBorders>
            <w:gridSpan w:val="3"/>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3.</w:t>
            </w:r>
          </w:p>
        </w:tc>
        <w:tc>
          <w:tcPr>
            <w:tcW w:w="240" w:type="dxa"/>
            <w:vAlign w:val="bottom"/>
            <w:gridSpan w:val="2"/>
          </w:tcPr>
          <w:p>
            <w:pPr>
              <w:spacing w:after="0"/>
              <w:rPr>
                <w:sz w:val="20"/>
                <w:szCs w:val="20"/>
                <w:color w:val="auto"/>
              </w:rPr>
            </w:pPr>
          </w:p>
        </w:tc>
        <w:tc>
          <w:tcPr>
            <w:tcW w:w="9260" w:type="dxa"/>
            <w:vAlign w:val="bottom"/>
            <w:gridSpan w:val="18"/>
          </w:tcPr>
          <w:p>
            <w:pPr>
              <w:ind w:left="34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0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4660" w:type="dxa"/>
            <w:vAlign w:val="bottom"/>
            <w:tcBorders>
              <w:left w:val="single" w:sz="8" w:color="0000FF"/>
            </w:tcBorders>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4.</w:t>
            </w:r>
          </w:p>
        </w:tc>
        <w:tc>
          <w:tcPr>
            <w:tcW w:w="240" w:type="dxa"/>
            <w:vAlign w:val="bottom"/>
            <w:gridSpan w:val="2"/>
          </w:tcPr>
          <w:p>
            <w:pPr>
              <w:spacing w:after="0"/>
              <w:rPr>
                <w:sz w:val="20"/>
                <w:szCs w:val="20"/>
                <w:color w:val="auto"/>
              </w:rPr>
            </w:pPr>
          </w:p>
        </w:tc>
        <w:tc>
          <w:tcPr>
            <w:tcW w:w="9260" w:type="dxa"/>
            <w:vAlign w:val="bottom"/>
            <w:gridSpan w:val="18"/>
          </w:tcPr>
          <w:p>
            <w:pPr>
              <w:ind w:left="34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0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100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1.</w:t>
            </w:r>
          </w:p>
        </w:tc>
        <w:tc>
          <w:tcPr>
            <w:tcW w:w="240" w:type="dxa"/>
            <w:vAlign w:val="bottom"/>
            <w:gridSpan w:val="2"/>
          </w:tcPr>
          <w:p>
            <w:pPr>
              <w:spacing w:after="0"/>
              <w:rPr>
                <w:sz w:val="20"/>
                <w:szCs w:val="20"/>
                <w:color w:val="auto"/>
              </w:rPr>
            </w:pPr>
          </w:p>
        </w:tc>
        <w:tc>
          <w:tcPr>
            <w:tcW w:w="9260" w:type="dxa"/>
            <w:vAlign w:val="bottom"/>
            <w:gridSpan w:val="18"/>
          </w:tcPr>
          <w:p>
            <w:pPr>
              <w:ind w:left="340"/>
              <w:spacing w:after="0"/>
              <w:rPr>
                <w:sz w:val="20"/>
                <w:szCs w:val="20"/>
                <w:color w:val="auto"/>
              </w:rPr>
            </w:pPr>
            <w:r>
              <w:rPr>
                <w:rFonts w:ascii="Times New Roman" w:cs="Times New Roman" w:eastAsia="Times New Roman" w:hAnsi="Times New Roman"/>
                <w:sz w:val="18"/>
                <w:szCs w:val="18"/>
                <w:color w:val="0000FF"/>
              </w:rPr>
              <w:t>Legal Proceedings</w:t>
            </w:r>
          </w:p>
        </w:tc>
        <w:tc>
          <w:tcPr>
            <w:tcW w:w="100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100" w:type="dxa"/>
            <w:vAlign w:val="bottom"/>
          </w:tcPr>
          <w:p>
            <w:pPr>
              <w:spacing w:after="0"/>
              <w:rPr>
                <w:sz w:val="20"/>
                <w:szCs w:val="20"/>
                <w:color w:val="auto"/>
              </w:rPr>
            </w:pPr>
          </w:p>
        </w:tc>
        <w:tc>
          <w:tcPr>
            <w:tcW w:w="9260" w:type="dxa"/>
            <w:vAlign w:val="bottom"/>
            <w:gridSpan w:val="18"/>
          </w:tcPr>
          <w:p>
            <w:pPr>
              <w:ind w:left="340"/>
              <w:spacing w:after="0"/>
              <w:rPr>
                <w:sz w:val="20"/>
                <w:szCs w:val="20"/>
                <w:color w:val="auto"/>
              </w:rPr>
            </w:pPr>
            <w:r>
              <w:rPr>
                <w:rFonts w:ascii="Times New Roman" w:cs="Times New Roman" w:eastAsia="Times New Roman" w:hAnsi="Times New Roman"/>
                <w:sz w:val="18"/>
                <w:szCs w:val="18"/>
                <w:color w:val="0000FF"/>
              </w:rPr>
              <w:t>Risk Factors</w:t>
            </w:r>
          </w:p>
        </w:tc>
        <w:tc>
          <w:tcPr>
            <w:tcW w:w="100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60" w:type="dxa"/>
            <w:vAlign w:val="bottom"/>
            <w:gridSpan w:val="18"/>
          </w:tcPr>
          <w:p>
            <w:pPr>
              <w:ind w:left="34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0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3.</w:t>
            </w:r>
          </w:p>
        </w:tc>
        <w:tc>
          <w:tcPr>
            <w:tcW w:w="240" w:type="dxa"/>
            <w:vAlign w:val="bottom"/>
            <w:gridSpan w:val="2"/>
          </w:tcPr>
          <w:p>
            <w:pPr>
              <w:spacing w:after="0"/>
              <w:rPr>
                <w:sz w:val="20"/>
                <w:szCs w:val="20"/>
                <w:color w:val="auto"/>
              </w:rPr>
            </w:pPr>
          </w:p>
        </w:tc>
        <w:tc>
          <w:tcPr>
            <w:tcW w:w="9260" w:type="dxa"/>
            <w:vAlign w:val="bottom"/>
            <w:gridSpan w:val="18"/>
          </w:tcPr>
          <w:p>
            <w:pPr>
              <w:ind w:left="34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00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4.</w:t>
            </w:r>
          </w:p>
        </w:tc>
        <w:tc>
          <w:tcPr>
            <w:tcW w:w="240" w:type="dxa"/>
            <w:vAlign w:val="bottom"/>
            <w:gridSpan w:val="2"/>
          </w:tcPr>
          <w:p>
            <w:pPr>
              <w:spacing w:after="0"/>
              <w:rPr>
                <w:sz w:val="20"/>
                <w:szCs w:val="20"/>
                <w:color w:val="auto"/>
              </w:rPr>
            </w:pPr>
          </w:p>
        </w:tc>
        <w:tc>
          <w:tcPr>
            <w:tcW w:w="9260" w:type="dxa"/>
            <w:vAlign w:val="bottom"/>
            <w:gridSpan w:val="18"/>
          </w:tcPr>
          <w:p>
            <w:pPr>
              <w:ind w:left="34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0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180" w:type="dxa"/>
            <w:vAlign w:val="bottom"/>
            <w:gridSpan w:val="11"/>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5.</w:t>
            </w:r>
          </w:p>
        </w:tc>
        <w:tc>
          <w:tcPr>
            <w:tcW w:w="240" w:type="dxa"/>
            <w:vAlign w:val="bottom"/>
            <w:gridSpan w:val="2"/>
          </w:tcPr>
          <w:p>
            <w:pPr>
              <w:spacing w:after="0"/>
              <w:rPr>
                <w:sz w:val="20"/>
                <w:szCs w:val="20"/>
                <w:color w:val="auto"/>
              </w:rPr>
            </w:pPr>
          </w:p>
        </w:tc>
        <w:tc>
          <w:tcPr>
            <w:tcW w:w="9260" w:type="dxa"/>
            <w:vAlign w:val="bottom"/>
            <w:gridSpan w:val="18"/>
          </w:tcPr>
          <w:p>
            <w:pPr>
              <w:ind w:left="340"/>
              <w:spacing w:after="0"/>
              <w:rPr>
                <w:sz w:val="20"/>
                <w:szCs w:val="20"/>
                <w:color w:val="auto"/>
              </w:rPr>
            </w:pPr>
            <w:r>
              <w:rPr>
                <w:rFonts w:ascii="Times New Roman" w:cs="Times New Roman" w:eastAsia="Times New Roman" w:hAnsi="Times New Roman"/>
                <w:sz w:val="18"/>
                <w:szCs w:val="18"/>
                <w:color w:val="0000FF"/>
              </w:rPr>
              <w:t>Other Information</w:t>
            </w:r>
          </w:p>
        </w:tc>
        <w:tc>
          <w:tcPr>
            <w:tcW w:w="100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640" w:type="dxa"/>
            <w:vAlign w:val="bottom"/>
            <w:gridSpan w:val="1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6.</w:t>
            </w:r>
          </w:p>
        </w:tc>
        <w:tc>
          <w:tcPr>
            <w:tcW w:w="240" w:type="dxa"/>
            <w:vAlign w:val="bottom"/>
            <w:gridSpan w:val="2"/>
          </w:tcPr>
          <w:p>
            <w:pPr>
              <w:spacing w:after="0"/>
              <w:rPr>
                <w:sz w:val="20"/>
                <w:szCs w:val="20"/>
                <w:color w:val="auto"/>
              </w:rPr>
            </w:pPr>
          </w:p>
        </w:tc>
        <w:tc>
          <w:tcPr>
            <w:tcW w:w="9260" w:type="dxa"/>
            <w:vAlign w:val="bottom"/>
            <w:gridSpan w:val="18"/>
          </w:tcPr>
          <w:p>
            <w:pPr>
              <w:ind w:left="340"/>
              <w:spacing w:after="0"/>
              <w:rPr>
                <w:sz w:val="20"/>
                <w:szCs w:val="20"/>
                <w:color w:val="auto"/>
              </w:rPr>
            </w:pPr>
            <w:r>
              <w:rPr>
                <w:rFonts w:ascii="Times New Roman" w:cs="Times New Roman" w:eastAsia="Times New Roman" w:hAnsi="Times New Roman"/>
                <w:sz w:val="18"/>
                <w:szCs w:val="18"/>
                <w:color w:val="0000FF"/>
              </w:rPr>
              <w:t>Exhibits</w:t>
            </w:r>
          </w:p>
        </w:tc>
        <w:tc>
          <w:tcPr>
            <w:tcW w:w="100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4"/>
              </w:rPr>
              <w:t>Signatures</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88"/>
              </w:rPr>
              <w:t>111</w:t>
            </w:r>
          </w:p>
        </w:tc>
        <w:tc>
          <w:tcPr>
            <w:tcW w:w="0" w:type="dxa"/>
            <w:vAlign w:val="bottom"/>
          </w:tcPr>
          <w:p>
            <w:pPr>
              <w:spacing w:after="0"/>
              <w:rPr>
                <w:sz w:val="1"/>
                <w:szCs w:val="1"/>
                <w:color w:val="auto"/>
              </w:rPr>
            </w:pPr>
          </w:p>
        </w:tc>
      </w:tr>
    </w:tbl>
    <w:p>
      <w:pPr>
        <w:sectPr>
          <w:pgSz w:w="11900" w:h="16838" w:orient="portrait"/>
          <w:cols w:equalWidth="0" w:num="1">
            <w:col w:w="11000"/>
          </w:cols>
          <w:pgMar w:left="340" w:top="1086" w:right="559" w:bottom="1440" w:gutter="0" w:footer="0" w:header="0"/>
        </w:sectPr>
      </w:pPr>
    </w:p>
    <w:bookmarkStart w:id="4" w:name="page5"/>
    <w:bookmarkEnd w:id="4"/>
    <w:p>
      <w:pPr>
        <w:ind w:left="500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stated in this report or the context otherwise requires, references to:</w:t>
      </w:r>
    </w:p>
    <w:p>
      <w:pPr>
        <w:spacing w:after="0" w:line="45" w:lineRule="exact"/>
        <w:rPr>
          <w:sz w:val="20"/>
          <w:szCs w:val="20"/>
          <w:color w:val="auto"/>
        </w:rPr>
      </w:pPr>
    </w:p>
    <w:p>
      <w:pPr>
        <w:jc w:val="both"/>
        <w:ind w:left="640" w:hanging="316"/>
        <w:spacing w:after="0" w:line="244" w:lineRule="auto"/>
        <w:tabs>
          <w:tab w:leader="none" w:pos="63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color w:val="auto"/>
        </w:rPr>
        <w:t>the “Company,” “Sema4” and “we,” “us” and “our” refer to (i) Mount Sinai Genomics, Inc. d/b/a as Sema4, or Legacy Sema4, prior to the consummation of our business combination with CM Life Sciences, Inc., or CMLS, on July 22, 2021 and (ii) Sema4 Holdings Corp. and its consolidated subsidiaries following the consummation of our business combination.</w:t>
      </w:r>
    </w:p>
    <w:p>
      <w:pPr>
        <w:spacing w:after="0" w:line="22" w:lineRule="exact"/>
        <w:rPr>
          <w:rFonts w:ascii="Arial" w:cs="Arial" w:eastAsia="Arial" w:hAnsi="Arial"/>
          <w:sz w:val="21"/>
          <w:szCs w:val="21"/>
          <w:color w:val="auto"/>
        </w:rPr>
      </w:pPr>
    </w:p>
    <w:p>
      <w:pPr>
        <w:ind w:left="640" w:hanging="316"/>
        <w:spacing w:after="0" w:line="237" w:lineRule="auto"/>
        <w:tabs>
          <w:tab w:leader="none" w:pos="63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color w:val="auto"/>
        </w:rPr>
        <w:t>“GeneDx” refer to GeneDx, LLC, a Delaware limited liability company (formerly, GeneDx, Inc., a New Jersey corporation), which we acquired on April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8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93"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42" w:lineRule="exact"/>
        <w:rPr>
          <w:sz w:val="20"/>
          <w:szCs w:val="20"/>
          <w:color w:val="auto"/>
        </w:rPr>
      </w:pPr>
    </w:p>
    <w:p>
      <w:pPr>
        <w:ind w:left="1280" w:right="540" w:hanging="638"/>
        <w:spacing w:after="0" w:line="237" w:lineRule="auto"/>
        <w:tabs>
          <w:tab w:leader="none" w:pos="1275" w:val="left"/>
        </w:tabs>
        <w:numPr>
          <w:ilvl w:val="0"/>
          <w:numId w:val="4"/>
        </w:numPr>
        <w:rPr>
          <w:rFonts w:ascii="Arial" w:cs="Arial" w:eastAsia="Arial" w:hAnsi="Arial"/>
          <w:sz w:val="21"/>
          <w:szCs w:val="21"/>
          <w:color w:val="auto"/>
        </w:rPr>
      </w:pPr>
      <w:r>
        <w:rPr>
          <w:rFonts w:ascii="Times New Roman" w:cs="Times New Roman" w:eastAsia="Times New Roman" w:hAnsi="Times New Roman"/>
          <w:sz w:val="18"/>
          <w:szCs w:val="18"/>
          <w:color w:val="auto"/>
        </w:rPr>
        <w:t>our estimates of the sufficiency of our existing capital resources combined with future anticipated cash flows to finance our operating requirements</w:t>
      </w: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losses;</w:t>
      </w:r>
    </w:p>
    <w:p>
      <w:pPr>
        <w:spacing w:after="0" w:line="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incurring capital expenditures</w:t>
      </w:r>
    </w:p>
    <w:p>
      <w:pPr>
        <w:spacing w:after="0" w:line="24" w:lineRule="exact"/>
        <w:rPr>
          <w:rFonts w:ascii="Times New Roman" w:cs="Times New Roman" w:eastAsia="Times New Roman" w:hAnsi="Times New Roman"/>
          <w:sz w:val="18"/>
          <w:szCs w:val="18"/>
          <w:color w:val="auto"/>
        </w:rPr>
      </w:pPr>
    </w:p>
    <w:p>
      <w:pPr>
        <w:ind w:left="1280" w:right="560" w:hanging="638"/>
        <w:spacing w:after="0" w:line="253" w:lineRule="auto"/>
        <w:tabs>
          <w:tab w:leader="none" w:pos="1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circumstances or other disruptions to normal business operations, including supply chain interruptions and manufacturing constraints, arising from or related to the ongoing COVID-19 pandemic;</w:t>
      </w:r>
    </w:p>
    <w:p>
      <w:pPr>
        <w:ind w:left="1280" w:hanging="638"/>
        <w:spacing w:after="0" w:line="237" w:lineRule="auto"/>
        <w:tabs>
          <w:tab w:leader="none" w:pos="128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8"/>
          <w:szCs w:val="18"/>
          <w:color w:val="auto"/>
        </w:rPr>
        <w:t>our ability to realize the benefits expected from our April 2022 acquisition of GeneDx;</w:t>
      </w:r>
    </w:p>
    <w:p>
      <w:pPr>
        <w:spacing w:after="0" w:line="33" w:lineRule="exact"/>
        <w:rPr>
          <w:rFonts w:ascii="Arial" w:cs="Arial" w:eastAsia="Arial" w:hAnsi="Arial"/>
          <w:sz w:val="21"/>
          <w:szCs w:val="21"/>
          <w:color w:val="auto"/>
        </w:rPr>
      </w:pPr>
    </w:p>
    <w:p>
      <w:pPr>
        <w:ind w:left="1280" w:right="420" w:hanging="638"/>
        <w:spacing w:after="0" w:line="244" w:lineRule="auto"/>
        <w:tabs>
          <w:tab w:leader="none" w:pos="1275" w:val="left"/>
        </w:tabs>
        <w:numPr>
          <w:ilvl w:val="0"/>
          <w:numId w:val="4"/>
        </w:numPr>
        <w:rPr>
          <w:rFonts w:ascii="Arial" w:cs="Arial" w:eastAsia="Arial" w:hAnsi="Arial"/>
          <w:sz w:val="21"/>
          <w:szCs w:val="21"/>
          <w:color w:val="auto"/>
        </w:rPr>
      </w:pPr>
      <w:r>
        <w:rPr>
          <w:rFonts w:ascii="Times New Roman" w:cs="Times New Roman" w:eastAsia="Times New Roman" w:hAnsi="Times New Roman"/>
          <w:sz w:val="18"/>
          <w:szCs w:val="18"/>
          <w:color w:val="auto"/>
        </w:rPr>
        <w:t>our expectations regarding our plans to exit our somatic tumor testing business and the associated cost savings and impact on our gross margins;</w:t>
      </w: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generating revenue or becoming profitable on a sustained basis;</w:t>
      </w:r>
    </w:p>
    <w:p>
      <w:pPr>
        <w:spacing w:after="0" w:line="18"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service, collaboration and other partnership agreements;</w:t>
      </w:r>
    </w:p>
    <w:p>
      <w:pPr>
        <w:spacing w:after="0" w:line="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build our own commercial infrastructure to scale market and sell our products;</w:t>
      </w:r>
    </w:p>
    <w:p>
      <w:pPr>
        <w:spacing w:after="0" w:line="24"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or authorizations by the U.S. Food and Drug Administration, or the FDA, or other regulatory authorities;</w:t>
      </w:r>
    </w:p>
    <w:p>
      <w:pPr>
        <w:spacing w:after="0" w:line="18" w:lineRule="exact"/>
        <w:rPr>
          <w:rFonts w:ascii="Times New Roman" w:cs="Times New Roman" w:eastAsia="Times New Roman" w:hAnsi="Times New Roman"/>
          <w:sz w:val="18"/>
          <w:szCs w:val="18"/>
          <w:color w:val="auto"/>
        </w:rPr>
      </w:pPr>
    </w:p>
    <w:p>
      <w:pPr>
        <w:ind w:left="1280" w:right="480" w:hanging="638"/>
        <w:spacing w:after="0" w:line="253" w:lineRule="auto"/>
        <w:tabs>
          <w:tab w:leader="none" w:pos="1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governmental regulation and other legal obligations, including privacy, data protection, information security, consumer protection, and anti-corruption and anti-bribery;</w:t>
      </w: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against existing and emerging technologies;</w:t>
      </w:r>
    </w:p>
    <w:p>
      <w:pPr>
        <w:spacing w:after="0" w:line="24"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and its volatility;</w:t>
      </w:r>
    </w:p>
    <w:p>
      <w:pPr>
        <w:spacing w:after="0" w:line="18"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payor reimbursement and coverage decisions, negotiations and settlements;</w:t>
      </w:r>
    </w:p>
    <w:p>
      <w:pPr>
        <w:spacing w:after="0" w:line="24" w:lineRule="exact"/>
        <w:rPr>
          <w:rFonts w:ascii="Times New Roman" w:cs="Times New Roman" w:eastAsia="Times New Roman" w:hAnsi="Times New Roman"/>
          <w:sz w:val="18"/>
          <w:szCs w:val="18"/>
          <w:color w:val="auto"/>
        </w:rPr>
      </w:pPr>
    </w:p>
    <w:p>
      <w:pPr>
        <w:ind w:left="1280" w:right="560" w:hanging="638"/>
        <w:spacing w:after="0" w:line="253" w:lineRule="auto"/>
        <w:tabs>
          <w:tab w:leader="none" w:pos="1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laboratories and service providers for our test volume in connection with our diagnostic solutions and data programs;</w:t>
      </w: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Nasdaq listing rules;</w:t>
      </w:r>
    </w:p>
    <w:p>
      <w:pPr>
        <w:spacing w:after="0" w:line="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future capital requirements;</w:t>
      </w:r>
    </w:p>
    <w:p>
      <w:pPr>
        <w:spacing w:after="0" w:line="11" w:lineRule="exact"/>
        <w:rPr>
          <w:rFonts w:ascii="Times New Roman" w:cs="Times New Roman" w:eastAsia="Times New Roman" w:hAnsi="Times New Roman"/>
          <w:sz w:val="18"/>
          <w:szCs w:val="18"/>
          <w:color w:val="auto"/>
        </w:rPr>
      </w:pPr>
    </w:p>
    <w:p>
      <w:pPr>
        <w:ind w:left="1280" w:right="500" w:hanging="638"/>
        <w:spacing w:after="0" w:line="237" w:lineRule="auto"/>
        <w:tabs>
          <w:tab w:leader="none" w:pos="1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estimates, including the adequacy of our reserves for third party payor claims and our estimates of the fair value of the milestone payments related to the GeneDx acquisition; and</w:t>
      </w:r>
    </w:p>
    <w:p>
      <w:pPr>
        <w:spacing w:after="0" w:line="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business strategy.</w:t>
      </w:r>
    </w:p>
    <w:p>
      <w:pPr>
        <w:spacing w:after="0" w:line="17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3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7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Condensed Consolidated Financial Statements</w:t>
      </w:r>
    </w:p>
    <w:p>
      <w:pPr>
        <w:spacing w:after="0" w:line="200" w:lineRule="exact"/>
        <w:rPr>
          <w:sz w:val="20"/>
          <w:szCs w:val="20"/>
          <w:color w:val="auto"/>
        </w:rPr>
      </w:pPr>
    </w:p>
    <w:p>
      <w:pPr>
        <w:spacing w:after="0" w:line="23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139"/>
          </w:cols>
          <w:pgMar w:left="320" w:top="134"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1"/>
        </w:trPr>
        <w:tc>
          <w:tcPr>
            <w:tcW w:w="8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284,647</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400,569</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26,509</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from related parties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33,456</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19,154</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7,993</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402,701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483,544</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62,719</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193,663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181,184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0" w:type="dxa"/>
            <w:vAlign w:val="bottom"/>
          </w:tcPr>
          <w:p>
            <w:pPr>
              <w:spacing w:after="0"/>
              <w:rPr>
                <w:sz w:val="1"/>
                <w:szCs w:val="1"/>
                <w:color w:val="auto"/>
              </w:rPr>
            </w:pPr>
          </w:p>
        </w:tc>
      </w:tr>
      <w:tr>
        <w:trPr>
          <w:trHeight w:val="218"/>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933,280</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554,093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115,878</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64,801</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to related parties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81,619</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33,387</w:t>
            </w:r>
          </w:p>
        </w:tc>
        <w:tc>
          <w:tcPr>
            <w:tcW w:w="0" w:type="dxa"/>
            <w:vAlign w:val="bottom"/>
          </w:tcPr>
          <w:p>
            <w:pPr>
              <w:spacing w:after="0"/>
              <w:rPr>
                <w:sz w:val="1"/>
                <w:szCs w:val="1"/>
                <w:color w:val="auto"/>
              </w:rPr>
            </w:pPr>
          </w:p>
        </w:tc>
      </w:tr>
      <w:tr>
        <w:trPr>
          <w:trHeight w:val="218"/>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204,606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101,284</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21,907</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21,555</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Earn-out contingent liabilities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296,006</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165,990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180" w:type="dxa"/>
            <w:vAlign w:val="bottom"/>
          </w:tcPr>
          <w:p>
            <w:pPr>
              <w:ind w:left="180"/>
              <w:spacing w:after="0" w:line="172" w:lineRule="exact"/>
              <w:rPr>
                <w:sz w:val="20"/>
                <w:szCs w:val="20"/>
                <w:color w:val="auto"/>
              </w:rPr>
            </w:pPr>
            <w:r>
              <w:rPr>
                <w:rFonts w:ascii="Times New Roman" w:cs="Times New Roman" w:eastAsia="Times New Roman" w:hAnsi="Times New Roman"/>
                <w:sz w:val="18"/>
                <w:szCs w:val="18"/>
                <w:color w:val="auto"/>
                <w:w w:val="98"/>
              </w:rPr>
              <w:t>Preferred Stock, $0.0001 par value: 1,000,000 and 0 shares authorized at June 30, 2022 and December 31, 2021,</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 0 shares issued and outstanding at June 30, 2022 and December 31, 2021, respectively</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818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8"/>
                <w:szCs w:val="18"/>
                <w:color w:val="auto"/>
              </w:rPr>
              <w:t>Class A common stock, $0.0001 par value, 1,000,000,000 shares authorized, 379,896,799 shares issued and</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180" w:type="dxa"/>
            <w:vAlign w:val="bottom"/>
            <w:shd w:val="clear" w:color="auto" w:fill="CCEEFF"/>
          </w:tcPr>
          <w:p>
            <w:pPr>
              <w:ind w:left="340"/>
              <w:spacing w:after="0" w:line="181" w:lineRule="exact"/>
              <w:rPr>
                <w:sz w:val="20"/>
                <w:szCs w:val="20"/>
                <w:color w:val="auto"/>
              </w:rPr>
            </w:pPr>
            <w:r>
              <w:rPr>
                <w:rFonts w:ascii="Times New Roman" w:cs="Times New Roman" w:eastAsia="Times New Roman" w:hAnsi="Times New Roman"/>
                <w:sz w:val="18"/>
                <w:szCs w:val="18"/>
                <w:color w:val="auto"/>
              </w:rPr>
              <w:t>outstanding at June 30, 2022 and $0.0001 par value: 380,000,000 shares authorized, 242,647,604 shares</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 and outstanding at December 31, 2021</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1,375,315</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963,520</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(738,079)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(575,441)</w:t>
            </w:r>
          </w:p>
        </w:tc>
        <w:tc>
          <w:tcPr>
            <w:tcW w:w="0" w:type="dxa"/>
            <w:vAlign w:val="bottom"/>
          </w:tcPr>
          <w:p>
            <w:pPr>
              <w:spacing w:after="0"/>
              <w:rPr>
                <w:sz w:val="1"/>
                <w:szCs w:val="1"/>
                <w:color w:val="auto"/>
              </w:rPr>
            </w:pPr>
          </w:p>
        </w:tc>
      </w:tr>
      <w:tr>
        <w:trPr>
          <w:trHeight w:val="219"/>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637,274</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388,103</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933,280</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554,093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3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42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58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 (1)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 (1)</w:t>
            </w:r>
          </w:p>
        </w:tc>
      </w:tr>
      <w:tr>
        <w:trPr>
          <w:trHeight w:val="21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72"/>
        </w:trPr>
        <w:tc>
          <w:tcPr>
            <w:tcW w:w="5860" w:type="dxa"/>
            <w:vAlign w:val="bottom"/>
          </w:tcPr>
          <w:p>
            <w:pPr>
              <w:ind w:left="180"/>
              <w:spacing w:after="0" w:line="172" w:lineRule="exact"/>
              <w:rPr>
                <w:sz w:val="20"/>
                <w:szCs w:val="20"/>
                <w:color w:val="auto"/>
              </w:rPr>
            </w:pPr>
            <w:r>
              <w:rPr>
                <w:rFonts w:ascii="Times New Roman" w:cs="Times New Roman" w:eastAsia="Times New Roman" w:hAnsi="Times New Roman"/>
                <w:sz w:val="18"/>
                <w:szCs w:val="18"/>
                <w:color w:val="auto"/>
              </w:rPr>
              <w:t>Diagnostic test revenue (including related party revenue of $413 and $37 for</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0"/>
        </w:trPr>
        <w:tc>
          <w:tcPr>
            <w:tcW w:w="586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the three months ended and $583 and $70 for the six months ended June 30,</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0"/>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2022 and 2021, respectively)</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34,004</w:t>
            </w:r>
          </w:p>
        </w:tc>
        <w:tc>
          <w:tcPr>
            <w:tcW w:w="8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44,803</w:t>
            </w:r>
          </w:p>
        </w:tc>
        <w:tc>
          <w:tcPr>
            <w:tcW w:w="8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86,499</w:t>
            </w:r>
          </w:p>
        </w:tc>
        <w:tc>
          <w:tcPr>
            <w:tcW w:w="8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107,563</w:t>
            </w:r>
          </w:p>
        </w:tc>
      </w:tr>
      <w:tr>
        <w:trPr>
          <w:trHeight w:val="172"/>
        </w:trPr>
        <w:tc>
          <w:tcPr>
            <w:tcW w:w="586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8"/>
                <w:szCs w:val="18"/>
                <w:color w:val="auto"/>
              </w:rPr>
              <w:t>Other revenue (including related party revenue of $73 and $62 for the three</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0"/>
        </w:trPr>
        <w:tc>
          <w:tcPr>
            <w:tcW w:w="5860" w:type="dxa"/>
            <w:vAlign w:val="bottom"/>
            <w:shd w:val="clear" w:color="auto" w:fill="CCEEFF"/>
          </w:tcPr>
          <w:p>
            <w:pPr>
              <w:ind w:left="340"/>
              <w:spacing w:after="0" w:line="181" w:lineRule="exact"/>
              <w:rPr>
                <w:sz w:val="20"/>
                <w:szCs w:val="20"/>
                <w:color w:val="auto"/>
              </w:rPr>
            </w:pPr>
            <w:r>
              <w:rPr>
                <w:rFonts w:ascii="Times New Roman" w:cs="Times New Roman" w:eastAsia="Times New Roman" w:hAnsi="Times New Roman"/>
                <w:sz w:val="18"/>
                <w:szCs w:val="18"/>
                <w:color w:val="auto"/>
              </w:rPr>
              <w:t>months and $147 and $89 for the six months ended June 30, 2022 and 2021,</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30"/>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r>
      <w:tr>
        <w:trPr>
          <w:trHeight w:val="219"/>
        </w:trPr>
        <w:tc>
          <w:tcPr>
            <w:tcW w:w="58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47,015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90,110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111,216</w:t>
            </w:r>
          </w:p>
        </w:tc>
      </w:tr>
      <w:tr>
        <w:trPr>
          <w:trHeight w:val="152"/>
        </w:trPr>
        <w:tc>
          <w:tcPr>
            <w:tcW w:w="586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Cost of services (including related party expenses of $1,348 and $1,008 for the</w:t>
            </w: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0"/>
        </w:trPr>
        <w:tc>
          <w:tcPr>
            <w:tcW w:w="58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three months ended and $2,404 and $1,286 for the six months ended June 30,</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30"/>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 and 2021, respectively)</w:t>
            </w:r>
          </w:p>
        </w:tc>
        <w:tc>
          <w:tcPr>
            <w:tcW w:w="2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65,767</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48,179</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114,083</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116,703</w:t>
            </w:r>
          </w:p>
        </w:tc>
      </w:tr>
      <w:tr>
        <w:trPr>
          <w:trHeight w:val="218"/>
        </w:trPr>
        <w:tc>
          <w:tcPr>
            <w:tcW w:w="58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Gross profit (loss)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(5,487)</w:t>
            </w:r>
          </w:p>
        </w:tc>
      </w:tr>
      <w:tr>
        <w:trPr>
          <w:trHeight w:val="21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65,085</w:t>
            </w:r>
          </w:p>
        </w:tc>
      </w:tr>
      <w:tr>
        <w:trPr>
          <w:trHeight w:val="225"/>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65,665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53,940</w:t>
            </w:r>
          </w:p>
        </w:tc>
      </w:tr>
      <w:tr>
        <w:trPr>
          <w:trHeight w:val="225"/>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110,818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114,908</w:t>
            </w:r>
          </w:p>
        </w:tc>
      </w:tr>
      <w:tr>
        <w:trPr>
          <w:trHeight w:val="225"/>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party expenses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w:t>
            </w:r>
          </w:p>
        </w:tc>
      </w:tr>
      <w:tr>
        <w:trPr>
          <w:trHeight w:val="218"/>
        </w:trPr>
        <w:tc>
          <w:tcPr>
            <w:tcW w:w="5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(162,649)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(251,954)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(242,105)</w:t>
            </w:r>
          </w:p>
        </w:tc>
      </w:tr>
      <w:tr>
        <w:trPr>
          <w:trHeight w:val="192"/>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5"/>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market value of warrant and earn-out contingent liabilities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5"/>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r>
      <w:tr>
        <w:trPr>
          <w:trHeight w:val="225"/>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w:t>
            </w:r>
          </w:p>
        </w:tc>
      </w:tr>
      <w:tr>
        <w:trPr>
          <w:trHeight w:val="218"/>
        </w:trPr>
        <w:tc>
          <w:tcPr>
            <w:tcW w:w="5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27,830</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40,239</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4,169</w:t>
            </w:r>
          </w:p>
        </w:tc>
      </w:tr>
      <w:tr>
        <w:trPr>
          <w:trHeight w:val="218"/>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(134,819)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(237,936)</w:t>
            </w:r>
          </w:p>
        </w:tc>
      </w:tr>
      <w:tr>
        <w:trPr>
          <w:trHeight w:val="225"/>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(85,742)</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(162,638)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(237,936)</w:t>
            </w:r>
          </w:p>
        </w:tc>
      </w:tr>
      <w:tr>
        <w:trPr>
          <w:trHeight w:val="21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of Class A common stock</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337,752,029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1,100,734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291,318,351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826,778</w:t>
            </w:r>
          </w:p>
        </w:tc>
      </w:tr>
      <w:tr>
        <w:trPr>
          <w:trHeight w:val="225"/>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 Class A common stock</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(287.79)</w:t>
            </w:r>
          </w:p>
        </w:tc>
      </w:tr>
    </w:tbl>
    <w:p>
      <w:pPr>
        <w:spacing w:after="0" w:line="225" w:lineRule="exact"/>
        <w:rPr>
          <w:sz w:val="20"/>
          <w:szCs w:val="20"/>
          <w:color w:val="auto"/>
        </w:rPr>
      </w:pPr>
    </w:p>
    <w:p>
      <w:pPr>
        <w:ind w:firstLine="6"/>
        <w:spacing w:after="0" w:line="248" w:lineRule="auto"/>
        <w:tabs>
          <w:tab w:leader="none" w:pos="225"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previously disclosed in Note 2, “Summary of Significant Accounting Policies” to our consolidated financial statements included in our Annual Report on Form 10-K for the year ended December 31, 2021, certain adjustments were made to reclassify certain expenses between cost of services and operating expenses. The adjustments are reflected as disclosed.</w:t>
      </w:r>
    </w:p>
    <w:p>
      <w:pPr>
        <w:spacing w:after="0" w:line="22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3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Redeemable Convertible Preferred Stock and Stockholders' Equity (Deficit)</w:t>
      </w:r>
    </w:p>
    <w:p>
      <w:pPr>
        <w:spacing w:after="0" w:line="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Three months ended June 30, 2022</w:t>
      </w:r>
    </w:p>
    <w:p>
      <w:pPr>
        <w:spacing w:after="0" w:line="46" w:lineRule="exact"/>
        <w:rPr>
          <w:sz w:val="20"/>
          <w:szCs w:val="20"/>
          <w:color w:val="auto"/>
        </w:rPr>
      </w:pPr>
    </w:p>
    <w:tbl>
      <w:tblPr>
        <w:tblLayout w:type="fixed"/>
        <w:tblInd w:w="240" w:type="dxa"/>
        <w:tblCellMar>
          <w:top w:w="0" w:type="dxa"/>
          <w:left w:w="0" w:type="dxa"/>
          <w:bottom w:w="0" w:type="dxa"/>
          <w:right w:w="0" w:type="dxa"/>
        </w:tblCellMar>
      </w:tblPr>
      <w:tr>
        <w:trPr>
          <w:trHeight w:val="212"/>
        </w:trPr>
        <w:tc>
          <w:tcPr>
            <w:tcW w:w="2540" w:type="dxa"/>
            <w:vAlign w:val="bottom"/>
          </w:tcPr>
          <w:p>
            <w:pPr>
              <w:spacing w:after="0"/>
              <w:rPr>
                <w:sz w:val="18"/>
                <w:szCs w:val="18"/>
                <w:color w:val="auto"/>
              </w:rPr>
            </w:pPr>
          </w:p>
        </w:tc>
        <w:tc>
          <w:tcPr>
            <w:tcW w:w="2360" w:type="dxa"/>
            <w:vAlign w:val="bottom"/>
            <w:tcBorders>
              <w:right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gridSpan w:val="8"/>
          </w:tcPr>
          <w:p>
            <w:pPr>
              <w:ind w:left="38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38"/>
        </w:trPr>
        <w:tc>
          <w:tcPr>
            <w:tcW w:w="254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180" w:type="dxa"/>
            <w:vAlign w:val="bottom"/>
            <w:gridSpan w:val="3"/>
            <w:vMerge w:val="restart"/>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Additional paid-</w:t>
            </w:r>
          </w:p>
        </w:tc>
        <w:tc>
          <w:tcPr>
            <w:tcW w:w="120" w:type="dxa"/>
            <w:vAlign w:val="bottom"/>
          </w:tcPr>
          <w:p>
            <w:pPr>
              <w:spacing w:after="0"/>
              <w:rPr>
                <w:sz w:val="3"/>
                <w:szCs w:val="3"/>
                <w:color w:val="auto"/>
              </w:rPr>
            </w:pPr>
          </w:p>
        </w:tc>
        <w:tc>
          <w:tcPr>
            <w:tcW w:w="1060" w:type="dxa"/>
            <w:vAlign w:val="bottom"/>
            <w:gridSpan w:val="2"/>
            <w:vMerge w:val="restart"/>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3"/>
                <w:szCs w:val="3"/>
                <w:color w:val="auto"/>
              </w:rPr>
            </w:pPr>
          </w:p>
        </w:tc>
        <w:tc>
          <w:tcPr>
            <w:tcW w:w="1000" w:type="dxa"/>
            <w:vAlign w:val="bottom"/>
            <w:vMerge w:val="restart"/>
          </w:tcPr>
          <w:p>
            <w:pPr>
              <w:jc w:val="center"/>
              <w:ind w:right="57"/>
              <w:spacing w:after="0" w:line="144"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86"/>
        </w:trPr>
        <w:tc>
          <w:tcPr>
            <w:tcW w:w="2540" w:type="dxa"/>
            <w:vAlign w:val="bottom"/>
          </w:tcPr>
          <w:p>
            <w:pPr>
              <w:spacing w:after="0"/>
              <w:rPr>
                <w:sz w:val="7"/>
                <w:szCs w:val="7"/>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Borders>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5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deficit</w:t>
            </w:r>
          </w:p>
        </w:tc>
        <w:tc>
          <w:tcPr>
            <w:tcW w:w="120" w:type="dxa"/>
            <w:vAlign w:val="bottom"/>
          </w:tcPr>
          <w:p>
            <w:pPr>
              <w:spacing w:after="0"/>
              <w:rPr>
                <w:sz w:val="16"/>
                <w:szCs w:val="16"/>
                <w:color w:val="auto"/>
              </w:rPr>
            </w:pPr>
          </w:p>
        </w:tc>
        <w:tc>
          <w:tcPr>
            <w:tcW w:w="10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4"/>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2022</w:t>
            </w:r>
          </w:p>
        </w:tc>
        <w:tc>
          <w:tcPr>
            <w:tcW w:w="7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245,154,475</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981,757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(652,337)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329,444</w:t>
            </w:r>
          </w:p>
        </w:tc>
        <w:tc>
          <w:tcPr>
            <w:tcW w:w="0" w:type="dxa"/>
            <w:vAlign w:val="bottom"/>
          </w:tcPr>
          <w:p>
            <w:pPr>
              <w:spacing w:after="0"/>
              <w:rPr>
                <w:sz w:val="1"/>
                <w:szCs w:val="1"/>
                <w:color w:val="auto"/>
              </w:rPr>
            </w:pPr>
          </w:p>
        </w:tc>
      </w:tr>
      <w:tr>
        <w:trPr>
          <w:trHeight w:val="225"/>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Borders>
              <w:right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(85,742)</w:t>
            </w:r>
          </w:p>
        </w:tc>
        <w:tc>
          <w:tcPr>
            <w:tcW w:w="0" w:type="dxa"/>
            <w:vAlign w:val="bottom"/>
          </w:tcPr>
          <w:p>
            <w:pPr>
              <w:spacing w:after="0"/>
              <w:rPr>
                <w:sz w:val="1"/>
                <w:szCs w:val="1"/>
                <w:color w:val="auto"/>
              </w:rPr>
            </w:pPr>
          </w:p>
        </w:tc>
      </w:tr>
      <w:tr>
        <w:trPr>
          <w:trHeight w:val="225"/>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 exercises</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4,216,674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1,192</w:t>
            </w:r>
          </w:p>
        </w:tc>
        <w:tc>
          <w:tcPr>
            <w:tcW w:w="0" w:type="dxa"/>
            <w:vAlign w:val="bottom"/>
          </w:tcPr>
          <w:p>
            <w:pPr>
              <w:spacing w:after="0"/>
              <w:rPr>
                <w:sz w:val="1"/>
                <w:szCs w:val="1"/>
                <w:color w:val="auto"/>
              </w:rPr>
            </w:pPr>
          </w:p>
        </w:tc>
      </w:tr>
      <w:tr>
        <w:trPr>
          <w:trHeight w:val="172"/>
        </w:trPr>
        <w:tc>
          <w:tcPr>
            <w:tcW w:w="3320" w:type="dxa"/>
            <w:vAlign w:val="bottom"/>
            <w:gridSpan w:val="2"/>
          </w:tcPr>
          <w:p>
            <w:pPr>
              <w:ind w:left="180"/>
              <w:spacing w:after="0" w:line="172" w:lineRule="exact"/>
              <w:rPr>
                <w:sz w:val="20"/>
                <w:szCs w:val="20"/>
                <w:color w:val="auto"/>
              </w:rPr>
            </w:pPr>
            <w:r>
              <w:rPr>
                <w:rFonts w:ascii="Times New Roman" w:cs="Times New Roman" w:eastAsia="Times New Roman" w:hAnsi="Times New Roman"/>
                <w:sz w:val="18"/>
                <w:szCs w:val="18"/>
                <w:color w:val="auto"/>
              </w:rPr>
              <w:t>Stock based compensation</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22,721</w:t>
            </w:r>
          </w:p>
        </w:tc>
        <w:tc>
          <w:tcPr>
            <w:tcW w:w="0" w:type="dxa"/>
            <w:vAlign w:val="bottom"/>
          </w:tcPr>
          <w:p>
            <w:pPr>
              <w:spacing w:after="0"/>
              <w:rPr>
                <w:sz w:val="1"/>
                <w:szCs w:val="1"/>
                <w:color w:val="auto"/>
              </w:rPr>
            </w:pPr>
          </w:p>
        </w:tc>
      </w:tr>
      <w:tr>
        <w:trPr>
          <w:trHeight w:val="238"/>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tcBorders>
              <w:right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3320" w:type="dxa"/>
            <w:vAlign w:val="bottom"/>
            <w:gridSpan w:val="2"/>
            <w:shd w:val="clear" w:color="auto" w:fill="CCEEFF"/>
          </w:tcPr>
          <w:p>
            <w:pPr>
              <w:ind w:left="180"/>
              <w:spacing w:after="0" w:line="172" w:lineRule="exact"/>
              <w:rPr>
                <w:sz w:val="20"/>
                <w:szCs w:val="20"/>
                <w:color w:val="auto"/>
              </w:rPr>
            </w:pPr>
            <w:r>
              <w:rPr>
                <w:rFonts w:ascii="Times New Roman" w:cs="Times New Roman" w:eastAsia="Times New Roman" w:hAnsi="Times New Roman"/>
                <w:sz w:val="18"/>
                <w:szCs w:val="18"/>
                <w:color w:val="auto"/>
              </w:rPr>
              <w:t>Shares issued for PIPE, net of</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197,659</w:t>
            </w:r>
          </w:p>
        </w:tc>
        <w:tc>
          <w:tcPr>
            <w:tcW w:w="0" w:type="dxa"/>
            <w:vAlign w:val="bottom"/>
          </w:tcPr>
          <w:p>
            <w:pPr>
              <w:spacing w:after="0"/>
              <w:rPr>
                <w:sz w:val="1"/>
                <w:szCs w:val="1"/>
                <w:color w:val="auto"/>
              </w:rPr>
            </w:pPr>
          </w:p>
        </w:tc>
      </w:tr>
      <w:tr>
        <w:trPr>
          <w:trHeight w:val="239"/>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197,654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for acquisition (1)</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Borders>
              <w:right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80,000,000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172,000</w:t>
            </w:r>
          </w:p>
        </w:tc>
        <w:tc>
          <w:tcPr>
            <w:tcW w:w="0" w:type="dxa"/>
            <w:vAlign w:val="bottom"/>
          </w:tcPr>
          <w:p>
            <w:pPr>
              <w:spacing w:after="0"/>
              <w:rPr>
                <w:sz w:val="1"/>
                <w:szCs w:val="1"/>
                <w:color w:val="auto"/>
              </w:rPr>
            </w:pPr>
          </w:p>
        </w:tc>
      </w:tr>
      <w:tr>
        <w:trPr>
          <w:trHeight w:val="172"/>
        </w:trPr>
        <w:tc>
          <w:tcPr>
            <w:tcW w:w="3320" w:type="dxa"/>
            <w:vAlign w:val="bottom"/>
            <w:gridSpan w:val="2"/>
            <w:shd w:val="clear" w:color="auto" w:fill="CCEEFF"/>
          </w:tcPr>
          <w:p>
            <w:pPr>
              <w:ind w:left="180"/>
              <w:spacing w:after="0" w:line="172" w:lineRule="exact"/>
              <w:rPr>
                <w:sz w:val="20"/>
                <w:szCs w:val="20"/>
                <w:color w:val="auto"/>
              </w:rPr>
            </w:pPr>
            <w:r>
              <w:rPr>
                <w:rFonts w:ascii="Times New Roman" w:cs="Times New Roman" w:eastAsia="Times New Roman" w:hAnsi="Times New Roman"/>
                <w:sz w:val="18"/>
                <w:szCs w:val="18"/>
                <w:color w:val="auto"/>
              </w:rPr>
              <w:t>Vested restricted stock units</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converted to common stock</w:t>
            </w:r>
          </w:p>
        </w:tc>
        <w:tc>
          <w:tcPr>
            <w:tcW w:w="7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525,650</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2022</w:t>
            </w:r>
          </w:p>
        </w:tc>
        <w:tc>
          <w:tcPr>
            <w:tcW w:w="7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379,896,799</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1,375,315</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(738,079)</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637,274</w:t>
            </w:r>
          </w:p>
        </w:tc>
        <w:tc>
          <w:tcPr>
            <w:tcW w:w="0" w:type="dxa"/>
            <w:vAlign w:val="bottom"/>
          </w:tcPr>
          <w:p>
            <w:pPr>
              <w:spacing w:after="0"/>
              <w:rPr>
                <w:sz w:val="1"/>
                <w:szCs w:val="1"/>
                <w:color w:val="auto"/>
              </w:rPr>
            </w:pPr>
          </w:p>
        </w:tc>
      </w:tr>
      <w:tr>
        <w:trPr>
          <w:trHeight w:val="878"/>
        </w:trPr>
        <w:tc>
          <w:tcPr>
            <w:tcW w:w="2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9"/>
          </w:tcPr>
          <w:p>
            <w:pPr>
              <w:ind w:left="120"/>
              <w:spacing w:after="0"/>
              <w:rPr>
                <w:sz w:val="20"/>
                <w:szCs w:val="20"/>
                <w:color w:val="auto"/>
              </w:rPr>
            </w:pPr>
            <w:r>
              <w:rPr>
                <w:rFonts w:ascii="Times New Roman" w:cs="Times New Roman" w:eastAsia="Times New Roman" w:hAnsi="Times New Roman"/>
                <w:sz w:val="16"/>
                <w:szCs w:val="16"/>
                <w:b w:val="1"/>
                <w:bCs w:val="1"/>
                <w:color w:val="auto"/>
              </w:rPr>
              <w:t>Six months ended June 30, 2022</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2360" w:type="dxa"/>
            <w:vAlign w:val="bottom"/>
            <w:tcBorders>
              <w:right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Redeemable Convertible Preferred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6"/>
        </w:trPr>
        <w:tc>
          <w:tcPr>
            <w:tcW w:w="2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gridSpan w:val="3"/>
            <w:vMerge w:val="restart"/>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60" w:type="dxa"/>
            <w:vAlign w:val="bottom"/>
            <w:gridSpan w:val="7"/>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6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54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gridSpan w:val="3"/>
            <w:vMerge w:val="continue"/>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60" w:type="dxa"/>
            <w:vAlign w:val="bottom"/>
            <w:tcBorders>
              <w:bottom w:val="single" w:sz="8" w:color="auto"/>
            </w:tcBorders>
            <w:gridSpan w:val="7"/>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3"/>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0"/>
                <w:szCs w:val="10"/>
                <w:color w:val="auto"/>
              </w:rPr>
            </w:pPr>
          </w:p>
        </w:tc>
        <w:tc>
          <w:tcPr>
            <w:tcW w:w="1000" w:type="dxa"/>
            <w:vAlign w:val="bottom"/>
          </w:tcPr>
          <w:p>
            <w:pPr>
              <w:jc w:val="center"/>
              <w:ind w:right="57"/>
              <w:spacing w:after="0" w:line="12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deficit</w:t>
            </w:r>
          </w:p>
        </w:tc>
        <w:tc>
          <w:tcPr>
            <w:tcW w:w="120" w:type="dxa"/>
            <w:vAlign w:val="bottom"/>
          </w:tcPr>
          <w:p>
            <w:pPr>
              <w:spacing w:after="0"/>
              <w:rPr>
                <w:sz w:val="16"/>
                <w:szCs w:val="16"/>
                <w:color w:val="auto"/>
              </w:rPr>
            </w:pPr>
          </w:p>
        </w:tc>
        <w:tc>
          <w:tcPr>
            <w:tcW w:w="10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5"/>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2021</w:t>
            </w:r>
          </w:p>
        </w:tc>
        <w:tc>
          <w:tcPr>
            <w:tcW w:w="7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right w:val="single" w:sz="8" w:color="auto"/>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242,647,604</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963,520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(575,441)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388,103</w:t>
            </w:r>
          </w:p>
        </w:tc>
        <w:tc>
          <w:tcPr>
            <w:tcW w:w="0" w:type="dxa"/>
            <w:vAlign w:val="bottom"/>
          </w:tcPr>
          <w:p>
            <w:pPr>
              <w:spacing w:after="0"/>
              <w:rPr>
                <w:sz w:val="1"/>
                <w:szCs w:val="1"/>
                <w:color w:val="auto"/>
              </w:rPr>
            </w:pPr>
          </w:p>
        </w:tc>
      </w:tr>
      <w:tr>
        <w:trPr>
          <w:trHeight w:val="225"/>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Borders>
              <w:right w:val="single" w:sz="8" w:color="auto"/>
            </w:tcBorders>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(162,638)</w:t>
            </w:r>
          </w:p>
        </w:tc>
        <w:tc>
          <w:tcPr>
            <w:tcW w:w="0" w:type="dxa"/>
            <w:vAlign w:val="bottom"/>
          </w:tcPr>
          <w:p>
            <w:pPr>
              <w:spacing w:after="0"/>
              <w:rPr>
                <w:sz w:val="1"/>
                <w:szCs w:val="1"/>
                <w:color w:val="auto"/>
              </w:rPr>
            </w:pPr>
          </w:p>
        </w:tc>
      </w:tr>
      <w:tr>
        <w:trPr>
          <w:trHeight w:val="225"/>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 exercises</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6,325,176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1,870</w:t>
            </w:r>
          </w:p>
        </w:tc>
        <w:tc>
          <w:tcPr>
            <w:tcW w:w="0" w:type="dxa"/>
            <w:vAlign w:val="bottom"/>
          </w:tcPr>
          <w:p>
            <w:pPr>
              <w:spacing w:after="0"/>
              <w:rPr>
                <w:sz w:val="1"/>
                <w:szCs w:val="1"/>
                <w:color w:val="auto"/>
              </w:rPr>
            </w:pPr>
          </w:p>
        </w:tc>
      </w:tr>
      <w:tr>
        <w:trPr>
          <w:trHeight w:val="172"/>
        </w:trPr>
        <w:tc>
          <w:tcPr>
            <w:tcW w:w="3320" w:type="dxa"/>
            <w:vAlign w:val="bottom"/>
            <w:gridSpan w:val="2"/>
          </w:tcPr>
          <w:p>
            <w:pPr>
              <w:ind w:left="180"/>
              <w:spacing w:after="0" w:line="172" w:lineRule="exact"/>
              <w:rPr>
                <w:sz w:val="20"/>
                <w:szCs w:val="20"/>
                <w:color w:val="auto"/>
              </w:rPr>
            </w:pPr>
            <w:r>
              <w:rPr>
                <w:rFonts w:ascii="Times New Roman" w:cs="Times New Roman" w:eastAsia="Times New Roman" w:hAnsi="Times New Roman"/>
                <w:sz w:val="18"/>
                <w:szCs w:val="18"/>
                <w:color w:val="auto"/>
              </w:rPr>
              <w:t>Stock based compensation</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40,280</w:t>
            </w:r>
          </w:p>
        </w:tc>
        <w:tc>
          <w:tcPr>
            <w:tcW w:w="0" w:type="dxa"/>
            <w:vAlign w:val="bottom"/>
          </w:tcPr>
          <w:p>
            <w:pPr>
              <w:spacing w:after="0"/>
              <w:rPr>
                <w:sz w:val="1"/>
                <w:szCs w:val="1"/>
                <w:color w:val="auto"/>
              </w:rPr>
            </w:pPr>
          </w:p>
        </w:tc>
      </w:tr>
      <w:tr>
        <w:trPr>
          <w:trHeight w:val="238"/>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tcBorders>
              <w:right w:val="single" w:sz="8" w:color="auto"/>
            </w:tcBorders>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3320" w:type="dxa"/>
            <w:vAlign w:val="bottom"/>
            <w:gridSpan w:val="2"/>
            <w:shd w:val="clear" w:color="auto" w:fill="CCEEFF"/>
          </w:tcPr>
          <w:p>
            <w:pPr>
              <w:ind w:left="180"/>
              <w:spacing w:after="0" w:line="172" w:lineRule="exact"/>
              <w:rPr>
                <w:sz w:val="20"/>
                <w:szCs w:val="20"/>
                <w:color w:val="auto"/>
              </w:rPr>
            </w:pPr>
            <w:r>
              <w:rPr>
                <w:rFonts w:ascii="Times New Roman" w:cs="Times New Roman" w:eastAsia="Times New Roman" w:hAnsi="Times New Roman"/>
                <w:sz w:val="18"/>
                <w:szCs w:val="18"/>
                <w:color w:val="auto"/>
              </w:rPr>
              <w:t>Shares issued for PIPE, net of</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197,659</w:t>
            </w:r>
          </w:p>
        </w:tc>
        <w:tc>
          <w:tcPr>
            <w:tcW w:w="0" w:type="dxa"/>
            <w:vAlign w:val="bottom"/>
          </w:tcPr>
          <w:p>
            <w:pPr>
              <w:spacing w:after="0"/>
              <w:rPr>
                <w:sz w:val="1"/>
                <w:szCs w:val="1"/>
                <w:color w:val="auto"/>
              </w:rPr>
            </w:pPr>
          </w:p>
        </w:tc>
      </w:tr>
      <w:tr>
        <w:trPr>
          <w:trHeight w:val="238"/>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197,654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for acquisition (1)</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Borders>
              <w:right w:val="single" w:sz="8" w:color="auto"/>
            </w:tcBorders>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80,000,000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172,000</w:t>
            </w:r>
          </w:p>
        </w:tc>
        <w:tc>
          <w:tcPr>
            <w:tcW w:w="0" w:type="dxa"/>
            <w:vAlign w:val="bottom"/>
          </w:tcPr>
          <w:p>
            <w:pPr>
              <w:spacing w:after="0"/>
              <w:rPr>
                <w:sz w:val="1"/>
                <w:szCs w:val="1"/>
                <w:color w:val="auto"/>
              </w:rPr>
            </w:pPr>
          </w:p>
        </w:tc>
      </w:tr>
      <w:tr>
        <w:trPr>
          <w:trHeight w:val="172"/>
        </w:trPr>
        <w:tc>
          <w:tcPr>
            <w:tcW w:w="3320" w:type="dxa"/>
            <w:vAlign w:val="bottom"/>
            <w:gridSpan w:val="2"/>
            <w:shd w:val="clear" w:color="auto" w:fill="CCEEFF"/>
          </w:tcPr>
          <w:p>
            <w:pPr>
              <w:ind w:left="180"/>
              <w:spacing w:after="0" w:line="172" w:lineRule="exact"/>
              <w:rPr>
                <w:sz w:val="20"/>
                <w:szCs w:val="20"/>
                <w:color w:val="auto"/>
              </w:rPr>
            </w:pPr>
            <w:r>
              <w:rPr>
                <w:rFonts w:ascii="Times New Roman" w:cs="Times New Roman" w:eastAsia="Times New Roman" w:hAnsi="Times New Roman"/>
                <w:sz w:val="18"/>
                <w:szCs w:val="18"/>
                <w:color w:val="auto"/>
              </w:rPr>
              <w:t>Vested restricted stock units</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converted to common stock</w:t>
            </w:r>
          </w:p>
        </w:tc>
        <w:tc>
          <w:tcPr>
            <w:tcW w:w="7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924,019</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2022</w:t>
            </w:r>
          </w:p>
        </w:tc>
        <w:tc>
          <w:tcPr>
            <w:tcW w:w="7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right w:val="single" w:sz="8" w:color="auto"/>
            </w:tcBorders>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379,896,799</w:t>
            </w: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1,375,315</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(738,079)</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637,274</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200" w:firstLine="6"/>
        <w:spacing w:after="0" w:line="271" w:lineRule="auto"/>
        <w:tabs>
          <w:tab w:leader="none" w:pos="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80 million shares issued for acquisition, 8.3 million shares are held by an escrow agent for a one year escrow period During this period, the seller retains all rights with respect to the escrow shares, including voting rights and rights to receive dividends and other distributions on such escrow shares.</w:t>
      </w:r>
    </w:p>
    <w:p>
      <w:pPr>
        <w:spacing w:after="0" w:line="200" w:lineRule="exact"/>
        <w:rPr>
          <w:sz w:val="20"/>
          <w:szCs w:val="20"/>
          <w:color w:val="auto"/>
        </w:rPr>
      </w:pPr>
    </w:p>
    <w:p>
      <w:pPr>
        <w:spacing w:after="0" w:line="34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320" w:top="134" w:right="5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Redeemable Convertible Preferred Stock and Stockholders' Equity (Deficit)</w:t>
      </w:r>
    </w:p>
    <w:p>
      <w:pPr>
        <w:spacing w:after="0" w:line="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Three months ended June 30, 2021 (1)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20" w:type="dxa"/>
            <w:vAlign w:val="bottom"/>
          </w:tcPr>
          <w:p>
            <w:pPr>
              <w:spacing w:after="0"/>
              <w:rPr>
                <w:sz w:val="13"/>
                <w:szCs w:val="13"/>
                <w:color w:val="auto"/>
              </w:rPr>
            </w:pPr>
          </w:p>
        </w:tc>
        <w:tc>
          <w:tcPr>
            <w:tcW w:w="190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940" w:type="dxa"/>
            <w:vAlign w:val="bottom"/>
            <w:gridSpan w:val="5"/>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0" w:type="dxa"/>
            <w:vAlign w:val="bottom"/>
          </w:tcPr>
          <w:p>
            <w:pPr>
              <w:spacing w:after="0"/>
              <w:rPr>
                <w:sz w:val="16"/>
                <w:szCs w:val="16"/>
                <w:color w:val="auto"/>
              </w:rPr>
            </w:pPr>
          </w:p>
        </w:tc>
        <w:tc>
          <w:tcPr>
            <w:tcW w:w="1900" w:type="dxa"/>
            <w:vAlign w:val="bottom"/>
            <w:gridSpan w:val="5"/>
            <w:vMerge w:val="continue"/>
          </w:tcPr>
          <w:p>
            <w:pPr>
              <w:spacing w:after="0"/>
              <w:rPr>
                <w:sz w:val="16"/>
                <w:szCs w:val="16"/>
                <w:color w:val="auto"/>
              </w:rPr>
            </w:pPr>
          </w:p>
        </w:tc>
        <w:tc>
          <w:tcPr>
            <w:tcW w:w="194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21"/>
        </w:trPr>
        <w:tc>
          <w:tcPr>
            <w:tcW w:w="19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right w:val="single" w:sz="8" w:color="auto"/>
            </w:tcBorders>
            <w:vMerge w:val="restart"/>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80" w:type="dxa"/>
            <w:vAlign w:val="bottom"/>
            <w:vMerge w:val="restart"/>
          </w:tcPr>
          <w:p>
            <w:pPr>
              <w:spacing w:after="0"/>
              <w:rPr>
                <w:sz w:val="12"/>
                <w:szCs w:val="12"/>
                <w:color w:val="auto"/>
              </w:rPr>
            </w:pPr>
          </w:p>
        </w:tc>
        <w:tc>
          <w:tcPr>
            <w:tcW w:w="900" w:type="dxa"/>
            <w:vAlign w:val="bottom"/>
            <w:vMerge w:val="restart"/>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paid-in</w:t>
            </w:r>
          </w:p>
        </w:tc>
        <w:tc>
          <w:tcPr>
            <w:tcW w:w="1000" w:type="dxa"/>
            <w:vAlign w:val="bottom"/>
            <w:gridSpan w:val="2"/>
            <w:vMerge w:val="continue"/>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1"/>
        </w:trPr>
        <w:tc>
          <w:tcPr>
            <w:tcW w:w="19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right w:val="single" w:sz="8" w:color="auto"/>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deficit (1)</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64"/>
        </w:trPr>
        <w:tc>
          <w:tcPr>
            <w:tcW w:w="198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rPr>
              <w:t>Balances at March 31,</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171,535,213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334,439</w:t>
            </w:r>
          </w:p>
        </w:tc>
        <w:tc>
          <w:tcPr>
            <w:tcW w:w="1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748,761</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(521,826)</w:t>
            </w:r>
          </w:p>
        </w:tc>
        <w:tc>
          <w:tcPr>
            <w:tcW w:w="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(521,826)</w:t>
            </w:r>
          </w:p>
        </w:tc>
        <w:tc>
          <w:tcPr>
            <w:tcW w:w="0" w:type="dxa"/>
            <w:vAlign w:val="bottom"/>
          </w:tcPr>
          <w:p>
            <w:pPr>
              <w:spacing w:after="0"/>
              <w:rPr>
                <w:sz w:val="1"/>
                <w:szCs w:val="1"/>
                <w:color w:val="auto"/>
              </w:rPr>
            </w:pPr>
          </w:p>
        </w:tc>
      </w:tr>
      <w:tr>
        <w:trPr>
          <w:trHeight w:val="232"/>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60" w:type="dxa"/>
            <w:vAlign w:val="bottom"/>
            <w:gridSpan w:val="2"/>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gridSpan w:val="2"/>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(46,161)</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(46,161)</w:t>
            </w:r>
          </w:p>
        </w:tc>
        <w:tc>
          <w:tcPr>
            <w:tcW w:w="0" w:type="dxa"/>
            <w:vAlign w:val="bottom"/>
          </w:tcPr>
          <w:p>
            <w:pPr>
              <w:spacing w:after="0"/>
              <w:rPr>
                <w:sz w:val="1"/>
                <w:szCs w:val="1"/>
                <w:color w:val="auto"/>
              </w:rPr>
            </w:pPr>
          </w:p>
        </w:tc>
      </w:tr>
      <w:tr>
        <w:trPr>
          <w:trHeight w:val="225"/>
        </w:trPr>
        <w:tc>
          <w:tcPr>
            <w:tcW w:w="1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 exercises</w:t>
            </w:r>
          </w:p>
        </w:tc>
        <w:tc>
          <w:tcPr>
            <w:tcW w:w="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4,334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0" w:type="dxa"/>
            <w:vAlign w:val="bottom"/>
          </w:tcPr>
          <w:p>
            <w:pPr>
              <w:spacing w:after="0"/>
              <w:rPr>
                <w:sz w:val="1"/>
                <w:szCs w:val="1"/>
                <w:color w:val="auto"/>
              </w:rPr>
            </w:pPr>
          </w:p>
        </w:tc>
      </w:tr>
      <w:tr>
        <w:trPr>
          <w:trHeight w:val="258"/>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171,535,213</w:t>
            </w:r>
          </w:p>
        </w:tc>
        <w:tc>
          <w:tcPr>
            <w:tcW w:w="2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334,439</w:t>
            </w:r>
          </w:p>
        </w:tc>
        <w:tc>
          <w:tcPr>
            <w:tcW w:w="1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Borders>
              <w:top w:val="single" w:sz="8" w:color="auto"/>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4,458</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1,383,736</w:t>
            </w:r>
          </w:p>
        </w:tc>
        <w:tc>
          <w:tcPr>
            <w:tcW w:w="8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1,483</w:t>
            </w:r>
          </w:p>
        </w:tc>
        <w:tc>
          <w:tcPr>
            <w:tcW w:w="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(567,987)</w:t>
            </w:r>
          </w:p>
        </w:tc>
        <w:tc>
          <w:tcPr>
            <w:tcW w:w="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(566,504)</w:t>
            </w:r>
          </w:p>
        </w:tc>
        <w:tc>
          <w:tcPr>
            <w:tcW w:w="0" w:type="dxa"/>
            <w:vAlign w:val="bottom"/>
          </w:tcPr>
          <w:p>
            <w:pPr>
              <w:spacing w:after="0"/>
              <w:rPr>
                <w:sz w:val="1"/>
                <w:szCs w:val="1"/>
                <w:color w:val="auto"/>
              </w:rPr>
            </w:pPr>
          </w:p>
        </w:tc>
      </w:tr>
      <w:tr>
        <w:trPr>
          <w:trHeight w:val="836"/>
        </w:trPr>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gridSpan w:val="7"/>
          </w:tcPr>
          <w:p>
            <w:pPr>
              <w:ind w:left="320"/>
              <w:spacing w:after="0"/>
              <w:rPr>
                <w:sz w:val="20"/>
                <w:szCs w:val="20"/>
                <w:color w:val="auto"/>
              </w:rPr>
            </w:pPr>
            <w:r>
              <w:rPr>
                <w:rFonts w:ascii="Times New Roman" w:cs="Times New Roman" w:eastAsia="Times New Roman" w:hAnsi="Times New Roman"/>
                <w:sz w:val="16"/>
                <w:szCs w:val="16"/>
                <w:b w:val="1"/>
                <w:bCs w:val="1"/>
                <w:color w:val="auto"/>
              </w:rPr>
              <w:t>Six months ended June 30, 2021 (1)</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20" w:type="dxa"/>
            <w:vAlign w:val="bottom"/>
          </w:tcPr>
          <w:p>
            <w:pPr>
              <w:spacing w:after="0"/>
              <w:rPr>
                <w:sz w:val="24"/>
                <w:szCs w:val="24"/>
                <w:color w:val="auto"/>
              </w:rPr>
            </w:pPr>
          </w:p>
        </w:tc>
        <w:tc>
          <w:tcPr>
            <w:tcW w:w="190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940" w:type="dxa"/>
            <w:vAlign w:val="bottom"/>
            <w:gridSpan w:val="5"/>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0" w:type="dxa"/>
            <w:vAlign w:val="bottom"/>
          </w:tcPr>
          <w:p>
            <w:pPr>
              <w:spacing w:after="0"/>
              <w:rPr>
                <w:sz w:val="16"/>
                <w:szCs w:val="16"/>
                <w:color w:val="auto"/>
              </w:rPr>
            </w:pPr>
          </w:p>
        </w:tc>
        <w:tc>
          <w:tcPr>
            <w:tcW w:w="1900" w:type="dxa"/>
            <w:vAlign w:val="bottom"/>
            <w:gridSpan w:val="5"/>
            <w:vMerge w:val="continue"/>
          </w:tcPr>
          <w:p>
            <w:pPr>
              <w:spacing w:after="0"/>
              <w:rPr>
                <w:sz w:val="16"/>
                <w:szCs w:val="16"/>
                <w:color w:val="auto"/>
              </w:rPr>
            </w:pPr>
          </w:p>
        </w:tc>
        <w:tc>
          <w:tcPr>
            <w:tcW w:w="194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21"/>
        </w:trPr>
        <w:tc>
          <w:tcPr>
            <w:tcW w:w="1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80" w:type="dxa"/>
            <w:vAlign w:val="bottom"/>
            <w:vMerge w:val="restart"/>
          </w:tcPr>
          <w:p>
            <w:pPr>
              <w:spacing w:after="0"/>
              <w:rPr>
                <w:sz w:val="12"/>
                <w:szCs w:val="12"/>
                <w:color w:val="auto"/>
              </w:rPr>
            </w:pPr>
          </w:p>
        </w:tc>
        <w:tc>
          <w:tcPr>
            <w:tcW w:w="900" w:type="dxa"/>
            <w:vAlign w:val="bottom"/>
            <w:vMerge w:val="restart"/>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paid-in</w:t>
            </w:r>
          </w:p>
        </w:tc>
        <w:tc>
          <w:tcPr>
            <w:tcW w:w="1000" w:type="dxa"/>
            <w:vAlign w:val="bottom"/>
            <w:gridSpan w:val="2"/>
            <w:vMerge w:val="continue"/>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1"/>
        </w:trPr>
        <w:tc>
          <w:tcPr>
            <w:tcW w:w="19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right w:val="single" w:sz="8" w:color="auto"/>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deficit (1)</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64"/>
        </w:trPr>
        <w:tc>
          <w:tcPr>
            <w:tcW w:w="198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w w:val="98"/>
              </w:rPr>
              <w:t>Balances at December 31,</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171,535,213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334,439</w:t>
            </w:r>
          </w:p>
        </w:tc>
        <w:tc>
          <w:tcPr>
            <w:tcW w:w="1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130,557</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(330,051)</w:t>
            </w:r>
          </w:p>
        </w:tc>
        <w:tc>
          <w:tcPr>
            <w:tcW w:w="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(330,051)</w:t>
            </w:r>
          </w:p>
        </w:tc>
        <w:tc>
          <w:tcPr>
            <w:tcW w:w="0" w:type="dxa"/>
            <w:vAlign w:val="bottom"/>
          </w:tcPr>
          <w:p>
            <w:pPr>
              <w:spacing w:after="0"/>
              <w:rPr>
                <w:sz w:val="1"/>
                <w:szCs w:val="1"/>
                <w:color w:val="auto"/>
              </w:rPr>
            </w:pPr>
          </w:p>
        </w:tc>
      </w:tr>
      <w:tr>
        <w:trPr>
          <w:trHeight w:val="232"/>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60" w:type="dxa"/>
            <w:vAlign w:val="bottom"/>
            <w:gridSpan w:val="2"/>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gridSpan w:val="2"/>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(237,936)</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(237,936)</w:t>
            </w:r>
          </w:p>
        </w:tc>
        <w:tc>
          <w:tcPr>
            <w:tcW w:w="0" w:type="dxa"/>
            <w:vAlign w:val="bottom"/>
          </w:tcPr>
          <w:p>
            <w:pPr>
              <w:spacing w:after="0"/>
              <w:rPr>
                <w:sz w:val="1"/>
                <w:szCs w:val="1"/>
                <w:color w:val="auto"/>
              </w:rPr>
            </w:pPr>
          </w:p>
        </w:tc>
      </w:tr>
      <w:tr>
        <w:trPr>
          <w:trHeight w:val="225"/>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 exercises</w:t>
            </w:r>
          </w:p>
        </w:tc>
        <w:tc>
          <w:tcPr>
            <w:tcW w:w="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4,334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1,253,179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0" w:type="dxa"/>
            <w:vAlign w:val="bottom"/>
          </w:tcPr>
          <w:p>
            <w:pPr>
              <w:spacing w:after="0"/>
              <w:rPr>
                <w:sz w:val="1"/>
                <w:szCs w:val="1"/>
                <w:color w:val="auto"/>
              </w:rPr>
            </w:pPr>
          </w:p>
        </w:tc>
      </w:tr>
      <w:tr>
        <w:trPr>
          <w:trHeight w:val="258"/>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171,535,213</w:t>
            </w:r>
          </w:p>
        </w:tc>
        <w:tc>
          <w:tcPr>
            <w:tcW w:w="2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334,439</w:t>
            </w:r>
          </w:p>
        </w:tc>
        <w:tc>
          <w:tcPr>
            <w:tcW w:w="120" w:type="dxa"/>
            <w:vAlign w:val="bottom"/>
            <w:tcBorders>
              <w:top w:val="single" w:sz="8" w:color="auto"/>
              <w:bottom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4,458</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1,383,736</w:t>
            </w:r>
          </w:p>
        </w:tc>
        <w:tc>
          <w:tcPr>
            <w:tcW w:w="8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1,483</w:t>
            </w:r>
          </w:p>
        </w:tc>
        <w:tc>
          <w:tcPr>
            <w:tcW w:w="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(567,987)</w:t>
            </w:r>
          </w:p>
        </w:tc>
        <w:tc>
          <w:tcPr>
            <w:tcW w:w="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(566,504)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firstLine="6"/>
        <w:spacing w:after="0" w:line="248" w:lineRule="auto"/>
        <w:tabs>
          <w:tab w:leader="none" w:pos="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As previously disclosed in Note 2, “Summary of Significant Accounting Policies” to our consolidated financial statements included in our Annual Report on Form 10-K for the year ended December 31, 2021, certain adjustments were made which impacted previously reported net loss for the second quarter of 2021 and the adjusted net loss is reflected as disclosed.</w:t>
      </w:r>
    </w:p>
    <w:p>
      <w:pPr>
        <w:spacing w:after="0" w:line="200" w:lineRule="exact"/>
        <w:rPr>
          <w:sz w:val="20"/>
          <w:szCs w:val="20"/>
          <w:color w:val="auto"/>
        </w:rPr>
      </w:pPr>
    </w:p>
    <w:p>
      <w:pPr>
        <w:spacing w:after="0" w:line="33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60"/>
          </w:cols>
          <w:pgMar w:left="320" w:top="134" w:right="4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7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79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 (1)</w:t>
            </w:r>
          </w:p>
        </w:tc>
      </w:tr>
      <w:tr>
        <w:trPr>
          <w:trHeight w:val="21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5"/>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(162,638)</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(237,936)</w:t>
            </w:r>
          </w:p>
        </w:tc>
      </w:tr>
      <w:tr>
        <w:trPr>
          <w:trHeight w:val="238"/>
        </w:trPr>
        <w:tc>
          <w:tcPr>
            <w:tcW w:w="79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5"/>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5"/>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10,521</w:t>
            </w:r>
          </w:p>
        </w:tc>
      </w:tr>
      <w:tr>
        <w:trPr>
          <w:trHeight w:val="225"/>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164,443</w:t>
            </w:r>
          </w:p>
        </w:tc>
      </w:tr>
      <w:tr>
        <w:trPr>
          <w:trHeight w:val="252"/>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B2A29"/>
              </w:rPr>
              <w:t>Change in fair value of warrant and earn-out contingent liabilities</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2B2A29"/>
              </w:rPr>
              <w:t>Income tax benefit</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B2A29"/>
              </w:rPr>
              <w:t>Provision for excess and obsolete inventory</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r>
      <w:tr>
        <w:trPr>
          <w:trHeight w:val="225"/>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5"/>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debt issuance costs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2"/>
        </w:trPr>
        <w:tc>
          <w:tcPr>
            <w:tcW w:w="7920" w:type="dxa"/>
            <w:vAlign w:val="bottom"/>
          </w:tcPr>
          <w:p>
            <w:pPr>
              <w:ind w:left="180"/>
              <w:spacing w:after="0" w:line="172" w:lineRule="exact"/>
              <w:rPr>
                <w:sz w:val="20"/>
                <w:szCs w:val="20"/>
                <w:color w:val="auto"/>
              </w:rPr>
            </w:pPr>
            <w:r>
              <w:rPr>
                <w:rFonts w:ascii="Times New Roman" w:cs="Times New Roman" w:eastAsia="Times New Roman" w:hAnsi="Times New Roman"/>
                <w:sz w:val="18"/>
                <w:szCs w:val="18"/>
                <w:color w:val="auto"/>
              </w:rPr>
              <w:t>Change in operating assets and liabilities, net of effects from purchase of</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35"/>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9"/>
        </w:trPr>
        <w:tc>
          <w:tcPr>
            <w:tcW w:w="7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w:t>
            </w:r>
          </w:p>
        </w:tc>
      </w:tr>
      <w:tr>
        <w:trPr>
          <w:trHeight w:val="225"/>
        </w:trPr>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(6,632)</w:t>
            </w:r>
          </w:p>
        </w:tc>
      </w:tr>
      <w:tr>
        <w:trPr>
          <w:trHeight w:val="225"/>
        </w:trPr>
        <w:tc>
          <w:tcPr>
            <w:tcW w:w="7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w:t>
            </w:r>
          </w:p>
        </w:tc>
      </w:tr>
      <w:tr>
        <w:trPr>
          <w:trHeight w:val="225"/>
        </w:trPr>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Due to/from related parties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5"/>
        </w:trPr>
        <w:tc>
          <w:tcPr>
            <w:tcW w:w="7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10,028</w:t>
            </w:r>
          </w:p>
        </w:tc>
      </w:tr>
      <w:tr>
        <w:trPr>
          <w:trHeight w:val="225"/>
        </w:trPr>
        <w:tc>
          <w:tcPr>
            <w:tcW w:w="7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25"/>
        </w:trPr>
        <w:tc>
          <w:tcPr>
            <w:tcW w:w="7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(7,824)</w:t>
            </w: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(67,509)</w:t>
            </w:r>
          </w:p>
        </w:tc>
      </w:tr>
      <w:tr>
        <w:trPr>
          <w:trHeight w:val="218"/>
        </w:trPr>
        <w:tc>
          <w:tcPr>
            <w:tcW w:w="7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5"/>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business, net of cash acquired</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r>
      <w:tr>
        <w:trPr>
          <w:trHeight w:val="225"/>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Development of internal-use software assets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(6,155)</w:t>
            </w: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(9,475)</w:t>
            </w:r>
          </w:p>
        </w:tc>
      </w:tr>
      <w:tr>
        <w:trPr>
          <w:trHeight w:val="218"/>
        </w:trPr>
        <w:tc>
          <w:tcPr>
            <w:tcW w:w="7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5"/>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PIPE issuance, net of issuance costs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deferred transaction costs</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r>
      <w:tr>
        <w:trPr>
          <w:trHeight w:val="225"/>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principal payments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principal payments</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25"/>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3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197,897</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r>
    </w:tbl>
    <w:p>
      <w:pPr>
        <w:spacing w:after="0" w:line="200" w:lineRule="exact"/>
        <w:rPr>
          <w:sz w:val="20"/>
          <w:szCs w:val="20"/>
          <w:color w:val="auto"/>
        </w:rPr>
      </w:pPr>
    </w:p>
    <w:p>
      <w:pPr>
        <w:sectPr>
          <w:pgSz w:w="11900" w:h="16838" w:orient="portrait"/>
          <w:cols w:equalWidth="0" w:num="1">
            <w:col w:w="11220"/>
          </w:cols>
          <w:pgMar w:left="320" w:top="134" w:right="359" w:bottom="1440" w:gutter="0" w:footer="0" w:header="0"/>
        </w:sectPr>
      </w:pP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17715" cy="160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7715" cy="160020"/>
                    </a:xfrm>
                    <a:prstGeom prst="rect">
                      <a:avLst/>
                    </a:prstGeom>
                    <a:noFill/>
                  </pic:spPr>
                </pic:pic>
              </a:graphicData>
            </a:graphic>
          </wp:anchor>
        </w:drawing>
      </w:r>
    </w:p>
    <w:p>
      <w:pPr>
        <w:spacing w:after="0" w:line="25" w:lineRule="exact"/>
        <w:rPr>
          <w:sz w:val="20"/>
          <w:szCs w:val="20"/>
          <w:color w:val="auto"/>
        </w:rPr>
      </w:pPr>
    </w:p>
    <w:p>
      <w:pPr>
        <w:ind w:left="20" w:right="2560"/>
        <w:spacing w:after="0" w:line="369" w:lineRule="auto"/>
        <w:rPr>
          <w:sz w:val="20"/>
          <w:szCs w:val="20"/>
          <w:color w:val="auto"/>
        </w:rPr>
      </w:pPr>
      <w:r>
        <w:rPr>
          <w:rFonts w:ascii="Times New Roman" w:cs="Times New Roman" w:eastAsia="Times New Roman" w:hAnsi="Times New Roman"/>
          <w:sz w:val="17"/>
          <w:szCs w:val="17"/>
          <w:color w:val="auto"/>
        </w:rPr>
        <w:t>Cash, cash equivalents and restricted cash, at beginning of period Cash, cash equivalents and restricted cash,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7117715" cy="168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7715"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500" w:type="dxa"/>
            <w:vAlign w:val="bottom"/>
          </w:tcPr>
          <w:p>
            <w:pPr>
              <w:spacing w:after="0"/>
              <w:rPr>
                <w:sz w:val="19"/>
                <w:szCs w:val="19"/>
                <w:color w:val="auto"/>
              </w:rPr>
            </w:pP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(102,452)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(81,631)</w:t>
            </w:r>
          </w:p>
        </w:tc>
      </w:tr>
      <w:tr>
        <w:trPr>
          <w:trHeight w:val="230"/>
        </w:trPr>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left="292"/>
              <w:spacing w:after="0"/>
              <w:rPr>
                <w:sz w:val="20"/>
                <w:szCs w:val="20"/>
                <w:color w:val="auto"/>
              </w:rPr>
            </w:pPr>
            <w:r>
              <w:rPr>
                <w:rFonts w:ascii="Times New Roman" w:cs="Times New Roman" w:eastAsia="Times New Roman" w:hAnsi="Times New Roman"/>
                <w:sz w:val="18"/>
                <w:szCs w:val="18"/>
                <w:color w:val="auto"/>
                <w:w w:val="95"/>
              </w:rPr>
              <w:t>401,469</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118,960</w:t>
            </w:r>
          </w:p>
        </w:tc>
      </w:tr>
      <w:tr>
        <w:trPr>
          <w:trHeight w:val="218"/>
        </w:trPr>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center"/>
              <w:ind w:left="292"/>
              <w:spacing w:after="0"/>
              <w:rPr>
                <w:sz w:val="20"/>
                <w:szCs w:val="20"/>
                <w:color w:val="auto"/>
              </w:rPr>
            </w:pPr>
            <w:r>
              <w:rPr>
                <w:rFonts w:ascii="Times New Roman" w:cs="Times New Roman" w:eastAsia="Times New Roman" w:hAnsi="Times New Roman"/>
                <w:sz w:val="18"/>
                <w:szCs w:val="18"/>
                <w:color w:val="auto"/>
                <w:w w:val="95"/>
              </w:rPr>
              <w:t>299,017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37,329</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ectPr>
          <w:pgSz w:w="11900" w:h="16838" w:orient="portrait"/>
          <w:cols w:equalWidth="0" w:num="2">
            <w:col w:w="7200" w:space="720"/>
            <w:col w:w="3300"/>
          </w:cols>
          <w:pgMar w:left="320" w:top="134" w:right="35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2"/>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6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1,193</w:t>
            </w:r>
          </w:p>
        </w:tc>
        <w:tc>
          <w:tcPr>
            <w:tcW w:w="7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r>
      <w:tr>
        <w:trPr>
          <w:trHeight w:val="25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16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365</w:t>
            </w:r>
          </w:p>
        </w:tc>
        <w:tc>
          <w:tcPr>
            <w:tcW w:w="70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consideration paid for purchase of business</w:t>
            </w:r>
          </w:p>
        </w:tc>
        <w:tc>
          <w:tcPr>
            <w:tcW w:w="16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172,000</w:t>
            </w:r>
          </w:p>
        </w:tc>
        <w:tc>
          <w:tcPr>
            <w:tcW w:w="7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accrued expenses</w:t>
            </w:r>
          </w:p>
        </w:tc>
        <w:tc>
          <w:tcPr>
            <w:tcW w:w="16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3,243</w:t>
            </w:r>
          </w:p>
        </w:tc>
        <w:tc>
          <w:tcPr>
            <w:tcW w:w="70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5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development costs in accounts payable and accrued expenses</w:t>
            </w:r>
          </w:p>
        </w:tc>
        <w:tc>
          <w:tcPr>
            <w:tcW w:w="16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1,118</w:t>
            </w:r>
          </w:p>
        </w:tc>
        <w:tc>
          <w:tcPr>
            <w:tcW w:w="7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r>
    </w:tbl>
    <w:p>
      <w:pPr>
        <w:spacing w:after="0" w:line="200" w:lineRule="exact"/>
        <w:rPr>
          <w:sz w:val="20"/>
          <w:szCs w:val="20"/>
          <w:color w:val="auto"/>
        </w:rPr>
      </w:pPr>
    </w:p>
    <w:p>
      <w:pPr>
        <w:sectPr>
          <w:pgSz w:w="11900" w:h="16838" w:orient="portrait"/>
          <w:cols w:equalWidth="0" w:num="1">
            <w:col w:w="11220"/>
          </w:cols>
          <w:pgMar w:left="320" w:top="134" w:right="359" w:bottom="144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220"/>
          </w:cols>
          <w:pgMar w:left="320" w:top="134" w:right="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Unpaid deferred transaction costs included in accounts payable and accrued expenses</w:t>
            </w:r>
          </w:p>
        </w:tc>
        <w:tc>
          <w:tcPr>
            <w:tcW w:w="164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w:t>
            </w:r>
          </w:p>
        </w:tc>
        <w:tc>
          <w:tcPr>
            <w:tcW w:w="70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w:t>
            </w:r>
          </w:p>
        </w:tc>
      </w:tr>
      <w:tr>
        <w:trPr>
          <w:trHeight w:val="231"/>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impact of shares reclass into APIC</w:t>
            </w:r>
          </w:p>
        </w:tc>
        <w:tc>
          <w:tcPr>
            <w:tcW w:w="16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r>
    </w:tbl>
    <w:p>
      <w:pPr>
        <w:spacing w:after="0" w:line="232" w:lineRule="exact"/>
        <w:rPr>
          <w:sz w:val="20"/>
          <w:szCs w:val="20"/>
          <w:color w:val="auto"/>
        </w:rPr>
      </w:pPr>
    </w:p>
    <w:p>
      <w:pPr>
        <w:jc w:val="both"/>
        <w:ind w:firstLine="6"/>
        <w:spacing w:after="0" w:line="266" w:lineRule="auto"/>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As previously disclosed in Note 2, “Summary of Significant Accounting Policies” to our consolidated financial statements included in our Annual Report on Form 10-K for the year ended December 31, 2021, certain adjustments were made to certain liability accounts previously reported in the condensed balance sheets as of June 30, 2021. The adjustments are reflected accordingly as disclosed.</w:t>
      </w:r>
    </w:p>
    <w:p>
      <w:pPr>
        <w:spacing w:after="0" w:line="11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3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Sema4 Holdings Corp. (“Sema4 Holdings”) through its subsidiaries Sema4 OpCo, Inc., formerly Mount Sinai Genomics Inc., a Delaware corporation (“Legacy Sema4”), and GeneDx Holding 2, LLC, provides genomics-related diagnostic and information services and pursues genomics medical research. Legacy Sema4 utilizes an integrated portfolio of laboratory processes, software tools and informatics capabilities to process DNA-containing samples, analyze information about patient-specific genetic variation and generate test reports for clinicians and their patients. Legacy Sema4 provides a variety of genetic diagnostic tests and information with a focus on reproductive health, including pediatric, oncology and other conditions. Legacy Sema4 primarily serves healthcare professionals who work with their patients and bills third-party payors across the United States, with a substantial portion of its diagnostic testing volume occurring in New York, California, Florida, Connecticut and New Jersey.</w:t>
      </w:r>
    </w:p>
    <w:p>
      <w:pPr>
        <w:spacing w:after="0" w:line="147"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On July 22, 2021 (the “Closing Date”), CM Life Sciences, Inc. (“CMLS”) completed the acquisition of Legacy Sema4, pursuant to that certain Agreement and Plan of Merger (as amended, the “Business Combination Merger Agreement”), dated February 9, 2021. On the Closing Date, S-IV Sub, Inc. merged with and into the Legacy Sema4, with Legacy Sema4 surviving the merger as a wholly-owned subsidiary of CMLS (the “Business Combination Merger” and, together with the other transactions contemplated by the Business Combination Merger Agreement, the “Business Combination”). In connection with the consummation of the Business Combination, CMLS changed its name to “Sema4 Holdings Corp.” and Legacy Sema4 changed its name to “Sema4 OpCo, Inc.” All equity securities of Legacy Sema4 were converted into the right to receive the applicable portion of the merger consideration.</w:t>
      </w:r>
    </w:p>
    <w:p>
      <w:pPr>
        <w:spacing w:after="0" w:line="130" w:lineRule="exact"/>
        <w:rPr>
          <w:sz w:val="20"/>
          <w:szCs w:val="20"/>
          <w:color w:val="auto"/>
        </w:rPr>
      </w:pPr>
    </w:p>
    <w:p>
      <w:pPr>
        <w:ind w:right="320" w:firstLine="318"/>
        <w:spacing w:after="0" w:line="236" w:lineRule="auto"/>
        <w:rPr>
          <w:sz w:val="20"/>
          <w:szCs w:val="20"/>
          <w:color w:val="auto"/>
        </w:rPr>
      </w:pPr>
      <w:r>
        <w:rPr>
          <w:rFonts w:ascii="Times New Roman" w:cs="Times New Roman" w:eastAsia="Times New Roman" w:hAnsi="Times New Roman"/>
          <w:sz w:val="18"/>
          <w:szCs w:val="18"/>
          <w:color w:val="auto"/>
        </w:rPr>
        <w:t>The Business Combination Merger was accounted for as a reverse recapitalization with Legacy Sema4 as the accounting acquirer and CMLS as the acquired company for accounting purposes. The shares and net loss per common share, prior to the Business Combination Merger, have been retroactively restated as shares reflecting the exchange ratio established in the Business Combination Merger (1 share of Legacy Sema4 Class A common stock for 123.8339 shares of Sema4 Holdings Class A common stock (the “Class A common stock”) (the “Conversion Ratio”).</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Prior to the Business Combination Merger, shares of CMLS Class A common stock, CMLS’s public warrants, and CMLS’s public units were traded on the Nasdaq Capital Market under the ticker symbols “CMLF”, “CMFLW”, and “CMLFU” respectively. On July 23, 2021, shares of Sema4 Holdings Class A common stock and Sema4 Holdings’ public warrants began trading on the Nasdaq Global Select Market (the “Nasdaq”) under the ticker symbols “SMFR” and “SMFRW,” respectively.</w:t>
      </w:r>
    </w:p>
    <w:p>
      <w:pPr>
        <w:spacing w:after="0" w:line="14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on April 29, 2022, the Company consummated the transactions contemplated by that certain Agreement and Plan of Merger, dated as of January 14, 2022 (as amended, the “ Acquisition Merger Agreement”), by and among the Company and GeneDx, Inc. (“GeneDx”), a New Jersey corporation and wholly-owned subsidiary of OPKO Health, Inc. (“OPKO”), GeneDx Holding 2, Inc., which held 100% of GeneDx (“Holdco2”), at the Effective Time (as defined in the Acquisition Merger Agreement) and OPKO, which provided for, among other things, the acquisition of GeneDx from OPKO. After giving effect to the mergers and the other transactions contemplated by the Acquisition Merger Agreement (the “Acquisition”), GeneDx was converted into a Delaware limited liability company and became the Company’s wholly-owned indirect subsidiary.</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3, “Business Combination,” for additional details regarding the Business Combination and Acquisition.</w:t>
      </w:r>
    </w:p>
    <w:p>
      <w:pPr>
        <w:spacing w:after="0" w:line="19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Unless otherwise stated herein or unless the context otherwise requires, references in these notes to the “Company,” or “Sema4” refer to (i) Legacy Sema4 prior to the consummation of the Business Combination; and (ii) Sema4 Holdings and its subsidiaries following the consummation of the Business Combination.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9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conformity with accounting principles generally accepted in the United States of America (“U.S. GAAP”) for interim financial information and pursuant to the accounting disclosure rules and regulations of the Securities and Exchange Commission (the “SEC”) regarding interim financial reporting. Accordingly, they do not include all of the information and footnotes required by U.S. GAAP for complete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30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1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such, the accompanying unaudited condensed consolidated financial statements should be read in conjunction with the Company’s audited financial statements and notes thereto as of and for the years ended December 31, 2021, 2020 and 2019 included in the Company’s Annual Report on Form 10-K for the year ended December 21, 2021 filed on March 14, 2022 (the “Annual Report”).</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reflect all normal recurring adjustments that are necessary to state fairly the results for the interim periods presented. Interim results are not necessarily indicative of the results of operations or cash flows for a full year or any subsequent interim period.</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Company’s historical financial information includes costs of certain services historically provided by Icahn School of Medicine at Mount Sinai (“ISMMS”) pursuant to a Transition Services Agreement ("TSA") and service agreements. See Note 7, “Related Party Transactions”.</w:t>
      </w:r>
    </w:p>
    <w:p>
      <w:pPr>
        <w:spacing w:after="0" w:line="1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discussed in the Company’s Annual Report, the Company identified the misclassification of certain expenses and out of period adjustments generally related to the recognition of cost of services. The impact of these adjustments were disclosed in the Company’s Annual Report and are reflected in the condensed consolidated statements of operations and comprehensive loss, condensed consolidated statement of redeemable convertible preferred stock and stockholders’ equity (deficit) and condensed consolidated statements of cash flows for the period ended June 30, 2021.</w:t>
      </w:r>
    </w:p>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Although the Company has incurred recurring losses in each year since inception, the Company expects its cash and cash equivalents will be sufficient to fund operations for at least the next twelve months from the date of filing of this Form 10-Q.</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operating segment based on how the Chief Executive Officer, who is the Company’s chief operating decision maker (“CODM”), assesses performance and allocates resources across the business.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1" w:lineRule="exact"/>
        <w:rPr>
          <w:sz w:val="20"/>
          <w:szCs w:val="20"/>
          <w:color w:val="auto"/>
        </w:rPr>
      </w:pPr>
    </w:p>
    <w:p>
      <w:pPr>
        <w:ind w:right="20" w:firstLine="318"/>
        <w:spacing w:after="0" w:line="267" w:lineRule="auto"/>
        <w:rPr>
          <w:sz w:val="20"/>
          <w:szCs w:val="20"/>
          <w:color w:val="auto"/>
        </w:rPr>
      </w:pPr>
      <w:r>
        <w:rPr>
          <w:rFonts w:ascii="Times New Roman" w:cs="Times New Roman" w:eastAsia="Times New Roman" w:hAnsi="Times New Roman"/>
          <w:sz w:val="17"/>
          <w:szCs w:val="17"/>
          <w:color w:val="auto"/>
        </w:rPr>
        <w:t>The preparation of unaudited condensed consolidated financial statements in conformity with U.S. GAAP requires management to make certain estimates, judgments and assumptions that affect the reported amounts of assets and liabilities and the related disclosures at the date of the unaudited condensed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potential or actual claims for recoupment from third-party payors, the capitalization of software costs and the valuation of stock-based awards, inventory, earn-out contingent liabilities and earn-out Restricted Stock Units (“RSUs”). Actual results could differ materially from those estimates, judgments and assumptions.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9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and accounts receivable.</w:t>
      </w:r>
    </w:p>
    <w:p>
      <w:pPr>
        <w:spacing w:after="0" w:line="1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w:t>
      </w:r>
    </w:p>
    <w:p>
      <w:pPr>
        <w:spacing w:after="0" w:line="13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assesses both the self-pay patient and, if applicable, the third-party payor that reimburses the Company on the patient’s behalf when evaluating the concentration of credit risk. Significant customers and payors are those that represent more than 10% of the Company’s total revenues for the period or accounts receivable balance at each respective balance sheet date. The significant concentrations of accounts receivable as of June 30, 2022 and December 31, 2021 were primarily from large managed care insurance companies and a reference laboratory. There was no individual patient that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30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1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accounted for 10% or more of the Company’s revenue or accounts receivable for any of the periods presented. The Company does not require collateral as a means to mitigate customer credit risk.</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 each significant payor, revenue as a percentage of total revenues and accounts receivable as a percentage of total accounts receivable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280" w:type="dxa"/>
            <w:vAlign w:val="bottom"/>
          </w:tcPr>
          <w:p>
            <w:pPr>
              <w:spacing w:after="0"/>
              <w:rPr>
                <w:sz w:val="10"/>
                <w:szCs w:val="10"/>
                <w:color w:val="auto"/>
              </w:rPr>
            </w:pPr>
          </w:p>
        </w:tc>
        <w:tc>
          <w:tcPr>
            <w:tcW w:w="254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20" w:type="dxa"/>
            <w:vAlign w:val="bottom"/>
            <w:gridSpan w:val="4"/>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52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w w:val="97"/>
              </w:rPr>
              <w:t>As of</w:t>
            </w:r>
          </w:p>
        </w:tc>
        <w:tc>
          <w:tcPr>
            <w:tcW w:w="14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92"/>
        </w:trPr>
        <w:tc>
          <w:tcPr>
            <w:tcW w:w="2280" w:type="dxa"/>
            <w:vAlign w:val="bottom"/>
          </w:tcPr>
          <w:p>
            <w:pPr>
              <w:spacing w:after="0"/>
              <w:rPr>
                <w:sz w:val="16"/>
                <w:szCs w:val="16"/>
                <w:color w:val="auto"/>
              </w:rPr>
            </w:pPr>
          </w:p>
        </w:tc>
        <w:tc>
          <w:tcPr>
            <w:tcW w:w="254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4"/>
            <w:vMerge w:val="continue"/>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2280" w:type="dxa"/>
            <w:vAlign w:val="bottom"/>
            <w:tcBorders>
              <w:bottom w:val="single" w:sz="8" w:color="CCEEFF"/>
            </w:tcBorders>
          </w:tcPr>
          <w:p>
            <w:pPr>
              <w:spacing w:after="0"/>
              <w:rPr>
                <w:sz w:val="16"/>
                <w:szCs w:val="16"/>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top w:val="single" w:sz="8" w:color="auto"/>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Payor A (**)</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w w:val="96"/>
              </w:rPr>
              <w:t>21%</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0" w:type="dxa"/>
            <w:vAlign w:val="bottom"/>
          </w:tcPr>
          <w:p>
            <w:pPr>
              <w:spacing w:after="0"/>
              <w:rPr>
                <w:sz w:val="1"/>
                <w:szCs w:val="1"/>
                <w:color w:val="auto"/>
              </w:rPr>
            </w:pPr>
          </w:p>
        </w:tc>
      </w:tr>
      <w:tr>
        <w:trPr>
          <w:trHeight w:val="225"/>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Payor B</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1060" w:type="dxa"/>
            <w:vAlign w:val="bottom"/>
          </w:tcPr>
          <w:p>
            <w:pPr>
              <w:jc w:val="center"/>
              <w:ind w:left="295"/>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3"/>
          </w:tcPr>
          <w:p>
            <w:pPr>
              <w:jc w:val="center"/>
              <w:ind w:left="37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0" w:type="dxa"/>
            <w:vAlign w:val="bottom"/>
          </w:tcPr>
          <w:p>
            <w:pPr>
              <w:spacing w:after="0"/>
              <w:rPr>
                <w:sz w:val="1"/>
                <w:szCs w:val="1"/>
                <w:color w:val="auto"/>
              </w:rPr>
            </w:pPr>
          </w:p>
        </w:tc>
      </w:tr>
      <w:tr>
        <w:trPr>
          <w:trHeight w:val="22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Payor C</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w w:val="96"/>
              </w:rPr>
              <w:t>13%</w:t>
            </w:r>
          </w:p>
        </w:tc>
        <w:tc>
          <w:tcPr>
            <w:tcW w:w="1880" w:type="dxa"/>
            <w:vAlign w:val="bottom"/>
            <w:gridSpan w:val="3"/>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Payor D</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80" w:type="dxa"/>
            <w:vAlign w:val="bottom"/>
          </w:tcPr>
          <w:p>
            <w:pPr>
              <w:spacing w:after="0"/>
              <w:rPr>
                <w:sz w:val="19"/>
                <w:szCs w:val="19"/>
                <w:color w:val="auto"/>
              </w:rPr>
            </w:pPr>
          </w:p>
        </w:tc>
        <w:tc>
          <w:tcPr>
            <w:tcW w:w="1060" w:type="dxa"/>
            <w:vAlign w:val="bottom"/>
          </w:tcPr>
          <w:p>
            <w:pPr>
              <w:jc w:val="center"/>
              <w:ind w:left="295"/>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3"/>
          </w:tcPr>
          <w:p>
            <w:pPr>
              <w:jc w:val="center"/>
              <w:ind w:left="375"/>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Payor E</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3"/>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*less than 10%</w:t>
      </w:r>
    </w:p>
    <w:p>
      <w:pPr>
        <w:spacing w:after="0" w:line="170" w:lineRule="exact"/>
        <w:rPr>
          <w:sz w:val="20"/>
          <w:szCs w:val="20"/>
          <w:color w:val="auto"/>
        </w:rPr>
      </w:pPr>
    </w:p>
    <w:p>
      <w:pPr>
        <w:ind w:right="80" w:firstLine="6"/>
        <w:spacing w:after="0" w:line="254" w:lineRule="auto"/>
        <w:tabs>
          <w:tab w:leader="none" w:pos="17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payor represented less than 10% of the Company’s total revenues during the second quarter of 2022 due to a reversal of revenue recorded for this payor in the quarter due to this payor’s allegation regarding certain overpayments the Company allegedly received from this payor for services alleged to be uncovered by, or were not otherwise properly billed to, this payor. Refer to Note 4, “Revenue Recognition.”</w:t>
      </w:r>
    </w:p>
    <w:p>
      <w:pPr>
        <w:spacing w:after="0" w:line="14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is subject to a concentration of risk from a limited number of suppliers for certain reagents and laboratory supplies. One supplier accounted for approximately 13% and 10% for the three months ended June 30, 2022 and 2021, respectively and 13% and 11% for the six months ended June 30, 2022 and 2021, respectively. This risk is managed by maintaining a target quantity of surplus stock.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Beginning in April 2020, the Company’s diagnostic test volumes decreased significantly as compared to the prior year as a result of the initial outbreak of the COVID-19 pandemic and the related limitations and priorities across the healthcare system. In response, beginning in May 2020, the Company entered into several service agreements with state governments and healthcare institutions to provide testing for the presence of COVID-19 variants. While test volumes have since improved, the Company continues to experience changes in the mix of tests due to the impact of the COVID-19 pandemic. COVID-19 could continue to have a material impact on the Company’s results of operations, cash flows and financial condition for the foreseeable future.</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March 2020, the Coronavirus Aid, Relief and Economic Security Act (“CARES Act”) was signed into law which was a stimulus bill that, among other things, provided assistance to qualifying businesses and individuals and included funding for the healthcare system. During 2020, as part of the stimulus provided by the CARES Act, the Company received $5.4 million, comprised of $2.6 million received under the Provider Relief Fund (“PRF”) distribution and $2.8 million received under the Employee Retention Credit (“ERC”) distribution which was recorded in other current liabilities and reflected in this balance as of June 30, 2022 and December 31, 2021.</w:t>
      </w:r>
    </w:p>
    <w:p>
      <w:pPr>
        <w:spacing w:after="0" w:line="1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During the three months ended March 31, 2021, the Company received an additional $5.6 million under the PRF distribution, which was recognized in other income in the condensed consolidated statements of operations and comprehensive loss.</w:t>
      </w:r>
    </w:p>
    <w:p>
      <w:pPr>
        <w:spacing w:after="0" w:line="97"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Additionally, under the CARES Act, the Company deferred payment of U.S. social security taxes in 2020. As a result, $3.8 million of employer payroll tax payments were initially deferred as of December 31, 2020 with $1.9 million paid in December 2021 and the remaining $1.9 million payment will be made in December 2022. As of June 30, 2022, the remaining payable is recorded in other current liabilities.</w:t>
      </w:r>
    </w:p>
    <w:p>
      <w:pPr>
        <w:spacing w:after="0" w:line="137"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Following the Company’s announcement that it would discontinue COVID-19 testing services by March 31, 2022, the Company no longer provides COVID-19 testing services. During the six months ended June 30, 2022, the Company wrote off an accounts receivable balance of $0.5 million related to COVID-19 testing services.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30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from the date of purchase to be cash equivalents. Cash equivalents consist of amounts invested in money market funds. Carrying values of cash equivalents approximate fair value due to the short-term nature of these instruments.</w:t>
      </w:r>
    </w:p>
    <w:p>
      <w:pPr>
        <w:spacing w:after="0" w:line="13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on the condensed consolidated balance sheets that sum to the total of the same amounts shown on the condensed consolidated statements of cash flows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Pr>
          <w:p>
            <w:pPr>
              <w:spacing w:after="0"/>
              <w:rPr>
                <w:sz w:val="13"/>
                <w:szCs w:val="13"/>
                <w:color w:val="auto"/>
              </w:rPr>
            </w:pPr>
          </w:p>
        </w:tc>
        <w:tc>
          <w:tcPr>
            <w:tcW w:w="1580" w:type="dxa"/>
            <w:vAlign w:val="bottom"/>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2"/>
        </w:trPr>
        <w:tc>
          <w:tcPr>
            <w:tcW w:w="7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6"/>
                <w:szCs w:val="16"/>
                <w:color w:val="auto"/>
              </w:rPr>
            </w:pPr>
          </w:p>
        </w:tc>
        <w:tc>
          <w:tcPr>
            <w:tcW w:w="158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5"/>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400,569</w:t>
            </w:r>
          </w:p>
        </w:tc>
      </w:tr>
      <w:tr>
        <w:trPr>
          <w:trHeight w:val="225"/>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401,469</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Restricted cash as of June 30, 2022 includes $13.5 million escrow fund as restricted cash related to the closing of the GeneDx Acquisition. The escrow amount is to be held for a period of 12 months following the closing date of the Acquisition as a fund for OPKO’s indemnification obligations pursuant to the Acquisition Merger Agreement. In addition, restricted cash as of June 30, 2022 consists of money market deposit accounts that secure an irrevocable standby letter of credit that serves as collateral for security deposit operating leases (see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8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 accounts for acquisitions of entities that include inputs and processes and have the ability to create outputs as business combinations. The tangible and identifiable intangible assets acquired and liabilities assumed in a business combination are recorded based on their estimated fair values as of the business combination date, including identifiable intangible assets which either arise from a contractual or legal right or are separable from goodwill. The Company bases the estimated fair value of identifiable intangible assets acquired in a business combination on third-party valuations that use information and assumptions provided by the Company’s management, which consider estimates of inputs and assumptions that a market participant would use. Any excess purchase price over the estimated fair value assigned to the net tangible and identifiable intangible assets acquired and liabilities assumed is recorded to goodwill. The use of alternative valuation assumptions, including estimated revenue projections, growth rates, estimated cost savings, cash flows, discount rates, estimated useful lives and probabilities surrounding the achievement of contingent milestones could result in different purchase price allocations and amortization expense in current and future periods.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Amortizable intangible assets include trade names and trademarks, developed technology and customer relationships acquired as part of business combinations. Intangible assets acquired through our business combinations in the second quarter of 2022 are amortized on a straight line basis. All intangible assets subject to amortization are reviewed for impairment in accordance with ASC 360, Property, Plant and Equipment.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9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accordance with ASC 350, Intangibles-Goodwill and Other, the Company’s goodwill is not amortized but is tested for impairment on an annual basis or whenever events or changes in circumstances indicate that the carrying amount of these assets may not be recoverable. Under ASC 350, the Company will perform annual impairment reviews of goodwill during the fourth fiscal quarter or more frequently if business factors indicate. The Company did not incur any goodwill impairment losses during the second quarter ended June 30, 2022.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the consummation of the Business Combination Merger in July 2021, there were 21,995,000 warrants to purchase shares of Class A common stock outstanding, including 14,758,333 public warrants and 7,236,667 private placement warrants. As of December 31, 2021, there were 21,994,972 warrants to purchase shares of Class A common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30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stock outstanding, including 14,758,305 public warrants and 7,236,667 private placement warrants outstanding. Each warrant expires five years after the Business Combination or earlier upon redemption or liquidation, and entitles the holder to purchase one share of Class A common stock at an exercise price of $11.50 per share, subject to adjustment, at any time commencing on September 4, 2021.</w:t>
      </w:r>
    </w:p>
    <w:p>
      <w:pPr>
        <w:spacing w:after="0" w:line="13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may redeem the outstanding public warrants if the price per share of the Class A common stock equals or exceeds $18.00 as described below:</w:t>
      </w:r>
    </w:p>
    <w:p>
      <w:pPr>
        <w:spacing w:after="0" w:line="203" w:lineRule="exact"/>
        <w:rPr>
          <w:sz w:val="20"/>
          <w:szCs w:val="20"/>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$18.00 per share (as adjusted) for any 20 trading days within a 30-trading day period ending three trading days before sending the notice of redemption to warrant holders.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may redeem the outstanding public warrants if the price per share of the common stock equals or exceeds $10.00 as described below:</w:t>
      </w:r>
    </w:p>
    <w:p>
      <w:pPr>
        <w:spacing w:after="0" w:line="244" w:lineRule="exact"/>
        <w:rPr>
          <w:sz w:val="20"/>
          <w:szCs w:val="20"/>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64" w:lineRule="exact"/>
        <w:rPr>
          <w:rFonts w:ascii="Times New Roman" w:cs="Times New Roman" w:eastAsia="Times New Roman" w:hAnsi="Times New Roman"/>
          <w:sz w:val="18"/>
          <w:szCs w:val="18"/>
          <w:color w:val="auto"/>
        </w:rPr>
      </w:pPr>
    </w:p>
    <w:p>
      <w:pPr>
        <w:ind w:left="640" w:right="20" w:hanging="316"/>
        <w:spacing w:after="0" w:line="304" w:lineRule="auto"/>
        <w:tabs>
          <w:tab w:leader="none" w:pos="6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common stock;</w:t>
      </w:r>
    </w:p>
    <w:p>
      <w:pPr>
        <w:spacing w:after="0" w:line="87" w:lineRule="exact"/>
        <w:rPr>
          <w:rFonts w:ascii="Times New Roman" w:cs="Times New Roman" w:eastAsia="Times New Roman" w:hAnsi="Times New Roman"/>
          <w:sz w:val="17"/>
          <w:szCs w:val="17"/>
          <w:color w:val="auto"/>
        </w:rPr>
      </w:pPr>
    </w:p>
    <w:p>
      <w:pPr>
        <w:ind w:left="6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$10.00 per share (as adjusted) for any 20 trading days within the 30-trading day period ending three trading days before the Company sends the notice of redemption to the warrant holders; and</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5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private placement warrants were issued to CMLS Holdings, LLC, Mr. Munib Islam, Dr. Emily Leproust and Mr. Nat Turner, and are identical to the public warrants underlying the units sold in the initial public offering, except that (1) the private placement warrants and the common stock issuable upon the exercise of the private placement warrants would 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$10.00) so long as they are held by the initial purchasers or their permitted transferees, and (4) the holders of the private placement warrants and the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accounts for warrants as liability-classified instruments based on an assessment of the warrant terms and applicable authoritative guidance in accordance with ASC 480-Distinguishing Liabilities from Equity (“ASC 480”) and ASC 815-Derivatives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assessment is conducted at the time of warrant issuance and as of each subsequent quarterly period end date while the warrants are outstanding.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(GeneDx)</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30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11"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In connection with the Acquisition of GeneDx, up to $150 million of contingent payments will be payable to OPKO in cash and/or shares of Company’s Class A common stock with such mix to be determined in the Company’s sole discretion,based upon achievement of 2022 and 2023 revenue milestones, pursuant to the Acquisition Merger Agreement (the “Milestone Payments”). If the Company elects to pay in shares of Class A common stock, the Acquisition Merger Agreement provides that the shares issues are to be valued at $4.86 per share.</w:t>
      </w:r>
    </w:p>
    <w:p>
      <w:pPr>
        <w:spacing w:after="0" w:line="14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7"/>
          <w:szCs w:val="17"/>
          <w:color w:val="auto"/>
        </w:rPr>
        <w:t>Subject to the terms and conditions of the Acquisition Merger Agreement, (a) the first Milestone Payment of $112.5 million will become due and payable if the revenue of the GeneDx group for the fiscal year 2022 equals or exceeds $163 million and (b) the second Milestone Payment of $37.5 million will become due and payable if the revenue of the GeneDx group for the fiscal year 2023 equals or exceeds $219 million (each of clauses (a) and (b), a “Milestone Event”); provided that 80% of the Milestone Payment for the first milestone period or the second milestone period, as applicable, will become payable in respect of such period if the GeneDx group achieves 90% of the applicable Milestone Event revenue target for such period, which amount will scale on a</w:t>
      </w: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linear basis up to 100% of the applicable Milestone Payment at 100% of the applicable revenue target. The fair value of the Milestone Payment which was determined to be $35 million as of June 30, 2022 is estimated using a Monte Carlo simulation valuation model.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contingent liability</w:t>
      </w:r>
    </w:p>
    <w:p>
      <w:pPr>
        <w:spacing w:after="0" w:line="1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connection with the Business Combination Merger, all Legacy Sema4 stockholders and option holders at that time became entitled to a pro rata share of 19,021,576 earn-out shares and earn-out RSUs. Based on an assessment of the earn-out shares for the Legacy Sema4 stockholders, the Company considered ASC 480 and ASC 815 and accounted for the earn-out shares as a liability. The Company subsequently measures the fair value of the liability at each reporting period and reports the changes in fair value recorded as a component of other income (expense), net in the condensed consolidated statements of operations and comprehensive loss.</w:t>
      </w:r>
    </w:p>
    <w:p>
      <w:pPr>
        <w:spacing w:after="0" w:line="1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determined the fair value of the earn-out shares issued to the Legacy Sema4 stockholders as of June 30, 2022 was $0.2 million. The estimated fair value of the earn-out is determined using a Monte Carlo valuation analysis.</w:t>
      </w:r>
    </w:p>
    <w:p>
      <w:pPr>
        <w:spacing w:after="0" w:line="12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for the earn-out RSUs for the Legacy Sema4 option holders, a total of 2.7 million RSUs were granted on December 9, 2021. The vesting of such arrangement is conditioned on the satisfaction of both a service requirement and on the satisfaction of a market-based requirement. The market-based requirement would be achieved if the Company’s stock price is greater than or equal to $13 (Triggering Event I), $15 (Triggering Event II) and $18 (Triggering Event III) during the applicable performance period, based on the volume-weighted average price for a period of at least 20 days out of 30 consecutive trading days. Therefore, the Company accounts for this arrangement in accordance with ASC 718- Compensation — Stock Compensation (“ASC 718”) and stock-based compensation expense is recognized over the longer of the expected achievement period for the market-based requirement and the service requirement. The Company recorded $0.9 million of stock-based compensation expense in relation to the earn-out RSUs for the six months ended June 30, 2022. In the event that any earn-out RSUs that are forfeited as a result of a failure to achieve the service requirement, the underlying shares will be reallocated on an annual basis to the Legacy Sema4 stockholders and to the Legacy Sema4 option holders who remain employed as of the date of such reallocation. The Company accounts for the re-allocations to Legacy Sema4 option holders as new grants.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Internal-Use Software Costs</w:t>
      </w:r>
    </w:p>
    <w:p>
      <w:pPr>
        <w:spacing w:after="0" w:line="1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capitalizes certain costs incurred related to the development of its software applications for internal use during the application development state. If a project constitutes an enhancement to existing software, the Company assesses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the Company estimates the useful life of the asset and begins amortization.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9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30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11" w:lineRule="exact"/>
        <w:rPr>
          <w:sz w:val="20"/>
          <w:szCs w:val="20"/>
          <w:color w:val="auto"/>
        </w:rPr>
      </w:pPr>
    </w:p>
    <w:p>
      <w:pPr>
        <w:ind w:right="920"/>
        <w:spacing w:after="0" w:line="445" w:lineRule="auto"/>
        <w:rPr>
          <w:sz w:val="20"/>
          <w:szCs w:val="20"/>
          <w:color w:val="auto"/>
        </w:rPr>
      </w:pPr>
      <w:r>
        <w:rPr>
          <w:rFonts w:ascii="Times New Roman" w:cs="Times New Roman" w:eastAsia="Times New Roman" w:hAnsi="Times New Roman"/>
          <w:sz w:val="18"/>
          <w:szCs w:val="18"/>
          <w:color w:val="auto"/>
        </w:rPr>
        <w:t xml:space="preserve">therefore, will not be subject to the same new or revised accounting standards as other public companies that are not emerging growth companies. </w:t>
      </w:r>
      <w:r>
        <w:rPr>
          <w:rFonts w:ascii="Times New Roman" w:cs="Times New Roman" w:eastAsia="Times New Roman" w:hAnsi="Times New Roman"/>
          <w:sz w:val="18"/>
          <w:szCs w:val="18"/>
          <w:b w:val="1"/>
          <w:bCs w:val="1"/>
          <w:i w:val="1"/>
          <w:iCs w:val="1"/>
          <w:color w:val="auto"/>
        </w:rPr>
        <w:t>Recently Adopted Accounting Pronouncements</w:t>
      </w:r>
    </w:p>
    <w:p>
      <w:pPr>
        <w:spacing w:after="0" w:line="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February 2016, the FASB issued ASU 2016-02, Leases (“Topic 842”), which requires lessees to recognize right-of-use assets and lease liabilities for most leases on their balance sheets. Expense recognition for lessees under ASC 842 is similar to current lease accounting. ASC 842 requires enhanced disclosures to help the financial statement users better understand the amount, timing, and uncertainty of cash flows arising from leases. The Company adopted ASC 842 as of January 1, 2022, utilizing the modified retrospective adoption approach. In transition to the ASC 842, the Company elected to use the package of practical expedients permitted under the transition guidance that allowed us to not reassess: (i) whether any expired or existing contracts are or contain leases,</w:t>
      </w:r>
    </w:p>
    <w:p>
      <w:pPr>
        <w:jc w:val="both"/>
        <w:ind w:firstLine="6"/>
        <w:spacing w:after="0" w:line="246" w:lineRule="auto"/>
        <w:tabs>
          <w:tab w:leader="none" w:pos="2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lease classification for any expired or existing leases, or (iii) initial direct costs for any existing leases. Additionally, the Company did not elect the hindsight practical expedient which would have permitted the use of hindsight in determining the lease term and assessing impairment. The Company elected to combine lease and non-lease components that are fixed and also elected not to recognize right-of-use assets and lease liabilities for leases with terms of 12 months or less (“short-term leases”). The adoption of the ASC 842 as of January 1, 2022, resulted in the recognition of operating lease right-of-use assets and operating lease liabilities of $39.2 million and $42.2 million, respectively. The adoption did not have material impact on finance leases. The adoption did not have material impact on the condensed consolidated statements of operations and comprehensive loss. Refer to </w:t>
      </w:r>
      <w:r>
        <w:rPr>
          <w:rFonts w:ascii="Times New Roman" w:cs="Times New Roman" w:eastAsia="Times New Roman" w:hAnsi="Times New Roman"/>
          <w:sz w:val="18"/>
          <w:szCs w:val="18"/>
          <w:i w:val="1"/>
          <w:iCs w:val="1"/>
          <w:color w:val="auto"/>
        </w:rPr>
        <w:t>“Note 9 Leases”</w:t>
      </w:r>
      <w:r>
        <w:rPr>
          <w:rFonts w:ascii="Times New Roman" w:cs="Times New Roman" w:eastAsia="Times New Roman" w:hAnsi="Times New Roman"/>
          <w:sz w:val="18"/>
          <w:szCs w:val="18"/>
          <w:color w:val="auto"/>
        </w:rPr>
        <w:t xml:space="preserve"> for a discussion of the Company’s lease accounting following the adoption of ASC 842.</w:t>
      </w:r>
    </w:p>
    <w:p>
      <w:pPr>
        <w:spacing w:after="0" w:line="16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Company adopted ASU 2021-10 effective January 1, 2022. The Company did not receive any such grants during the six months ended June 30, 2022.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9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The new credit losses standard changes the impairment model for most financial assets and certain other instruments. For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15,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consolidated financial statements and related disclosures.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Combinations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CMLS Business Combination</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July 22, 2021, the Company consummated the Business Combination and received net cash proceeds of $510.0 million.</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Pursuant to the Business Combination, the following occurred:</w:t>
      </w:r>
    </w:p>
    <w:p>
      <w:pPr>
        <w:spacing w:after="0" w:line="24" w:lineRule="exact"/>
        <w:rPr>
          <w:sz w:val="20"/>
          <w:szCs w:val="20"/>
          <w:color w:val="auto"/>
        </w:rPr>
      </w:pPr>
    </w:p>
    <w:p>
      <w:pPr>
        <w:jc w:val="both"/>
        <w:ind w:left="640" w:hanging="316"/>
        <w:spacing w:after="0" w:line="248"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10,188 shares of CMLS’s Class A common stock sold in its initial public offering (the “public shares”) exercised their right to have such shares redeemed for a full pro rata portion of the trust account holding the proceeds from CMLS’s initial public offering (the “IPO”), which was approximately $10.00 per share, or $101,880 in aggregate.</w:t>
      </w:r>
    </w:p>
    <w:p>
      <w:pPr>
        <w:spacing w:after="0" w:line="13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CMLS’s Class B common stock was automatically converted into common stock of the Company.</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30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25" w:lineRule="exact"/>
        <w:rPr>
          <w:sz w:val="20"/>
          <w:szCs w:val="20"/>
          <w:color w:val="auto"/>
        </w:rPr>
      </w:pPr>
    </w:p>
    <w:p>
      <w:pPr>
        <w:jc w:val="both"/>
        <w:ind w:left="640" w:hanging="316"/>
        <w:spacing w:after="0" w:line="259"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the Legacy Sema4 Class B common stock was converted into 1/100th of a share of Legacy Sema4 Class A common stock and each share of Legacy Sema4 common stock and preferred stock was canceled and received a portion of the merger consideration, resulting in certain Legacy Sema4 stockholders receiving</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$230,665,220 of cash and the Legacy Sema4 stockholders receiving an aggregate of 178,336,298 shares of common stock of the Company.</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subscription agreements entered into on February 9, 2021, certain investors agreed to subscribe for an aggregate of 35,000,000 newly-issued shares of common stock at a purchase price of $10.00 per share for an aggregate purchase price of $350,000,000 (the “Business Combination PIPE Investment”). Concurrently with the closing of the Business Combination, the Company consummated the Business Combination PIPE Investment.</w:t>
      </w:r>
    </w:p>
    <w:p>
      <w:pPr>
        <w:spacing w:after="0" w:line="12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Business Combination Merger, the redemption of public shares and the conversion of the CMLS Class B common stock as described above, and the consummation of the Business Combination PIPE Investment, there were 240,190,402 shares of the Company’s common stock issued and outstanding.</w:t>
      </w:r>
    </w:p>
    <w:p>
      <w:pPr>
        <w:spacing w:after="0" w:line="15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2021, the Company recorded $51.8 million of transaction costs which consisted of direct, incremental legal, professional, accounting, and other third-party fees that were directly related to the execution of the Business Combination Merger in additional paid-in capital. Upon consummation of the Business Combination Merger, $9.0 million of the transaction costs relates to costs incurred by Legacy Sema4 and reclassed to offset against equity from prepaid expense and other current assets.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GeneDx Acquisition</w:t>
      </w:r>
    </w:p>
    <w:p>
      <w:pPr>
        <w:spacing w:after="0" w:line="18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discussed in Note 1, on April 29, 2022, the Company completed the Acquisition of GeneDx. At the closing of the Acquisition, the Company paid OPKO gross cash consideration of $150 million (before deduction of transaction expenses and other customary purchase price adjustments) and issued to OPKO 80 million shares of the Company’s Class A common stock ($172 million based on the closing date share price of $2.15 per share). A portion of this cash ($13.4 million) and share consideration (8.3 million shares) will be held in escrow for 12 months following the closing date of the Acquisition. In addition, up to $150 million is payable following the closing of the Acquisition, if certain revenue-based milestones are achieved for each of the fiscal years ending December 31, 2022 and December 31, 2023. These milestone payments, if and to the extent earned under the terms of the Acquisition Merger Agreement, will be satisfied through the payment and/or issuance of a combination of cash and shares of the Company’s Class A common stock (valued at $4.86 per share, subject to adjustment for stock splits and similar changes), with such mix to be determined in the Company’s sole discretion. Concurrently with the closing of the Acquisition, the Company also issued and sold in private placement 50,000,000 shares of the Company’s Class A common stock to certain institutional investors for aggregate gross proceeds of $200 million (the “Acquisition PIPE Investment”).</w:t>
      </w:r>
    </w:p>
    <w:p>
      <w:pPr>
        <w:spacing w:after="0" w:line="22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following table summarizes the net book values of the assets acquired and liabilities assumed as of the Acquisition closing date. The initial accounting for the Acquisition is incomplete. All amounts below could change, potentially materially, as there is significant additional information that the Company has to obtain to finalize the valuations of the assets acquired and liabilities assumed, and to establish the value of the potential intangible assets, primarily because of the proximity of the Acquisition closing date to the balance sheet date of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30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9760" w:type="dxa"/>
            <w:vAlign w:val="bottom"/>
          </w:tcPr>
          <w:p>
            <w:pPr>
              <w:ind w:left="4460"/>
              <w:spacing w:after="0"/>
              <w:rPr>
                <w:sz w:val="20"/>
                <w:szCs w:val="20"/>
                <w:color w:val="auto"/>
              </w:rPr>
            </w:pPr>
            <w:r>
              <w:rPr>
                <w:rFonts w:ascii="Times New Roman" w:cs="Times New Roman" w:eastAsia="Times New Roman" w:hAnsi="Times New Roman"/>
                <w:sz w:val="18"/>
                <w:szCs w:val="18"/>
                <w:b w:val="1"/>
                <w:bCs w:val="1"/>
                <w:color w:val="auto"/>
              </w:rPr>
              <w:t>Sema4 Holdings Corp.</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97"/>
        </w:trPr>
        <w:tc>
          <w:tcPr>
            <w:tcW w:w="9760" w:type="dxa"/>
            <w:vAlign w:val="bottom"/>
          </w:tcPr>
          <w:p>
            <w:pPr>
              <w:ind w:left="28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29"/>
        </w:trPr>
        <w:tc>
          <w:tcPr>
            <w:tcW w:w="9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receivables</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25"/>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8"/>
        </w:trPr>
        <w:tc>
          <w:tcPr>
            <w:tcW w:w="9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Fair value of net assets acquired</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r>
      <w:tr>
        <w:trPr>
          <w:trHeight w:val="225"/>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 (1)</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w:t>
            </w:r>
          </w:p>
        </w:tc>
      </w:tr>
      <w:tr>
        <w:trPr>
          <w:trHeight w:val="243"/>
        </w:trPr>
        <w:tc>
          <w:tcPr>
            <w:tcW w:w="9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Aggregate purchase price</w:t>
            </w: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right="100" w:firstLine="324"/>
        <w:spacing w:after="0" w:line="255" w:lineRule="auto"/>
        <w:tabs>
          <w:tab w:leader="none" w:pos="5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represents the excess of the purchase price over the fair value of the net tangible and intangible assets acquired. The Acquisition of GeneDx resulted in the recognition of $181.2 million in goodwill as of June 30, 2022, which represents the excess of consideration transferred over the net assets recognized and represents future economic benefits arising from other assets acquired that could not be individually identified and separately recognized, such as assembled workforce. $0.2 million of the acquired goodwill is expected to be deductible for tax purposes.</w:t>
      </w:r>
    </w:p>
    <w:p>
      <w:pPr>
        <w:spacing w:after="0" w:line="141" w:lineRule="exact"/>
        <w:rPr>
          <w:sz w:val="20"/>
          <w:szCs w:val="20"/>
          <w:color w:val="auto"/>
        </w:rPr>
      </w:pPr>
    </w:p>
    <w:p>
      <w:pPr>
        <w:jc w:val="both"/>
        <w:ind w:right="100" w:firstLine="318"/>
        <w:spacing w:after="0" w:line="255" w:lineRule="auto"/>
        <w:rPr>
          <w:sz w:val="20"/>
          <w:szCs w:val="20"/>
          <w:color w:val="auto"/>
        </w:rPr>
      </w:pPr>
      <w:r>
        <w:rPr>
          <w:rFonts w:ascii="Times New Roman" w:cs="Times New Roman" w:eastAsia="Times New Roman" w:hAnsi="Times New Roman"/>
          <w:sz w:val="18"/>
          <w:szCs w:val="18"/>
          <w:color w:val="auto"/>
        </w:rPr>
        <w:t>For six months ended June 30, 2022, $12.1 million of GeneDx acquisition-related costs are reflected within General and administrative expenses in the Company’s condensed consolidated statements of operations and comprehensive loss. These costs include third-party professional firms’ services related to due diligence, advisory and legal services. The Company’s results for the three and six months ended June 30, 2022 include $26.1 million of revenue and $9.0 million of pretax loss from GeneDx.</w:t>
      </w:r>
    </w:p>
    <w:p>
      <w:pPr>
        <w:spacing w:after="0" w:line="127" w:lineRule="exact"/>
        <w:rPr>
          <w:sz w:val="20"/>
          <w:szCs w:val="20"/>
          <w:color w:val="auto"/>
        </w:rPr>
      </w:pPr>
    </w:p>
    <w:p>
      <w:pPr>
        <w:jc w:val="both"/>
        <w:ind w:right="10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reflects the fair values and useful lives of the acquired intangible assets identified based on the Company’s preliminary purchase accounting assessments:</w:t>
      </w:r>
    </w:p>
    <w:p>
      <w:pPr>
        <w:spacing w:after="0" w:line="144"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5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29, 2022</w:t>
            </w:r>
          </w:p>
        </w:tc>
        <w:tc>
          <w:tcPr>
            <w:tcW w:w="240" w:type="dxa"/>
            <w:vAlign w:val="bottom"/>
          </w:tcPr>
          <w:p>
            <w:pPr>
              <w:spacing w:after="0"/>
              <w:rPr>
                <w:sz w:val="16"/>
                <w:szCs w:val="16"/>
                <w:color w:val="auto"/>
              </w:rPr>
            </w:pPr>
          </w:p>
        </w:tc>
        <w:tc>
          <w:tcPr>
            <w:tcW w:w="12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76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Life (in Years)</w:t>
            </w:r>
          </w:p>
        </w:tc>
      </w:tr>
      <w:tr>
        <w:trPr>
          <w:trHeight w:val="24"/>
        </w:trPr>
        <w:tc>
          <w:tcPr>
            <w:tcW w:w="5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8"/>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49,479</w:t>
            </w:r>
          </w:p>
        </w:tc>
        <w:tc>
          <w:tcPr>
            <w:tcW w:w="1760" w:type="dxa"/>
            <w:vAlign w:val="bottom"/>
            <w:shd w:val="clear" w:color="auto" w:fill="CCEEFF"/>
          </w:tcPr>
          <w:p>
            <w:pPr>
              <w:jc w:val="center"/>
              <w:ind w:left="216"/>
              <w:spacing w:after="0"/>
              <w:rPr>
                <w:sz w:val="20"/>
                <w:szCs w:val="20"/>
                <w:color w:val="auto"/>
              </w:rPr>
            </w:pPr>
            <w:r>
              <w:rPr>
                <w:rFonts w:ascii="Times New Roman" w:cs="Times New Roman" w:eastAsia="Times New Roman" w:hAnsi="Times New Roman"/>
                <w:sz w:val="18"/>
                <w:szCs w:val="18"/>
                <w:color w:val="auto"/>
                <w:w w:val="99"/>
              </w:rPr>
              <w:t>16</w:t>
            </w:r>
          </w:p>
        </w:tc>
      </w:tr>
      <w:tr>
        <w:trPr>
          <w:trHeight w:val="225"/>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76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rPr>
              <w:t>8</w:t>
            </w:r>
          </w:p>
        </w:tc>
      </w:tr>
      <w:tr>
        <w:trPr>
          <w:trHeight w:val="225"/>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97,184</w:t>
            </w:r>
          </w:p>
        </w:tc>
        <w:tc>
          <w:tcPr>
            <w:tcW w:w="1760" w:type="dxa"/>
            <w:vAlign w:val="bottom"/>
            <w:shd w:val="clear" w:color="auto" w:fill="CCEEFF"/>
          </w:tcPr>
          <w:p>
            <w:pPr>
              <w:jc w:val="center"/>
              <w:ind w:left="216"/>
              <w:spacing w:after="0"/>
              <w:rPr>
                <w:sz w:val="20"/>
                <w:szCs w:val="20"/>
                <w:color w:val="auto"/>
              </w:rPr>
            </w:pPr>
            <w:r>
              <w:rPr>
                <w:rFonts w:ascii="Times New Roman" w:cs="Times New Roman" w:eastAsia="Times New Roman" w:hAnsi="Times New Roman"/>
                <w:sz w:val="18"/>
                <w:szCs w:val="18"/>
                <w:color w:val="auto"/>
                <w:w w:val="99"/>
              </w:rPr>
              <w:t>20</w:t>
            </w:r>
          </w:p>
        </w:tc>
      </w:tr>
      <w:tr>
        <w:trPr>
          <w:trHeight w:val="218"/>
        </w:trPr>
        <w:tc>
          <w:tcPr>
            <w:tcW w:w="594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196,000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193,663</w:t>
            </w:r>
          </w:p>
        </w:tc>
        <w:tc>
          <w:tcPr>
            <w:tcW w:w="176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right="100" w:firstLine="318"/>
        <w:spacing w:after="0" w:line="255" w:lineRule="auto"/>
        <w:rPr>
          <w:sz w:val="20"/>
          <w:szCs w:val="20"/>
          <w:color w:val="auto"/>
        </w:rPr>
      </w:pPr>
      <w:r>
        <w:rPr>
          <w:rFonts w:ascii="Times New Roman" w:cs="Times New Roman" w:eastAsia="Times New Roman" w:hAnsi="Times New Roman"/>
          <w:sz w:val="18"/>
          <w:szCs w:val="18"/>
          <w:color w:val="auto"/>
        </w:rPr>
        <w:t>Amortization expense for trade names and trademarks and developed technology of $1.5 million was recorded in general and administrative for the three months ended June 30, 2022 within the condensed consolidated statements of operations and comprehensive loss. Amortization expense for customer relationships of $0.8 million was recorded in selling and marketing for the three months ended June 30, 2022 within the condensed consolidated statements of operations and comprehensive loss.</w:t>
      </w:r>
    </w:p>
    <w:p>
      <w:pPr>
        <w:spacing w:after="0" w:line="141" w:lineRule="exact"/>
        <w:rPr>
          <w:sz w:val="20"/>
          <w:szCs w:val="20"/>
          <w:color w:val="auto"/>
        </w:rPr>
      </w:pPr>
    </w:p>
    <w:p>
      <w:pPr>
        <w:jc w:val="both"/>
        <w:ind w:right="10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Company’s estimated future amortization expense of intangible assets with finite lives as of June 30, 2022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40"/>
          </w:cols>
          <w:pgMar w:left="320" w:top="307"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tbl>
      <w:tblPr>
        <w:tblLayout w:type="fixed"/>
        <w:tblInd w:w="80" w:type="dxa"/>
        <w:tblCellMar>
          <w:top w:w="0" w:type="dxa"/>
          <w:left w:w="0" w:type="dxa"/>
          <w:bottom w:w="0" w:type="dxa"/>
          <w:right w:w="0" w:type="dxa"/>
        </w:tblCellMar>
      </w:tblPr>
      <w:tr>
        <w:trPr>
          <w:trHeight w:val="233"/>
        </w:trPr>
        <w:tc>
          <w:tcPr>
            <w:tcW w:w="8980" w:type="dxa"/>
            <w:vAlign w:val="bottom"/>
          </w:tcPr>
          <w:p>
            <w:pPr>
              <w:ind w:left="4700"/>
              <w:spacing w:after="0"/>
              <w:rPr>
                <w:sz w:val="20"/>
                <w:szCs w:val="20"/>
                <w:color w:val="auto"/>
              </w:rPr>
            </w:pPr>
            <w:r>
              <w:rPr>
                <w:rFonts w:ascii="Times New Roman" w:cs="Times New Roman" w:eastAsia="Times New Roman" w:hAnsi="Times New Roman"/>
                <w:sz w:val="18"/>
                <w:szCs w:val="18"/>
                <w:b w:val="1"/>
                <w:bCs w:val="1"/>
                <w:color w:val="auto"/>
              </w:rPr>
              <w:t>Sema4 Holdings Corp.</w:t>
            </w: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8"/>
        </w:trPr>
        <w:tc>
          <w:tcPr>
            <w:tcW w:w="8980" w:type="dxa"/>
            <w:vAlign w:val="bottom"/>
          </w:tcPr>
          <w:p>
            <w:pPr>
              <w:ind w:left="30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529"/>
        </w:trPr>
        <w:tc>
          <w:tcPr>
            <w:tcW w:w="8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5"/>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(remainder of the year)</w:t>
            </w:r>
          </w:p>
        </w:tc>
        <w:tc>
          <w:tcPr>
            <w:tcW w:w="86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w:t>
            </w:r>
          </w:p>
        </w:tc>
      </w:tr>
      <w:tr>
        <w:trPr>
          <w:trHeight w:val="225"/>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14,025</w:t>
            </w:r>
          </w:p>
        </w:tc>
      </w:tr>
      <w:tr>
        <w:trPr>
          <w:trHeight w:val="225"/>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14,025</w:t>
            </w:r>
          </w:p>
        </w:tc>
      </w:tr>
      <w:tr>
        <w:trPr>
          <w:trHeight w:val="225"/>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14,025</w:t>
            </w:r>
          </w:p>
        </w:tc>
      </w:tr>
      <w:tr>
        <w:trPr>
          <w:trHeight w:val="225"/>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14,025</w:t>
            </w:r>
          </w:p>
        </w:tc>
      </w:tr>
      <w:tr>
        <w:trPr>
          <w:trHeight w:val="225"/>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130,551</w:t>
            </w:r>
          </w:p>
        </w:tc>
      </w:tr>
      <w:tr>
        <w:trPr>
          <w:trHeight w:val="243"/>
        </w:trPr>
        <w:tc>
          <w:tcPr>
            <w:tcW w:w="8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estimated future amortization expense</w:t>
            </w:r>
          </w:p>
        </w:tc>
        <w:tc>
          <w:tcPr>
            <w:tcW w:w="860" w:type="dxa"/>
            <w:vAlign w:val="bottom"/>
            <w:tcBorders>
              <w:bottom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193,663</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w:t>
      </w:r>
    </w:p>
    <w:p>
      <w:pPr>
        <w:spacing w:after="0" w:line="168" w:lineRule="exact"/>
        <w:rPr>
          <w:sz w:val="20"/>
          <w:szCs w:val="20"/>
          <w:color w:val="auto"/>
        </w:rPr>
      </w:pPr>
    </w:p>
    <w:p>
      <w:pPr>
        <w:jc w:val="both"/>
        <w:ind w:right="80" w:firstLine="318"/>
        <w:spacing w:after="0" w:line="249" w:lineRule="auto"/>
        <w:rPr>
          <w:sz w:val="20"/>
          <w:szCs w:val="20"/>
          <w:color w:val="auto"/>
        </w:rPr>
      </w:pPr>
      <w:r>
        <w:rPr>
          <w:rFonts w:ascii="Times New Roman" w:cs="Times New Roman" w:eastAsia="Times New Roman" w:hAnsi="Times New Roman"/>
          <w:sz w:val="18"/>
          <w:szCs w:val="18"/>
          <w:color w:val="auto"/>
        </w:rPr>
        <w:t>The pro forma information below gives effect to the GeneDx Acquisition as if it had been completed on January 1, 2021 (“the pro forma acquisition date”). The pro forma information is not necessarily indicative of the Company’s revenue results had the Acquisition been completed on the pro forma acquisition date, nor is it necessarily indicative of the Company’s future results. The pro forma revenue information reflects GeneDx’s historic revenue and does not include any additional revenue opportunities following the Acquisition. The purchase price allocations for the assets acquired and liabilities assumed are based on preliminary valuations and are subject to change as the Company obtains additional information during the acquisition measurement period. Increases or decreases in the estimated fair values of the net assets acquired may impact the Company’s consolidated statements of operations and comprehensive loss in future periods. The Company expects that the values assigned to the assets acquired and liabilities assumed will be finalized during the one-year measurement period following the Acquisition closing date. The pro forma revenues and net loss include the following adjustments based on the Company’s preliminary analysis and are subject to change as additional analysis is performed:</w:t>
      </w:r>
    </w:p>
    <w:p>
      <w:pPr>
        <w:spacing w:after="0" w:line="134" w:lineRule="exact"/>
        <w:rPr>
          <w:sz w:val="20"/>
          <w:szCs w:val="20"/>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revised amortization expense resulting from the acquired intangible assets,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intercompany revenue recognized by GeneDx with OPKO or other related parties,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benefits resulting from the deferred tax liabilities acquired,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revised stock based compensation reflecting the inducement awards issued to the GeneDx employees.</w:t>
      </w:r>
    </w:p>
    <w:p>
      <w:pPr>
        <w:spacing w:after="0" w:line="198"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4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4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revenues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48,293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163,665</w:t>
            </w:r>
          </w:p>
        </w:tc>
      </w:tr>
      <w:tr>
        <w:trPr>
          <w:trHeight w:val="106"/>
        </w:trPr>
        <w:tc>
          <w:tcPr>
            <w:tcW w:w="4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25"/>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net loss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(147,732)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(308,703)</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Recognition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Diagnostic Revenue</w:t>
      </w:r>
    </w:p>
    <w:p>
      <w:pPr>
        <w:spacing w:after="0" w:line="181" w:lineRule="exact"/>
        <w:rPr>
          <w:sz w:val="20"/>
          <w:szCs w:val="20"/>
          <w:color w:val="auto"/>
        </w:rPr>
      </w:pPr>
    </w:p>
    <w:p>
      <w:pPr>
        <w:jc w:val="both"/>
        <w:ind w:right="80" w:firstLine="318"/>
        <w:spacing w:after="0" w:line="274" w:lineRule="auto"/>
        <w:rPr>
          <w:sz w:val="20"/>
          <w:szCs w:val="20"/>
          <w:color w:val="auto"/>
        </w:rPr>
      </w:pPr>
      <w:r>
        <w:rPr>
          <w:rFonts w:ascii="Times New Roman" w:cs="Times New Roman" w:eastAsia="Times New Roman" w:hAnsi="Times New Roman"/>
          <w:sz w:val="17"/>
          <w:szCs w:val="17"/>
          <w:color w:val="auto"/>
        </w:rPr>
        <w:t>The Company’s diagnostic test revenue contracts typically consist of a single performance obligation to deliver diagnostic testing services to the ordering facility or patient and therefore allocation of the contract transaction price is generally not applicable. Revenue from diagnostic testing services is recorded at the estimated transaction price, subject to the constraint for variable consideration, upon transfer of control of the service. Control over diagnostic testing services is generally transferred at a point in time when the customer obtains control of the promised service which is upon delivery of the test.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195" w:lineRule="exact"/>
        <w:rPr>
          <w:sz w:val="20"/>
          <w:szCs w:val="20"/>
          <w:color w:val="auto"/>
        </w:rPr>
      </w:pPr>
    </w:p>
    <w:p>
      <w:pPr>
        <w:jc w:val="both"/>
        <w:ind w:right="80" w:firstLine="318"/>
        <w:spacing w:after="0" w:line="274" w:lineRule="auto"/>
        <w:rPr>
          <w:sz w:val="20"/>
          <w:szCs w:val="20"/>
          <w:color w:val="auto"/>
        </w:rPr>
      </w:pPr>
      <w:r>
        <w:rPr>
          <w:rFonts w:ascii="Times New Roman" w:cs="Times New Roman" w:eastAsia="Times New Roman" w:hAnsi="Times New Roman"/>
          <w:sz w:val="18"/>
          <w:szCs w:val="18"/>
          <w:color w:val="auto"/>
        </w:rPr>
        <w:t>The Company enters into both short-term and long-term project-based collaboration and service agreements with third parties, whereby the Company provides diagnostic testing, research and related data aggregation reporting services.</w:t>
      </w:r>
    </w:p>
    <w:p>
      <w:pPr>
        <w:spacing w:after="0" w:line="124" w:lineRule="exact"/>
        <w:rPr>
          <w:sz w:val="20"/>
          <w:szCs w:val="20"/>
          <w:color w:val="auto"/>
        </w:rPr>
      </w:pPr>
    </w:p>
    <w:p>
      <w:pPr>
        <w:jc w:val="both"/>
        <w:ind w:right="80" w:firstLine="318"/>
        <w:spacing w:after="0" w:line="274" w:lineRule="auto"/>
        <w:rPr>
          <w:sz w:val="20"/>
          <w:szCs w:val="20"/>
          <w:color w:val="auto"/>
        </w:rPr>
      </w:pPr>
      <w:r>
        <w:rPr>
          <w:rFonts w:ascii="Times New Roman" w:cs="Times New Roman" w:eastAsia="Times New Roman" w:hAnsi="Times New Roman"/>
          <w:sz w:val="18"/>
          <w:szCs w:val="18"/>
          <w:color w:val="auto"/>
        </w:rPr>
        <w:t>The consideration to which the Company is entitled pursuant to its collaboration and service agreements includes non-refundable upfront payments, fixed and variable payments based upon the achievement of certain milestones during the</w:t>
      </w:r>
    </w:p>
    <w:p>
      <w:pPr>
        <w:spacing w:after="0" w:line="37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20"/>
          </w:cols>
          <w:pgMar w:left="320" w:top="307" w:right="2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term. Non-refundable upfront payments are generally received in advance of performing the services and, therefore, are recorded as a contract liability upon receipt. Fixed and variable milestone payments are included in the transaction price only when it is probable that doing so will not result in a significant reversal of cumulative revenue recognized when the uncertainty associated with the milestone is subsequently resolved. Revenue for such collaboration and service agreements is recognized over time using an input measure based on costs incurred to satisfy the performance obligation.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revenue by payor category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060" w:type="dxa"/>
            <w:vAlign w:val="bottom"/>
            <w:gridSpan w:val="5"/>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24"/>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 test revenue</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Patients with third-party insurance</w:t>
            </w:r>
          </w:p>
        </w:tc>
        <w:tc>
          <w:tcPr>
            <w:tcW w:w="900" w:type="dxa"/>
            <w:vAlign w:val="bottom"/>
          </w:tcPr>
          <w:p>
            <w:pPr>
              <w:jc w:val="right"/>
              <w:ind w:right="72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21,398</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40,210</w:t>
            </w:r>
          </w:p>
        </w:tc>
      </w:tr>
      <w:tr>
        <w:trPr>
          <w:trHeight w:val="22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Institutional customers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w:t>
            </w:r>
          </w:p>
        </w:tc>
      </w:tr>
      <w:tr>
        <w:trPr>
          <w:trHeight w:val="225"/>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Self-pay patients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diagnostic test revenue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44,803</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w:t>
            </w: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651"/>
        </w:trPr>
        <w:tc>
          <w:tcPr>
            <w:tcW w:w="8180" w:type="dxa"/>
            <w:vAlign w:val="bottom"/>
          </w:tcPr>
          <w:p>
            <w:pPr>
              <w:spacing w:after="0"/>
              <w:rPr>
                <w:sz w:val="24"/>
                <w:szCs w:val="24"/>
                <w:color w:val="auto"/>
              </w:rPr>
            </w:pPr>
          </w:p>
        </w:tc>
        <w:tc>
          <w:tcPr>
            <w:tcW w:w="3060" w:type="dxa"/>
            <w:vAlign w:val="bottom"/>
            <w:gridSpan w:val="5"/>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 test revenue</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Patients with third-party insurance</w:t>
            </w:r>
          </w:p>
        </w:tc>
        <w:tc>
          <w:tcPr>
            <w:tcW w:w="900" w:type="dxa"/>
            <w:vAlign w:val="bottom"/>
          </w:tcPr>
          <w:p>
            <w:pPr>
              <w:jc w:val="right"/>
              <w:ind w:right="72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68,860</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86,409</w:t>
            </w:r>
          </w:p>
        </w:tc>
      </w:tr>
      <w:tr>
        <w:trPr>
          <w:trHeight w:val="22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Institutional customers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19,419</w:t>
            </w:r>
          </w:p>
        </w:tc>
      </w:tr>
      <w:tr>
        <w:trPr>
          <w:trHeight w:val="225"/>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Self-pay patients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diagnostic test revenue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107,563</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w:t>
            </w: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111,216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Reassessment of variable consideration</w:t>
      </w:r>
    </w:p>
    <w:p>
      <w:pPr>
        <w:spacing w:after="0" w:line="19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Subsequent changes to the estimate of the transaction price, determined on a portfolio basis when applicable, are generally recorded as adjustments to revenue in the period of the change. The Company updates estimated variable consideration quarterly.</w:t>
      </w:r>
    </w:p>
    <w:p>
      <w:pPr>
        <w:spacing w:after="0" w:line="124"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auto"/>
        </w:rPr>
        <w:t>For the three months ended June 30, 2022, the quarterly change in estimate resulted in a net $30.1 million decrease to revenue for tests in which the performance obligation of delivering the test results was met in prior periods. $24.2 million of this decrease is related to the years December 31, 2021 and prior. The change in estimate is a result of changes in the estimated transaction price due to contractual adjustments, obtaining updated information from payors and patients that was unknown at the time the performance obligation was met and potential and actual settlements with third party payors. As described in more detail below, third-party payors may decide to deny payment or seek to recoup payments for tests performed by the Company for a number of reasons and, as a result, the Company may be required to refund payments already received, and the Company’s revenues may be subject to retroactive adjustment as a result. The Company processes requests for recoupment from third-party payors in the ordinary course of its business and reflects in the Company’s transaction price estimations. See “—Certain payor matters” below for further details regarding an ongoing matter related to certain overpayments the Company allegedly received from a third-party payor; the Company has established certain liabilities and reversed certain of its previously recorded revenue as a result of this matter and other potential settlements with payors.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payor matters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30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11" w:lineRule="exact"/>
        <w:rPr>
          <w:sz w:val="20"/>
          <w:szCs w:val="20"/>
          <w:color w:val="auto"/>
        </w:rPr>
      </w:pPr>
    </w:p>
    <w:p>
      <w:pPr>
        <w:jc w:val="both"/>
        <w:ind w:firstLine="318"/>
        <w:spacing w:after="0" w:line="284" w:lineRule="auto"/>
        <w:rPr>
          <w:sz w:val="20"/>
          <w:szCs w:val="20"/>
          <w:color w:val="auto"/>
        </w:rPr>
      </w:pPr>
      <w:r>
        <w:rPr>
          <w:rFonts w:ascii="Times New Roman" w:cs="Times New Roman" w:eastAsia="Times New Roman" w:hAnsi="Times New Roman"/>
          <w:sz w:val="17"/>
          <w:szCs w:val="17"/>
          <w:color w:val="auto"/>
        </w:rPr>
        <w:t>As noted above, third-party payors, including government programs, may decide to deny payment or seek to recoup payments for tests performed by the Company that they contend were improperly billed, not medically necessary or against their coverage determinations, or for which they believe they have</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otherwise overpaid, including as a result of their own error. As a result, the Company may be required to refund payments already received, and the Company’s revenues may be subject to retroactive adjustment as a result of these factors among others, including without limitation, differing interpretations of billing and coding guidance, and changes by government agencies and payors in interpretations, requirements, policies and/or “conditions of participation” in various programs. The Company processes requests for recoupment from third-party payors in the ordinary course of its business, and it is likely that the Company will continue to do so in the future. If a third-party payor denies payment for testing or recoups money from the Company in a later period, reimbursement and the associated recognition of revenue for the Company’s testing services could decline.</w:t>
      </w:r>
    </w:p>
    <w:p>
      <w:pPr>
        <w:spacing w:after="0" w:line="145" w:lineRule="exact"/>
        <w:rPr>
          <w:sz w:val="20"/>
          <w:szCs w:val="20"/>
          <w:color w:val="auto"/>
        </w:rPr>
      </w:pPr>
    </w:p>
    <w:p>
      <w:pPr>
        <w:jc w:val="both"/>
        <w:ind w:firstLine="318"/>
        <w:spacing w:after="0" w:line="284" w:lineRule="auto"/>
        <w:rPr>
          <w:sz w:val="20"/>
          <w:szCs w:val="20"/>
          <w:color w:val="auto"/>
        </w:rPr>
      </w:pPr>
      <w:r>
        <w:rPr>
          <w:rFonts w:ascii="Times New Roman" w:cs="Times New Roman" w:eastAsia="Times New Roman" w:hAnsi="Times New Roman"/>
          <w:sz w:val="17"/>
          <w:szCs w:val="17"/>
          <w:color w:val="auto"/>
        </w:rPr>
        <w:t>As an integral part of the Company’s billing compliance program, the Company has and will periodically assess its billing and coding practices, respond to payor audits and overpayment claims, and investigate reported failures or suspected failures to comply with federal and state healthcare reimbursement</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requirements, which may arise without fault on the part of the Company. From time to time, the Company may have an obligation to reimburse Medicare, Medicaid, and third-party payors for overpayments regardless of fault. Settlements with third-party payors for retroactive adjustments due to audits, reviews, or investigations are considered variable consideration and are included in the determination of the estimated transaction price for providing services. These settlements are estimated based on the terms of the payment agreement with the payor, correspondence from the payor, the Company’s historical settlement activity (if any), and the Company’s assessment of the probability a significant reversal of cumulative revenue recognized will occur when the uncertainty is subsequently resolved. Estimated settlements are adjusted in future periods as such adjustments become known (that is, if new information becomes available), or as years are settled or are no longer subject to such audits, reviews, and investigations.</w:t>
      </w:r>
    </w:p>
    <w:p>
      <w:pPr>
        <w:spacing w:after="0" w:line="160" w:lineRule="exact"/>
        <w:rPr>
          <w:sz w:val="20"/>
          <w:szCs w:val="20"/>
          <w:color w:val="auto"/>
        </w:rPr>
      </w:pPr>
    </w:p>
    <w:p>
      <w:pPr>
        <w:jc w:val="both"/>
        <w:ind w:firstLine="318"/>
        <w:spacing w:after="0" w:line="284" w:lineRule="auto"/>
        <w:rPr>
          <w:sz w:val="20"/>
          <w:szCs w:val="20"/>
          <w:color w:val="auto"/>
        </w:rPr>
      </w:pPr>
      <w:r>
        <w:rPr>
          <w:rFonts w:ascii="Times New Roman" w:cs="Times New Roman" w:eastAsia="Times New Roman" w:hAnsi="Times New Roman"/>
          <w:sz w:val="17"/>
          <w:szCs w:val="17"/>
          <w:color w:val="auto"/>
        </w:rPr>
        <w:t>The Company is currently engaged in discussions with one of the Company’s third-party payors regarding certain overpayments the Company allegedly received from the payor for services that the payor alleges are not covered by, or were not otherwise properly billed to, the payor. This payor has asserted in</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informal discussions that it will seek recovery or recoupment in relation to the alleged overpayments if the matter cannot be settled. While the Company believes it has defenses to the payor’s allegations, it is currently engaged in discussions seeking to resolve the matter and any claim that may arise in connection therewith in a mutually satisfactory manner.</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a result of this matter, and in connection with a review of certain billing policies and procedures undertaken by management following the acquisition</w:t>
      </w:r>
    </w:p>
    <w:p>
      <w:pPr>
        <w:spacing w:after="0" w:line="5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of GeneDx, the Company considered the need to establish reserves for potential recoupments of payments previously made by third-party payors. As of June 30, 2022, the Company has established liabilities of $39.2 million as a result of this matter and other potential settlements with payors based on the current facts and an evaluation of anticipated results that the Company believes reasonable for all potential recoupments for all third-party payors combined. This</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amount is included in Accounts payable and accrued expenses. See Note 15, “Supplemental Financial Information”. The Company uses estimates, judgments, and assumptions to assess whether it is probable that a significant reversal in the amount of cumulative revenue may occur in future periods, based upon information presently available. These estimates are subject to change. In addition, as discussed above, the Company has made certain adjustments to its estimated variable consideration as result of this matter and other potential settlements with payors.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certain long-term collaboration service agreements with original expected durations of more than one year, the Company’s obligations pursuant to such agreement represents partially unsatisfied performance obligations as of June 30, 2022. The revenues under the agreements are estimated to be approximately $9.0 million. The Company expects to recognize the majority of this revenue over the next 3 years.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Contract assets consist of the Company’s right to consideration that is conditional upon its future performance. Contract assets arise in collaboration and service agreements for which revenue is recognized over time but the Company’s right to bill the customer is contingent upon the achievement of contractually-defined milestones.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30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1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Contract liabilities consist of customer payments in excess of revenues recognized. For collaboration and service agreements, the Company assesses the performance obligations and recognizes contract liabilities as current or non-current based upon forecasted performance.</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contract assets and contract liabilities is shown in the table below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Contract</w:t>
            </w:r>
          </w:p>
        </w:tc>
      </w:tr>
      <w:tr>
        <w:trPr>
          <w:trHeight w:val="191"/>
        </w:trPr>
        <w:tc>
          <w:tcPr>
            <w:tcW w:w="81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22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02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3,296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 additions</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prepayments</w:t>
            </w:r>
          </w:p>
        </w:tc>
        <w:tc>
          <w:tcPr>
            <w:tcW w:w="10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0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r>
      <w:tr>
        <w:trPr>
          <w:trHeight w:val="243"/>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2022</w:t>
            </w:r>
          </w:p>
        </w:tc>
        <w:tc>
          <w:tcPr>
            <w:tcW w:w="1020" w:type="dxa"/>
            <w:vAlign w:val="bottom"/>
            <w:tcBorders>
              <w:top w:val="single" w:sz="8" w:color="auto"/>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4,363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presents contract assets and contract liabilities with respect to customer contracts on a net basis on its condensed consolidated balance sheets. As of June 30, 2022, there were no current contract liabilities recorded and $0.5 million recorded as of December 31, 2021.</w:t>
      </w:r>
    </w:p>
    <w:p>
      <w:pPr>
        <w:spacing w:after="0" w:line="13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Revenues recognized that were included in the contract liability balance at the beginning of each period were $0.2 million and $1.5 million for the three months ended June 30, 2022 and June 30, 2021, respectively and $0.7 million and $2.2 million for the six months ended June 30, 2022 and June 30, 2021,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fulfill contracts</w:t>
      </w:r>
    </w:p>
    <w:p>
      <w:pPr>
        <w:spacing w:after="0" w:line="1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Costs associated with fulfilling the Company’s performance obligations pursuant to its collaboration service agreements include costs for services that are subcontracted to ISMMS. Amounts prepaid are expensed in line with the pattern of revenue recognition. Prepayment of amounts prior to the costs being incurred are recognized on the condensed consolidated balance sheets as current or non-current based upon forecasted performance.</w:t>
      </w:r>
    </w:p>
    <w:p>
      <w:pPr>
        <w:spacing w:after="0" w:line="15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June 30, 2022 and December 31, 2021, the Company had outstanding deferred costs to fulfill contracts of $0.8 million and $1.8 million, respectively. As of June 30, 2022 and December 31, 2021, all outstanding deferred costs were recorded as other current assets.</w:t>
      </w:r>
    </w:p>
    <w:p>
      <w:pPr>
        <w:spacing w:after="0" w:line="1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Amortization of deferred costs was $0.7 million and $0.3 million for the three months ended June 30, 2022 and 2021, respectively and $1.0 million and $0.5 million for the six months ended June 30, 2022 and 2021, respectively. The amortization of these costs is recorded in the cost of services on the condensed consolidated statements of operations and comprehensive loss.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Financial assets and liabilities are recorded at fair value. Fair value is defined as the price that would be received to sell an asset or paid to transfer a liability in an orderly transaction between market participants at the measurement date.</w:t>
      </w:r>
    </w:p>
    <w:p>
      <w:pPr>
        <w:spacing w:after="0" w:line="1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The following hierarchy lists three levels of fair value based on the extent to which inputs used in measuring fair value are observable in the market:</w:t>
      </w:r>
    </w:p>
    <w:p>
      <w:pPr>
        <w:spacing w:after="0" w:line="205" w:lineRule="exact"/>
        <w:rPr>
          <w:sz w:val="20"/>
          <w:szCs w:val="20"/>
          <w:color w:val="auto"/>
        </w:rPr>
      </w:pPr>
    </w:p>
    <w:p>
      <w:pPr>
        <w:ind w:left="40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Observable inputs such as quoted prices (unadjusted) in active markets that are accessible at the measurement date for identical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w:t>
      </w:r>
    </w:p>
    <w:p>
      <w:pPr>
        <w:spacing w:after="0" w:line="186" w:lineRule="exact"/>
        <w:rPr>
          <w:sz w:val="20"/>
          <w:szCs w:val="20"/>
          <w:color w:val="auto"/>
        </w:rPr>
      </w:pPr>
    </w:p>
    <w:p>
      <w:pPr>
        <w:ind w:left="400" w:right="2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inputs such as quoted prices for similar instruments in active markets, quoted prices for identical or similar instruments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or model-derived valuations whose significant inputs are observable.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30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significant to the measurement of fair value but are supported by little to no market data.</w:t>
      </w:r>
    </w:p>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Company’s financial assets and liabilities consist of cash and cash equivalents, restricted cash, accounts receivable, accounts payable, accrued liabilities, finance leases, warrant liability, earn-out contingent liability and long-term debt. The Company’s cash and cash equivalents, restricted cash, accounts receivable, accounts payable and accrued liabilities approximate their fair value due to the relatively short-term nature of these accounts.</w:t>
      </w:r>
    </w:p>
    <w:p>
      <w:pPr>
        <w:spacing w:after="0" w:line="13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Company’s finance leases are classified within Level 1 of the fair value hierarchy because such finance lease agreements bear interest at rates for instruments with similar characteristics; accordingly, the carrying value of these liabilities approximate their fair values.</w:t>
      </w:r>
    </w:p>
    <w:p>
      <w:pPr>
        <w:spacing w:after="0" w:line="124"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Company’s loan from the Connecticut Department of Economic and Community Development is classified within Level 2 of the fair value hierarchy. As of June 30, 2022, the long-term debt was recorded at its carrying value of $11.0 million in the condensed consolidated balance sheet. The fair value was $8.9 million, which is estimated based on discounted cash flows using the yields of similar debt instruments of other companies with similar credit profiles.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set forth the fair value of financial instruments that were measured at fair value on a recurring basis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0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2"/>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54,407</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54,407</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 liability</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warrant liability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contingent liability</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based on milestone achievement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1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42,426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35,168</w:t>
            </w: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59"/>
        </w:trPr>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0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2"/>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385,370</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385,370</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 liability</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14,463</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14,463</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warrant liability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contingent liability</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10,244</w:t>
            </w:r>
          </w:p>
        </w:tc>
      </w:tr>
      <w:tr>
        <w:trPr>
          <w:trHeight w:val="243"/>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Of the $284.6 million cash and cash equivalents presented on the condensed consolidated balance sheets as of June 30, 2022, $54.4 million was in money market funds and was classified within Level 1 of the fair value hierarchy as the fair value was based on quoted prices in active markets.</w:t>
      </w:r>
    </w:p>
    <w:p>
      <w:pPr>
        <w:spacing w:after="0" w:line="1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outstanding warrants include publicly-traded warrants (the “Public Warrants”) which were originally issued in the IPO and warrants sold in a private placement to CMLS Holdings LLC (the “Private Warrants”). The Company evaluated its warrants under ASC 815-40, Derivatives and Hedging— Contracts in Entity’s Own Equity, and concluded that they do not meet the criteria to be classified in stockholders’ equity. Since the Public Warrants and Private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30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11"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18"/>
          <w:szCs w:val="18"/>
          <w:color w:val="auto"/>
        </w:rPr>
        <w:t>Warrants meet the definition of a derivative under ASC 815, the Company recorded these warrants as non-current liabilities on the balance sheet at fair value upon the closing of the Business Combination, with subsequent changes in their respective fair values recognized in other income (expense), net on the condensed consolidated statements of operations and comprehensive loss at each reporting date. As of June 30, 2022, the Public Warrants are classified within Level 1 of the fair value hierarchy as they are traded in active markets. The Private Warrants are classified within Level 2 of the fair value hierarchy as management determined the fair value of each Private Warrant is the same as that of a Public Warrant because the terms are substantially the same.</w:t>
      </w:r>
    </w:p>
    <w:p>
      <w:pPr>
        <w:spacing w:after="0" w:line="146"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The earn-out contingent liabilities include the Company’s contingent obligation to issue earn-out shares for Legacy Sema4 stockholders (“Earn-out Shares”) as well as the Company’s contingent obligation to make additional Milestone Payments of up to $150 million to OPKO if certain revenue-based milestones are achieved for each of the fiscal years ended December 31, 2022 and December 31, 2023.</w:t>
      </w:r>
    </w:p>
    <w:p>
      <w:pPr>
        <w:spacing w:after="0" w:line="138" w:lineRule="exact"/>
        <w:rPr>
          <w:sz w:val="20"/>
          <w:szCs w:val="20"/>
          <w:color w:val="auto"/>
        </w:rPr>
      </w:pPr>
    </w:p>
    <w:p>
      <w:pPr>
        <w:jc w:val="both"/>
        <w:ind w:right="100" w:firstLine="318"/>
        <w:spacing w:after="0" w:line="252" w:lineRule="auto"/>
        <w:rPr>
          <w:sz w:val="20"/>
          <w:szCs w:val="20"/>
          <w:color w:val="auto"/>
        </w:rPr>
      </w:pPr>
      <w:r>
        <w:rPr>
          <w:rFonts w:ascii="Times New Roman" w:cs="Times New Roman" w:eastAsia="Times New Roman" w:hAnsi="Times New Roman"/>
          <w:sz w:val="18"/>
          <w:szCs w:val="18"/>
          <w:color w:val="auto"/>
        </w:rPr>
        <w:t>The Earn-out Shares are accounted for as a liability and required remeasurement at each reporting date. The estimated fair value of the total Earn-out Shares as of June 30, 2022 is determined based on a Monte Carlo simulation valuation model. The fair value of the earn-out contingent liability is sensitive to expected volatility estimated based on selected guideline public companies’ stock prices, the Company’s implied volatility and Company’s Class A common stock price which is sensitive to changes in the forecasts of earnings and/or the relevant operating metrics. The key assumptions utilized in determining the Earn-out Shares valuation as of June 30, 2022 and March 31, 2022 were as follows:</w:t>
      </w:r>
    </w:p>
    <w:p>
      <w:pPr>
        <w:spacing w:after="0" w:line="245"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256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96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4"/>
        </w:trPr>
        <w:tc>
          <w:tcPr>
            <w:tcW w:w="650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8"/>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$1.26</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w w:val="98"/>
              </w:rPr>
              <w:t>$3.07</w:t>
            </w:r>
          </w:p>
        </w:tc>
      </w:tr>
      <w:tr>
        <w:trPr>
          <w:trHeight w:val="225"/>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87.5%</w:t>
            </w:r>
          </w:p>
        </w:tc>
        <w:tc>
          <w:tcPr>
            <w:tcW w:w="100" w:type="dxa"/>
            <w:vAlign w:val="bottom"/>
          </w:tcPr>
          <w:p>
            <w:pPr>
              <w:spacing w:after="0"/>
              <w:rPr>
                <w:sz w:val="19"/>
                <w:szCs w:val="19"/>
                <w:color w:val="auto"/>
              </w:rPr>
            </w:pPr>
          </w:p>
        </w:tc>
        <w:tc>
          <w:tcPr>
            <w:tcW w:w="1960" w:type="dxa"/>
            <w:vAlign w:val="bottom"/>
          </w:tcPr>
          <w:p>
            <w:pPr>
              <w:jc w:val="center"/>
              <w:ind w:left="135"/>
              <w:spacing w:after="0"/>
              <w:rPr>
                <w:sz w:val="20"/>
                <w:szCs w:val="20"/>
                <w:color w:val="auto"/>
              </w:rPr>
            </w:pPr>
            <w:r>
              <w:rPr>
                <w:rFonts w:ascii="Times New Roman" w:cs="Times New Roman" w:eastAsia="Times New Roman" w:hAnsi="Times New Roman"/>
                <w:sz w:val="18"/>
                <w:szCs w:val="18"/>
                <w:color w:val="auto"/>
                <w:w w:val="98"/>
              </w:rPr>
              <w:t>72.5%</w:t>
            </w:r>
          </w:p>
        </w:tc>
      </w:tr>
      <w:tr>
        <w:trPr>
          <w:trHeight w:val="225"/>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w w:val="97"/>
              </w:rPr>
              <w:t>1.3</w:t>
            </w:r>
          </w:p>
        </w:tc>
      </w:tr>
      <w:tr>
        <w:trPr>
          <w:trHeight w:val="231"/>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2.81%</w:t>
            </w:r>
          </w:p>
        </w:tc>
        <w:tc>
          <w:tcPr>
            <w:tcW w:w="100" w:type="dxa"/>
            <w:vAlign w:val="bottom"/>
          </w:tcPr>
          <w:p>
            <w:pPr>
              <w:spacing w:after="0"/>
              <w:rPr>
                <w:sz w:val="20"/>
                <w:szCs w:val="20"/>
                <w:color w:val="auto"/>
              </w:rPr>
            </w:pPr>
          </w:p>
        </w:tc>
        <w:tc>
          <w:tcPr>
            <w:tcW w:w="1960" w:type="dxa"/>
            <w:vAlign w:val="bottom"/>
          </w:tcPr>
          <w:p>
            <w:pPr>
              <w:jc w:val="center"/>
              <w:ind w:left="135"/>
              <w:spacing w:after="0"/>
              <w:rPr>
                <w:sz w:val="20"/>
                <w:szCs w:val="20"/>
                <w:color w:val="auto"/>
              </w:rPr>
            </w:pPr>
            <w:r>
              <w:rPr>
                <w:rFonts w:ascii="Times New Roman" w:cs="Times New Roman" w:eastAsia="Times New Roman" w:hAnsi="Times New Roman"/>
                <w:sz w:val="18"/>
                <w:szCs w:val="18"/>
                <w:color w:val="auto"/>
                <w:w w:val="98"/>
              </w:rPr>
              <w:t>1.83%</w:t>
            </w:r>
          </w:p>
        </w:tc>
      </w:tr>
    </w:tbl>
    <w:p>
      <w:pPr>
        <w:spacing w:after="0" w:line="241" w:lineRule="exact"/>
        <w:rPr>
          <w:sz w:val="20"/>
          <w:szCs w:val="20"/>
          <w:color w:val="auto"/>
        </w:rPr>
      </w:pPr>
    </w:p>
    <w:p>
      <w:pPr>
        <w:jc w:val="both"/>
        <w:ind w:right="100" w:firstLine="318"/>
        <w:spacing w:after="0" w:line="255" w:lineRule="auto"/>
        <w:rPr>
          <w:sz w:val="20"/>
          <w:szCs w:val="20"/>
          <w:color w:val="auto"/>
        </w:rPr>
      </w:pPr>
      <w:r>
        <w:rPr>
          <w:rFonts w:ascii="Times New Roman" w:cs="Times New Roman" w:eastAsia="Times New Roman" w:hAnsi="Times New Roman"/>
          <w:sz w:val="18"/>
          <w:szCs w:val="18"/>
          <w:color w:val="auto"/>
        </w:rPr>
        <w:t>The fair value determined and recorded as of March 31, 2022 and December 31, 2021 was $3.4 million and $10.2 million, respectively. During the three and six months ended June 30, 2022 a gain of $3.3 million and $10.1 million was recorded, respectively, in the change in fair market value of warrant and earn-out contingent liability in the condensed consolidated statements of operations and comprehensive loss based on re-measurement performed as of the period end date.</w:t>
      </w:r>
    </w:p>
    <w:p>
      <w:pPr>
        <w:spacing w:after="0" w:line="154" w:lineRule="exact"/>
        <w:rPr>
          <w:sz w:val="20"/>
          <w:szCs w:val="20"/>
          <w:color w:val="auto"/>
        </w:rPr>
      </w:pPr>
    </w:p>
    <w:p>
      <w:pPr>
        <w:jc w:val="both"/>
        <w:ind w:right="100" w:firstLine="318"/>
        <w:spacing w:after="0" w:line="249" w:lineRule="auto"/>
        <w:rPr>
          <w:sz w:val="20"/>
          <w:szCs w:val="20"/>
          <w:color w:val="auto"/>
        </w:rPr>
      </w:pPr>
      <w:r>
        <w:rPr>
          <w:rFonts w:ascii="Times New Roman" w:cs="Times New Roman" w:eastAsia="Times New Roman" w:hAnsi="Times New Roman"/>
          <w:sz w:val="18"/>
          <w:szCs w:val="18"/>
          <w:color w:val="auto"/>
        </w:rPr>
        <w:t>The Milestone Payments contingent liability represents additional acquisition consideration to pay up to $150 million based on the achievement of GeneDx revenue-based milestones in fiscal years 2022 and 2023. Subject to the terms and conditions of the Acquisition Merger Agreement, (a) the first Milestone Payment of $112.5 million will become due and payable if the revenue of the GeneDx group for the fiscal year 2022 equals or exceeds $163 million and (b) the second Milestone Payment of $37.5 million will become due and payable if the revenue of the GeneDx group for the fiscal year 2023 equals or exceeds $219 million; provided that 80% of the Milestone Payment for the first milestone period or the second milestone period, as applicable, will become payable in respect of such period if the GeneDx group achieves 90% of the applicable Milestone Event revenue target for such period, which amount will scale on a linear basis up to 100% of the applicable Milestone Payment at 100% of the applicable revenue target. Each Milestone Payment will be satisfied through the payment and/or issuance of a combination of cash and shares of the Company’s Class A common stock (valued at $4.86 per share), with such mix to be determined at the Company’s sole discretion.</w:t>
      </w:r>
    </w:p>
    <w:p>
      <w:pPr>
        <w:spacing w:after="0" w:line="148" w:lineRule="exact"/>
        <w:rPr>
          <w:sz w:val="20"/>
          <w:szCs w:val="20"/>
          <w:color w:val="auto"/>
        </w:rPr>
      </w:pPr>
    </w:p>
    <w:p>
      <w:pPr>
        <w:jc w:val="both"/>
        <w:ind w:right="100" w:firstLine="318"/>
        <w:spacing w:after="0" w:line="252" w:lineRule="auto"/>
        <w:rPr>
          <w:sz w:val="20"/>
          <w:szCs w:val="20"/>
          <w:color w:val="auto"/>
        </w:rPr>
      </w:pPr>
      <w:r>
        <w:rPr>
          <w:rFonts w:ascii="Times New Roman" w:cs="Times New Roman" w:eastAsia="Times New Roman" w:hAnsi="Times New Roman"/>
          <w:sz w:val="18"/>
          <w:szCs w:val="18"/>
          <w:color w:val="auto"/>
        </w:rPr>
        <w:t>The Company recorded the fair value of the Milestone Payments for $35 million as of June 30, 2022, of which $28 million is presented as current liabilities in the condensed consolidated balance sheets. A gain of $17 million was recorded in the change in fair market value of warrant and earn-out contingent liabilities in the condensed consolidated statements of operations and comprehensive loss based on re-measurement performed as of the period end date. The fair value was determined based on a Monte Carlo simulation valuation model and the key assumptions include revenue projections, revenue volatility of 17.5%, and share price of $1.26 per share.</w:t>
      </w:r>
    </w:p>
    <w:p>
      <w:pPr>
        <w:spacing w:after="0" w:line="146" w:lineRule="exact"/>
        <w:rPr>
          <w:sz w:val="20"/>
          <w:szCs w:val="20"/>
          <w:color w:val="auto"/>
        </w:rPr>
      </w:pPr>
    </w:p>
    <w:p>
      <w:pPr>
        <w:jc w:val="both"/>
        <w:ind w:right="100" w:firstLine="318"/>
        <w:spacing w:after="0" w:line="274" w:lineRule="auto"/>
        <w:rPr>
          <w:sz w:val="20"/>
          <w:szCs w:val="20"/>
          <w:color w:val="auto"/>
        </w:rPr>
      </w:pPr>
      <w:r>
        <w:rPr>
          <w:rFonts w:ascii="Times New Roman" w:cs="Times New Roman" w:eastAsia="Times New Roman" w:hAnsi="Times New Roman"/>
          <w:sz w:val="18"/>
          <w:szCs w:val="18"/>
          <w:color w:val="auto"/>
        </w:rPr>
        <w:t>The earn-out contingent liabilities are categorized as Level 3 of the fair value hierarchy as the Company utilizes unobservable inputs in estimating the fair value. There were no transfers between Level 1, Level 2 and Level 3 during the periods presented.</w:t>
      </w:r>
    </w:p>
    <w:p>
      <w:pPr>
        <w:spacing w:after="0" w:line="3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40"/>
          </w:cols>
          <w:pgMar w:left="320" w:top="307"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Pr>
          <w:p>
            <w:pPr>
              <w:spacing w:after="0"/>
              <w:rPr>
                <w:sz w:val="13"/>
                <w:szCs w:val="13"/>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6"/>
        </w:trPr>
        <w:tc>
          <w:tcPr>
            <w:tcW w:w="8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2"/>
                <w:szCs w:val="12"/>
                <w:color w:val="auto"/>
              </w:rPr>
            </w:pPr>
          </w:p>
        </w:tc>
        <w:tc>
          <w:tcPr>
            <w:tcW w:w="1260" w:type="dxa"/>
            <w:vAlign w:val="bottom"/>
          </w:tcPr>
          <w:p>
            <w:pPr>
              <w:jc w:val="center"/>
              <w:ind w:right="135"/>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2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28,552</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under finance leases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21,384</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21,905</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25,693</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under finance lease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in-progress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114,625</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(51,906)</w:t>
            </w:r>
          </w:p>
        </w:tc>
      </w:tr>
      <w:tr>
        <w:trPr>
          <w:trHeight w:val="244"/>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 the three months ended June 30, 2022 and 2021, depreciation and amortization expense was $6.6 million and $5.6 million. For the six months ended June 30, 2022 and 2021, depreciation and amortization expense was $12.4 million and $10.5 million, respectively. This included software amortization expense of $1.7 million and $1.4 million for the three months ended June 30, 2022 and 2021, respectively and $3.3 million and $2.6 million for the six months ended June 30, 2022 and 2021, respectively. Depreciation and amortization expense is included within the condensed consolidated statements of operations and comprehensive loss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r>
      <w:tr>
        <w:trPr>
          <w:trHeight w:val="24"/>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6"/>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90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4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depreciation and amortization expenses</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678"/>
        </w:trPr>
        <w:tc>
          <w:tcPr>
            <w:tcW w:w="8180" w:type="dxa"/>
            <w:vAlign w:val="bottom"/>
          </w:tcPr>
          <w:p>
            <w:pPr>
              <w:spacing w:after="0"/>
              <w:rPr>
                <w:sz w:val="24"/>
                <w:szCs w:val="24"/>
                <w:color w:val="auto"/>
              </w:rPr>
            </w:pPr>
          </w:p>
        </w:tc>
        <w:tc>
          <w:tcPr>
            <w:tcW w:w="2480" w:type="dxa"/>
            <w:vAlign w:val="bottom"/>
            <w:gridSpan w:val="4"/>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24"/>
                <w:szCs w:val="24"/>
                <w:color w:val="auto"/>
              </w:rPr>
            </w:pPr>
          </w:p>
        </w:tc>
      </w:tr>
      <w:tr>
        <w:trPr>
          <w:trHeight w:val="24"/>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6"/>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90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4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depreciation and amortization expenses</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Related Party Transactions</w:t>
      </w:r>
    </w:p>
    <w:p>
      <w:pPr>
        <w:spacing w:after="0" w:line="1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 three months ended June 30, 2022 and 2021, the Company incurred certain related party costs. There were no expenses recognized under the Transition Services Agreement with ISMMS (the “ISMMS TSA”) for the three months ended June 30, 2022 and 2021. There were no expenses recognized under the ISMMS TSA for the six months ended June 30, 2022 and $1.4 million for the six months ended June 30, 2021 which is presented within related party expenses in the condensed consolidated statements of operations and comprehensive loss. The Company had no ISMMS TSA payables due to ISMMS as of June 30, 2022 and December 31, 2021. The ISMMS TSA expired on March 28, 2021.</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30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1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Expenses recognized pursuant to other service arrangements with ISMMS, including certain sub-lease arrangements the Company has through ISMMS, totaled $2.3 million and $1.9 million for the three months ended June 30, 2022 and 2021, respectively and $4.2 million and $2.6 million for the six months ended June 30, 2022 and 2021, respectively. These amounts include certain lease expenses the Company incurs and pay to ISMMS for certain sub-lease arrangements. They are included in either cost of services or related party expenses on the condensed consolidated statements of operations and comprehensive loss depending on the particular activity to which the costs relate. Payables due to ISMMS for the other service arrangements were $1.9 million $2.6 million as of June 30, 2022 and December 31, 2021, respectively. These amounts include unpaid lease payments the Company accrued for the payments to be made to ISMMS and are included within due to related parties on the Company’s condensed consolidated balance sheets.</w:t>
      </w:r>
    </w:p>
    <w:p>
      <w:pPr>
        <w:spacing w:after="0" w:line="14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Additionally, in the six months ended June 30, 2022, the Company has purchased $1.0 million of diagnostic testing kits and materials and $0.9 million was recorded in cost of services from an affiliate of a member of the Board of Directors who has served in the role since July 2021. The prices paid represent market rates. Payables due were $0.1 million and $0.1 million as of June 30, 2022 and December 31, 2021, respectively.</w:t>
      </w:r>
    </w:p>
    <w:p>
      <w:pPr>
        <w:spacing w:after="0" w:line="13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GeneDx and OPKO entered into a Transition Services Agreement dated as of April 29, 2022 (the “OPKO TSA”) pursuant to which OPKO has agreed to provide, at cost, certain services in support of the Acquisition of the GeneDx business through December 31, 2022, subject to certain limited exceptions, in order to facilitate the transactions contemplated by the Acquisition Merger Agreement, including human resources, information technology support, and finance and accounting. The Company recognized $0.3 million in costs for the three months ended June 30, 2022. This amount was unpaid and presented in due to related parties in condensed consolidated balance sheets as of June 30, 2022.</w:t>
      </w:r>
    </w:p>
    <w:p>
      <w:pPr>
        <w:spacing w:after="0" w:line="15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also recorded $4.5 million of receivables from OPKO related to the Acquisition closing working capital adjustment. This amount is presented as other current assets in condensed consolidated balance sheets as of June 30, 2022.</w:t>
      </w:r>
    </w:p>
    <w:p>
      <w:pPr>
        <w:spacing w:after="0" w:line="12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Total related party costs are included within cost of services and related party expenses in the condensed consolidated statements of operations and comprehensive loss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520" w:type="dxa"/>
            <w:vAlign w:val="bottom"/>
            <w:gridSpan w:val="4"/>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r>
      <w:tr>
        <w:trPr>
          <w:trHeight w:val="24"/>
        </w:trPr>
        <w:tc>
          <w:tcPr>
            <w:tcW w:w="8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6"/>
        </w:trPr>
        <w:tc>
          <w:tcPr>
            <w:tcW w:w="81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party expenses</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4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related party costs</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r>
        <w:trPr>
          <w:trHeight w:val="267"/>
        </w:trPr>
        <w:tc>
          <w:tcPr>
            <w:tcW w:w="8180" w:type="dxa"/>
            <w:vAlign w:val="bottom"/>
          </w:tcPr>
          <w:p>
            <w:pPr>
              <w:spacing w:after="0"/>
              <w:rPr>
                <w:sz w:val="23"/>
                <w:szCs w:val="23"/>
                <w:color w:val="auto"/>
              </w:rPr>
            </w:pPr>
          </w:p>
        </w:tc>
        <w:tc>
          <w:tcPr>
            <w:tcW w:w="2520" w:type="dxa"/>
            <w:vAlign w:val="bottom"/>
            <w:gridSpan w:val="4"/>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23"/>
                <w:szCs w:val="23"/>
                <w:color w:val="auto"/>
              </w:rPr>
            </w:pPr>
          </w:p>
        </w:tc>
      </w:tr>
      <w:tr>
        <w:trPr>
          <w:trHeight w:val="24"/>
        </w:trPr>
        <w:tc>
          <w:tcPr>
            <w:tcW w:w="8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6"/>
        </w:trPr>
        <w:tc>
          <w:tcPr>
            <w:tcW w:w="81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party expenses</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w:t>
            </w:r>
          </w:p>
        </w:tc>
      </w:tr>
      <w:tr>
        <w:trPr>
          <w:trHeight w:val="244"/>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related party costs</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 (the “SVB Agreement”)</w:t>
      </w:r>
    </w:p>
    <w:p>
      <w:pPr>
        <w:spacing w:after="0" w:line="19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November 15, 2021, the Company and Sema4 OpCo, Inc. (together, the “Borrower”) entered into a Loan and Security Agreement (the “SVB Agreement”) with Silicon Valley Bank (“SVB”). The SVB Agreement provides for a revolving credit facility (the “Revolver”) up to an aggregate principal amount of $125.0 million, including a sublimit of $20.0 million for Letters of Credit (as such terms are defined in the SVB Agreement). The outstanding principal amount of any Advance (as such term is defined in the SVB Agreement) will bear interest at a floating rate per annum equal to the greater of (1) 4.00% and (2) the Prime Rate plus the Prime Rate Margin. The Revolver will mature on November 15, 2024. In connection with entering into the SVB agreement, the Company paid $0.5 million in debt issuance costs during 2021. The Company will pay an additional $0.5 million in fees to SVB at each anniversary of the SVB Agreement date for a total of $1.0 million and these fees are recorded in other current liabilities and other liabilities in the condensed consolidated balance sheets as of June 30, 2022. These costs are capitalized and amortized on a straight-line basis over the contractual term. Any unused fees charged on the Revolver is expensed as incurred.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30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obligations under the SVB Agreement are secured by a first priority perfected security interest in substantially all of the Borrower’s assets except for</w:t>
      </w:r>
    </w:p>
    <w:p>
      <w:pPr>
        <w:spacing w:after="0" w:line="36" w:lineRule="exact"/>
        <w:rPr>
          <w:sz w:val="20"/>
          <w:szCs w:val="20"/>
          <w:color w:val="auto"/>
        </w:rPr>
      </w:pPr>
    </w:p>
    <w:p>
      <w:pPr>
        <w:jc w:val="both"/>
        <w:ind w:firstLine="6"/>
        <w:spacing w:after="0" w:line="248" w:lineRule="auto"/>
        <w:tabs>
          <w:tab w:leader="none" w:pos="2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Collection Accounts (as defined in the SVB Agreement), (ii) more than 65% of the presently existing and thereafter arising issued and outstanding shares of capital stock owned by Borrowers in a Foreign Subsidiary (as such term is defined in the SVB Agreement) and (iii) intellectual property pursuant to the terms of the SVB Agreement.</w:t>
      </w:r>
    </w:p>
    <w:p>
      <w:pPr>
        <w:spacing w:after="0" w:line="147"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SVB Agreement contains affirmative and negative covenants, including, among other things, restrictions on indebtedness, liens, investments, mergers, dispositions, and dividends and other distributions.</w:t>
      </w:r>
    </w:p>
    <w:p>
      <w:pPr>
        <w:spacing w:after="0" w:line="12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SVB Agreement requires the Borrower to comply with certain financial covenants if Liquidity (as such term is defined in the SVB Agreement) falls below $135.0 million. These financial covenants include (i) a minimum Adjusted Quick Ratio (as such term is defined in the SVB Agreement) and (ii) the achievement of certain minimum revenue targets. On a monthly basis, the Borrowers would be required to maintain a minimum Adjusted Quick Ratio of greater than or equal to 1.25 to 1.0. The Borrower must also maintain certain trailing six-month minimum revenue targets through maturity if outstanding borrowings under the Revolver exceed $50.0 million.</w:t>
      </w:r>
    </w:p>
    <w:p>
      <w:pPr>
        <w:spacing w:after="0" w:line="15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SVB Agreement also includes customary events of default, including failure to pay principal, interest or certain other amounts when due, material inaccuracy of representations and warranties, violation of covenants, certain bankruptcy and insolvency events, certain undischarged judgments, material invalidity of guarantees or grant of security interest, material adverse change, and involuntary delisting from the Nasdaq Stock Market, in certain cases subject to certain thresholds and grace periods. If one or more events of default occurs and continues beyond any applicable cure period, SVB may, without notice or demand to the Borrower, terminate its commitment to make further loans and declare all of the obligations of the Borrowers under the SVB Agreement to be immediately due and payable. The Company was in compliance with all covenants as of June 30, 2022.</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 amounts have been drawn under the SVB Agreement as of June 30,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Funding Commitment</w:t>
      </w:r>
    </w:p>
    <w:p>
      <w:pPr>
        <w:spacing w:after="0" w:line="19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June 2017, ISMMS assigned a loan funding commitment from the Connecticut Department of Economic and Community Development (“DECD”) to the Company (as amended, the “DECD Loan Agreement”). The DECD Loan Agreement, provides for a total loan commitment of $15.5 million at a fixed annual interest rate of 2.0% for a term of 10 years. The Company is required to make interest-only payments through July 2023 and principal and interest payments commencing in August 2023. The final payment of principal and interest is due in July 2028. However, under the terms of the DECD Loan Agreement, the DECD may grant partial principal loan forgiveness of up to $12.3 million in the aggregate. Such forgiveness is contingent upon the Company achieving job creation and retention milestones and $4.5 million has been forgiven as of June 30, 2022. This commitment is collateralized by providing a security interest in certain machinery and equipment the Company acquired from ISMMS, as defined in a separate security agreement.</w:t>
      </w:r>
    </w:p>
    <w:p>
      <w:pPr>
        <w:spacing w:after="0" w:line="147" w:lineRule="exact"/>
        <w:rPr>
          <w:sz w:val="20"/>
          <w:szCs w:val="20"/>
          <w:color w:val="auto"/>
        </w:rPr>
      </w:pPr>
    </w:p>
    <w:p>
      <w:pPr>
        <w:ind w:right="1940" w:firstLine="318"/>
        <w:spacing w:after="0" w:line="453" w:lineRule="auto"/>
        <w:rPr>
          <w:sz w:val="20"/>
          <w:szCs w:val="20"/>
          <w:color w:val="auto"/>
        </w:rPr>
      </w:pPr>
      <w:r>
        <w:rPr>
          <w:rFonts w:ascii="Times New Roman" w:cs="Times New Roman" w:eastAsia="Times New Roman" w:hAnsi="Times New Roman"/>
          <w:sz w:val="18"/>
          <w:szCs w:val="18"/>
          <w:color w:val="auto"/>
        </w:rPr>
        <w:t xml:space="preserve">The outstanding loan balance from the DECD Loan Agreement was $11.0 million as of June 30, 2022 and December 31, 2021. </w:t>
      </w:r>
      <w:r>
        <w:rPr>
          <w:rFonts w:ascii="Times New Roman" w:cs="Times New Roman" w:eastAsia="Times New Roman" w:hAnsi="Times New Roman"/>
          <w:sz w:val="18"/>
          <w:szCs w:val="18"/>
          <w:b w:val="1"/>
          <w:bCs w:val="1"/>
          <w:i w:val="1"/>
          <w:iCs w:val="1"/>
          <w:color w:val="auto"/>
        </w:rPr>
        <w:t>Maturities of Long-Term Debt</w:t>
      </w:r>
    </w:p>
    <w:p>
      <w:pPr>
        <w:ind w:left="320"/>
        <w:spacing w:after="0"/>
        <w:rPr>
          <w:sz w:val="20"/>
          <w:szCs w:val="20"/>
          <w:color w:val="auto"/>
        </w:rPr>
      </w:pPr>
      <w:r>
        <w:rPr>
          <w:rFonts w:ascii="Times New Roman" w:cs="Times New Roman" w:eastAsia="Times New Roman" w:hAnsi="Times New Roman"/>
          <w:sz w:val="18"/>
          <w:szCs w:val="18"/>
          <w:color w:val="auto"/>
        </w:rPr>
        <w:t>As of June 30, 2022, long-term debt matures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30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(remainder of year)</w:t>
            </w: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r>
      <w:tr>
        <w:trPr>
          <w:trHeight w:val="225"/>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w:t>
            </w:r>
          </w:p>
        </w:tc>
      </w:tr>
      <w:tr>
        <w:trPr>
          <w:trHeight w:val="218"/>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maturities of long-term debt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25"/>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long-term debt, net of current maturities</w:t>
            </w: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Master Loan Agreement</w:t>
      </w:r>
    </w:p>
    <w:p>
      <w:pPr>
        <w:spacing w:after="0" w:line="1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August 2020, the Company entered into a loan and security agreement with a bank (the “Master Loan Agreement”), in which the Company received a loan of $6.3 million and deposited the proceeds into a deposit account held by the bank. The Company was required to make sixty consecutive monthly payments of principal and interest at a fixed monthly amount of $0.1 million beginning in November 2020. Interest payments were fixed at an annual interest rate of 4.75%.</w:t>
      </w:r>
    </w:p>
    <w:p>
      <w:pPr>
        <w:spacing w:after="0" w:line="14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July 2021, the Company terminated the Master Loan Agreement by paying off the full amount, including $5.4 million principal and interest and $0.1 million in early payment penalties assessed pursuant to the terms of the agreement.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Master Lease Agreement</w:t>
      </w:r>
    </w:p>
    <w:p>
      <w:pPr>
        <w:spacing w:after="0" w:line="1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December 2020, the Company entered into a lease agreement with a lender whereby the Company agreed to sell certain equipment and immediately lease back the equipment, resulting in proceeds of $3.6 million. Per the terms of the agreement, a financial institution issued an irrevocable standby letter of credit to the lender for $3.6 million. The Company was required to make sixty consecutive monthly payments of principal and interest at a fixed monthly amount of $0.1 million beginning in February 2021. Interest payments were fixed at an annual interest rate of 3.54%.</w:t>
      </w:r>
    </w:p>
    <w:p>
      <w:pPr>
        <w:spacing w:after="0" w:line="14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was required to maintain an aggregate amount on deposit equal to at least 105% of the value of any outstanding letters of credit issued by the financial institution on the Company’s behalf. The letter of credit was required to be in place until all obligations had been paid in full. Further, the Company was required to furnish annual audited financial statements and other financial information to the lender on a regular basis.</w:t>
      </w:r>
    </w:p>
    <w:p>
      <w:pPr>
        <w:spacing w:after="0" w:line="15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July 2021, the Company terminated the Master Lease Agreement by paying off the full amount, including $3.3 million principal and interest and early payment penalties of $0.2 million assessed pursuant to the terms of the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Accounting</w:t>
      </w:r>
    </w:p>
    <w:p>
      <w:pPr>
        <w:spacing w:after="0" w:line="19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and assesses whether any such contracts contain a lease. The Company determines if an arrangement is a lease at inception if it conveys the right to control the identified asset for a period of time in exchange for consideration. The Company classifies leases as operating or financing in nature. All lease liabilities are measured at the present value of the associated payments, discounted using the Company’s incremental borrowing rate determined based on the rate of interest that the Company would pay to borrow on a collateralized basis an amount equal to the lease payments for similar term and in a similar economic environment on a collateralized basis, unless there is a rate implicit in the lease that is readily determinable.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Company's operating lease arrangements are principally for office space and laboratory facilities. The Company’s headquarter lease was initially entered into via sub-lease agreements with ISMMS and a third party and they will expire in 2034. The agreements include escalating rent and rent-free period provisions. Pursuant to the terms of the lease agreement,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30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9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11" w:lineRule="exact"/>
        <w:rPr>
          <w:sz w:val="20"/>
          <w:szCs w:val="20"/>
          <w:color w:val="auto"/>
        </w:rPr>
      </w:pPr>
    </w:p>
    <w:p>
      <w:pPr>
        <w:jc w:val="both"/>
        <w:ind w:right="80"/>
        <w:spacing w:after="0" w:line="274" w:lineRule="auto"/>
        <w:rPr>
          <w:sz w:val="20"/>
          <w:szCs w:val="20"/>
          <w:color w:val="auto"/>
        </w:rPr>
      </w:pPr>
      <w:r>
        <w:rPr>
          <w:rFonts w:ascii="Times New Roman" w:cs="Times New Roman" w:eastAsia="Times New Roman" w:hAnsi="Times New Roman"/>
          <w:sz w:val="18"/>
          <w:szCs w:val="18"/>
          <w:color w:val="auto"/>
        </w:rPr>
        <w:t>the Company was required to have issued an irrevocable standby letter of credit to the lessor for $0.9 million, which was included in restricted cash on the condensed consolidated balance sheets as of June 30, 2022 and consolidated balance sheets as of December 31, 2021.</w:t>
      </w:r>
    </w:p>
    <w:p>
      <w:pPr>
        <w:spacing w:after="0" w:line="124" w:lineRule="exact"/>
        <w:rPr>
          <w:sz w:val="20"/>
          <w:szCs w:val="20"/>
          <w:color w:val="auto"/>
        </w:rPr>
      </w:pPr>
    </w:p>
    <w:p>
      <w:pPr>
        <w:jc w:val="both"/>
        <w:ind w:right="80" w:firstLine="318"/>
        <w:spacing w:after="0" w:line="252" w:lineRule="auto"/>
        <w:rPr>
          <w:sz w:val="20"/>
          <w:szCs w:val="20"/>
          <w:color w:val="auto"/>
        </w:rPr>
      </w:pPr>
      <w:r>
        <w:rPr>
          <w:rFonts w:ascii="Times New Roman" w:cs="Times New Roman" w:eastAsia="Times New Roman" w:hAnsi="Times New Roman"/>
          <w:sz w:val="18"/>
          <w:szCs w:val="18"/>
          <w:color w:val="auto"/>
        </w:rPr>
        <w:t>In April 2019, the Company entered into a sublease agreement to rent a building to be used for office and laboratory facility (the “Stamford Lease”) for a base term of 325 months, expiring in October 2046. The Company has the option to renew the lease at the end of the initial base term for either one period of 10 years, or two periods of 5 years. There is also an early termination option in which the Company may cancel the lease after the 196th month with cancellation fees. At inception of the Stamford Lease, the value of the land was determined to be more than 25% of the total value and therefore the building is accounted for as a finance lease and the land as an operating lease.</w:t>
      </w:r>
    </w:p>
    <w:p>
      <w:pPr>
        <w:spacing w:after="0" w:line="146" w:lineRule="exact"/>
        <w:rPr>
          <w:sz w:val="20"/>
          <w:szCs w:val="20"/>
          <w:color w:val="auto"/>
        </w:rPr>
      </w:pPr>
    </w:p>
    <w:p>
      <w:pPr>
        <w:jc w:val="both"/>
        <w:ind w:right="80" w:firstLine="318"/>
        <w:spacing w:after="0" w:line="274" w:lineRule="auto"/>
        <w:rPr>
          <w:sz w:val="20"/>
          <w:szCs w:val="20"/>
          <w:color w:val="auto"/>
        </w:rPr>
      </w:pPr>
      <w:r>
        <w:rPr>
          <w:rFonts w:ascii="Times New Roman" w:cs="Times New Roman" w:eastAsia="Times New Roman" w:hAnsi="Times New Roman"/>
          <w:sz w:val="18"/>
          <w:szCs w:val="18"/>
          <w:color w:val="auto"/>
        </w:rPr>
        <w:t>In January 2020, the Company entered into a lease agreement which expanded the Company’s existing laboratory facility in Branford, Connecticut. The lease commenced in February 2020 with a 10 year term. The lease includes escalating rent fees over the lease term.</w:t>
      </w:r>
    </w:p>
    <w:p>
      <w:pPr>
        <w:spacing w:after="0" w:line="137" w:lineRule="exact"/>
        <w:rPr>
          <w:sz w:val="20"/>
          <w:szCs w:val="20"/>
          <w:color w:val="auto"/>
        </w:rPr>
      </w:pPr>
    </w:p>
    <w:p>
      <w:pPr>
        <w:jc w:val="both"/>
        <w:ind w:right="80" w:firstLine="318"/>
        <w:spacing w:after="0" w:line="274" w:lineRule="auto"/>
        <w:rPr>
          <w:sz w:val="20"/>
          <w:szCs w:val="20"/>
          <w:color w:val="auto"/>
        </w:rPr>
      </w:pPr>
      <w:r>
        <w:rPr>
          <w:rFonts w:ascii="Times New Roman" w:cs="Times New Roman" w:eastAsia="Times New Roman" w:hAnsi="Times New Roman"/>
          <w:sz w:val="18"/>
          <w:szCs w:val="18"/>
          <w:color w:val="auto"/>
        </w:rPr>
        <w:t>In April 2022, the Company acquired an operating lease for office space and laboratory operations in connection with the GeneDx acquisition. The lease includes a base term of 9 years remaining from the date of acquisition and an escalating rent provision.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181" w:lineRule="exact"/>
        <w:rPr>
          <w:sz w:val="20"/>
          <w:szCs w:val="20"/>
          <w:color w:val="auto"/>
        </w:rPr>
      </w:pPr>
    </w:p>
    <w:p>
      <w:pPr>
        <w:jc w:val="both"/>
        <w:ind w:right="80" w:firstLine="318"/>
        <w:spacing w:after="0" w:line="252" w:lineRule="auto"/>
        <w:rPr>
          <w:sz w:val="20"/>
          <w:szCs w:val="20"/>
          <w:color w:val="auto"/>
        </w:rPr>
      </w:pPr>
      <w:r>
        <w:rPr>
          <w:rFonts w:ascii="Times New Roman" w:cs="Times New Roman" w:eastAsia="Times New Roman" w:hAnsi="Times New Roman"/>
          <w:sz w:val="18"/>
          <w:szCs w:val="18"/>
          <w:color w:val="auto"/>
        </w:rPr>
        <w:t>The Company enters into various finance lease agreements to obtain laboratory equipment that contain bargain purchase commitments at the end of the lease term. The leases are secured by the underlying equipment. As discussed above, the Company also leases a building used for office and laboratory space in which the building is accounted for as a finance lease and the land is as an operating lease. The interest rate used for the Stamford Lease is 13.1%, which is used to measure the operating and finance lease liability. As of December 31, 2021, the finance lease obligations of $3.4 million and $18.4 million were included in other current liabilities and other liabilities, respectively, on the consolidated balance sheets.</w:t>
      </w:r>
    </w:p>
    <w:p>
      <w:pPr>
        <w:spacing w:after="0" w:line="159" w:lineRule="exact"/>
        <w:rPr>
          <w:sz w:val="20"/>
          <w:szCs w:val="20"/>
          <w:color w:val="auto"/>
        </w:rPr>
      </w:pPr>
    </w:p>
    <w:p>
      <w:pPr>
        <w:jc w:val="both"/>
        <w:ind w:right="80" w:firstLine="318"/>
        <w:spacing w:after="0" w:line="259" w:lineRule="auto"/>
        <w:rPr>
          <w:sz w:val="20"/>
          <w:szCs w:val="20"/>
          <w:color w:val="auto"/>
        </w:rPr>
      </w:pPr>
      <w:r>
        <w:rPr>
          <w:rFonts w:ascii="Times New Roman" w:cs="Times New Roman" w:eastAsia="Times New Roman" w:hAnsi="Times New Roman"/>
          <w:sz w:val="18"/>
          <w:szCs w:val="18"/>
          <w:color w:val="auto"/>
        </w:rPr>
        <w:t>The tables below present financial information associated with the Company’s leases. This information is only presented as of, and for the three and six months ended, June 30, 2022 because, the Company adopted the ASC 842 using a transition method that does not require application to periods prior to adoption (in thousands).</w:t>
      </w:r>
    </w:p>
    <w:p>
      <w:pPr>
        <w:sectPr>
          <w:pgSz w:w="11900" w:h="16838" w:orient="portrait"/>
          <w:cols w:equalWidth="0" w:num="1">
            <w:col w:w="11320"/>
          </w:cols>
          <w:pgMar w:left="320" w:top="307" w:right="259" w:bottom="1440" w:gutter="0" w:footer="0" w:header="0"/>
        </w:sectPr>
      </w:pP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080" w:type="dxa"/>
            <w:vAlign w:val="bottom"/>
          </w:tcPr>
          <w:p>
            <w:pPr>
              <w:ind w:left="16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0" w:type="dxa"/>
            <w:vAlign w:val="bottom"/>
          </w:tcPr>
          <w:p>
            <w:pPr>
              <w:spacing w:after="0"/>
              <w:rPr>
                <w:sz w:val="1"/>
                <w:szCs w:val="1"/>
                <w:color w:val="auto"/>
              </w:rPr>
            </w:pPr>
          </w:p>
        </w:tc>
      </w:tr>
      <w:tr>
        <w:trPr>
          <w:trHeight w:val="210"/>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5"/>
              </w:rPr>
              <w:t>Assets</w:t>
            </w:r>
          </w:p>
        </w:tc>
        <w:tc>
          <w:tcPr>
            <w:tcW w:w="2800" w:type="dxa"/>
            <w:vAlign w:val="bottom"/>
            <w:gridSpan w:val="2"/>
          </w:tcPr>
          <w:p>
            <w:pPr>
              <w:spacing w:after="0"/>
              <w:rPr>
                <w:sz w:val="18"/>
                <w:szCs w:val="18"/>
                <w:color w:val="auto"/>
              </w:rPr>
            </w:pP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Operating lease assets</w:t>
            </w:r>
          </w:p>
        </w:tc>
        <w:tc>
          <w:tcPr>
            <w:tcW w:w="408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6"/>
              </w:rPr>
              <w:t>Operating lease right-of-use assets</w:t>
            </w:r>
          </w:p>
        </w:tc>
        <w:tc>
          <w:tcPr>
            <w:tcW w:w="0" w:type="dxa"/>
            <w:vAlign w:val="bottom"/>
          </w:tcPr>
          <w:p>
            <w:pPr>
              <w:spacing w:after="0"/>
              <w:rPr>
                <w:sz w:val="1"/>
                <w:szCs w:val="1"/>
                <w:color w:val="auto"/>
              </w:rPr>
            </w:pPr>
          </w:p>
        </w:tc>
      </w:tr>
      <w:tr>
        <w:trPr>
          <w:trHeight w:val="231"/>
        </w:trPr>
        <w:tc>
          <w:tcPr>
            <w:tcW w:w="3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Finance lease assets</w:t>
            </w:r>
          </w:p>
        </w:tc>
        <w:tc>
          <w:tcPr>
            <w:tcW w:w="40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0" w:type="dxa"/>
            <w:vAlign w:val="bottom"/>
          </w:tcPr>
          <w:p>
            <w:pPr>
              <w:spacing w:after="0"/>
              <w:rPr>
                <w:sz w:val="1"/>
                <w:szCs w:val="1"/>
                <w:color w:val="auto"/>
              </w:rPr>
            </w:pPr>
          </w:p>
        </w:tc>
      </w:tr>
      <w:tr>
        <w:trPr>
          <w:trHeight w:val="238"/>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4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Liabilities</w:t>
            </w:r>
          </w:p>
        </w:tc>
        <w:tc>
          <w:tcPr>
            <w:tcW w:w="25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4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Operating</w:t>
            </w:r>
          </w:p>
        </w:tc>
        <w:tc>
          <w:tcPr>
            <w:tcW w:w="40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Due to related parties</w:t>
            </w:r>
          </w:p>
        </w:tc>
        <w:tc>
          <w:tcPr>
            <w:tcW w:w="0" w:type="dxa"/>
            <w:vAlign w:val="bottom"/>
          </w:tcPr>
          <w:p>
            <w:pPr>
              <w:spacing w:after="0"/>
              <w:rPr>
                <w:sz w:val="1"/>
                <w:szCs w:val="1"/>
                <w:color w:val="auto"/>
              </w:rPr>
            </w:pPr>
          </w:p>
        </w:tc>
      </w:tr>
      <w:tr>
        <w:trPr>
          <w:trHeight w:val="225"/>
        </w:trPr>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0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0" w:type="dxa"/>
            <w:vAlign w:val="bottom"/>
          </w:tcPr>
          <w:p>
            <w:pPr>
              <w:spacing w:after="0"/>
              <w:rPr>
                <w:sz w:val="1"/>
                <w:szCs w:val="1"/>
                <w:color w:val="auto"/>
              </w:rPr>
            </w:pPr>
          </w:p>
        </w:tc>
      </w:tr>
      <w:tr>
        <w:trPr>
          <w:trHeight w:val="225"/>
        </w:trPr>
        <w:tc>
          <w:tcPr>
            <w:tcW w:w="3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Finance</w:t>
            </w:r>
          </w:p>
        </w:tc>
        <w:tc>
          <w:tcPr>
            <w:tcW w:w="40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Due to related parties</w:t>
            </w:r>
          </w:p>
        </w:tc>
        <w:tc>
          <w:tcPr>
            <w:tcW w:w="0" w:type="dxa"/>
            <w:vAlign w:val="bottom"/>
          </w:tcPr>
          <w:p>
            <w:pPr>
              <w:spacing w:after="0"/>
              <w:rPr>
                <w:sz w:val="1"/>
                <w:szCs w:val="1"/>
                <w:color w:val="auto"/>
              </w:rPr>
            </w:pPr>
          </w:p>
        </w:tc>
      </w:tr>
      <w:tr>
        <w:trPr>
          <w:trHeight w:val="231"/>
        </w:trPr>
        <w:tc>
          <w:tcPr>
            <w:tcW w:w="3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40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0" w:type="dxa"/>
            <w:vAlign w:val="bottom"/>
          </w:tcPr>
          <w:p>
            <w:pPr>
              <w:spacing w:after="0"/>
              <w:rPr>
                <w:sz w:val="1"/>
                <w:szCs w:val="1"/>
                <w:color w:val="auto"/>
              </w:rPr>
            </w:pPr>
          </w:p>
        </w:tc>
      </w:tr>
      <w:tr>
        <w:trPr>
          <w:trHeight w:val="219"/>
        </w:trPr>
        <w:tc>
          <w:tcPr>
            <w:tcW w:w="3280" w:type="dxa"/>
            <w:vAlign w:val="bottom"/>
            <w:gridSpan w:val="3"/>
            <w:vMerge w:val="continue"/>
          </w:tcPr>
          <w:p>
            <w:pPr>
              <w:spacing w:after="0"/>
              <w:rPr>
                <w:sz w:val="19"/>
                <w:szCs w:val="19"/>
                <w:color w:val="auto"/>
              </w:rPr>
            </w:pPr>
          </w:p>
        </w:tc>
        <w:tc>
          <w:tcPr>
            <w:tcW w:w="4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Operating</w:t>
            </w:r>
          </w:p>
        </w:tc>
        <w:tc>
          <w:tcPr>
            <w:tcW w:w="40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0" w:type="dxa"/>
            <w:vAlign w:val="bottom"/>
          </w:tcPr>
          <w:p>
            <w:pPr>
              <w:spacing w:after="0"/>
              <w:rPr>
                <w:sz w:val="1"/>
                <w:szCs w:val="1"/>
                <w:color w:val="auto"/>
              </w:rPr>
            </w:pPr>
          </w:p>
        </w:tc>
      </w:tr>
      <w:tr>
        <w:trPr>
          <w:trHeight w:val="231"/>
        </w:trPr>
        <w:tc>
          <w:tcPr>
            <w:tcW w:w="3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Finance</w:t>
            </w:r>
          </w:p>
        </w:tc>
        <w:tc>
          <w:tcPr>
            <w:tcW w:w="40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0" w:type="dxa"/>
            <w:vAlign w:val="bottom"/>
          </w:tcPr>
          <w:p>
            <w:pPr>
              <w:spacing w:after="0"/>
              <w:rPr>
                <w:sz w:val="1"/>
                <w:szCs w:val="1"/>
                <w:color w:val="auto"/>
              </w:rPr>
            </w:pPr>
          </w:p>
        </w:tc>
      </w:tr>
      <w:tr>
        <w:trPr>
          <w:trHeight w:val="239"/>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4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-1901190</wp:posOffset>
            </wp:positionV>
            <wp:extent cx="6995160" cy="142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-1296035</wp:posOffset>
            </wp:positionV>
            <wp:extent cx="6995160" cy="142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-1009650</wp:posOffset>
            </wp:positionV>
            <wp:extent cx="6995160" cy="142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-723900</wp:posOffset>
            </wp:positionV>
            <wp:extent cx="6995160" cy="142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-437515</wp:posOffset>
            </wp:positionV>
            <wp:extent cx="6995160" cy="142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-151765</wp:posOffset>
            </wp:positionV>
            <wp:extent cx="6995160" cy="151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5113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-1607185</wp:posOffset>
            </wp:positionV>
            <wp:extent cx="6995160" cy="168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682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-2187575</wp:posOffset>
            </wp:positionV>
            <wp:extent cx="6995160" cy="142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42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306"/>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269" w:lineRule="exact"/>
        <w:rPr>
          <w:sz w:val="20"/>
          <w:szCs w:val="20"/>
          <w:color w:val="auto"/>
        </w:rPr>
      </w:pPr>
    </w:p>
    <w:p>
      <w:pPr>
        <w:ind w:left="906" w:hanging="906"/>
        <w:spacing w:after="0"/>
        <w:tabs>
          <w:tab w:leader="none" w:pos="90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44,0</w:t>
      </w:r>
    </w:p>
    <w:p>
      <w:pPr>
        <w:spacing w:after="0" w:line="24" w:lineRule="exact"/>
        <w:rPr>
          <w:rFonts w:ascii="Times New Roman" w:cs="Times New Roman" w:eastAsia="Times New Roman" w:hAnsi="Times New Roman"/>
          <w:sz w:val="18"/>
          <w:szCs w:val="18"/>
          <w:color w:val="auto"/>
        </w:rPr>
      </w:pPr>
    </w:p>
    <w:p>
      <w:pPr>
        <w:ind w:left="90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8026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02640" cy="8255"/>
                    </a:xfrm>
                    <a:prstGeom prst="rect">
                      <a:avLst/>
                    </a:prstGeom>
                    <a:noFill/>
                  </pic:spPr>
                </pic:pic>
              </a:graphicData>
            </a:graphic>
          </wp:anchor>
        </w:drawing>
      </w:r>
    </w:p>
    <w:p>
      <w:pPr>
        <w:spacing w:after="0" w:line="5" w:lineRule="exact"/>
        <w:rPr>
          <w:sz w:val="20"/>
          <w:szCs w:val="20"/>
          <w:color w:val="auto"/>
        </w:rPr>
      </w:pPr>
    </w:p>
    <w:p>
      <w:pPr>
        <w:ind w:left="906" w:hanging="906"/>
        <w:spacing w:after="0"/>
        <w:tabs>
          <w:tab w:leader="none" w:pos="90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126" w:hanging="1126"/>
        <w:spacing w:after="0"/>
        <w:tabs>
          <w:tab w:leader="none" w:pos="11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p>
    <w:p>
      <w:pPr>
        <w:spacing w:after="0" w:line="24" w:lineRule="exact"/>
        <w:rPr>
          <w:rFonts w:ascii="Times New Roman" w:cs="Times New Roman" w:eastAsia="Times New Roman" w:hAnsi="Times New Roman"/>
          <w:sz w:val="18"/>
          <w:szCs w:val="18"/>
          <w:color w:val="auto"/>
        </w:rPr>
      </w:pPr>
    </w:p>
    <w:p>
      <w:pPr>
        <w:ind w:left="100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1,8</w:t>
      </w:r>
    </w:p>
    <w:p>
      <w:pPr>
        <w:spacing w:after="0" w:line="29" w:lineRule="exact"/>
        <w:rPr>
          <w:rFonts w:ascii="Times New Roman" w:cs="Times New Roman" w:eastAsia="Times New Roman" w:hAnsi="Times New Roman"/>
          <w:sz w:val="18"/>
          <w:szCs w:val="18"/>
          <w:color w:val="auto"/>
        </w:rPr>
      </w:pPr>
    </w:p>
    <w:p>
      <w:pPr>
        <w:ind w:left="112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18" w:lineRule="exact"/>
        <w:rPr>
          <w:rFonts w:ascii="Times New Roman" w:cs="Times New Roman" w:eastAsia="Times New Roman" w:hAnsi="Times New Roman"/>
          <w:sz w:val="18"/>
          <w:szCs w:val="18"/>
          <w:color w:val="auto"/>
        </w:rPr>
      </w:pPr>
    </w:p>
    <w:p>
      <w:pPr>
        <w:ind w:left="100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2,9</w:t>
      </w:r>
    </w:p>
    <w:p>
      <w:pPr>
        <w:spacing w:after="0" w:line="249" w:lineRule="exact"/>
        <w:rPr>
          <w:sz w:val="20"/>
          <w:szCs w:val="20"/>
          <w:color w:val="auto"/>
        </w:rPr>
      </w:pPr>
    </w:p>
    <w:p>
      <w:pPr>
        <w:ind w:left="906"/>
        <w:spacing w:after="0"/>
        <w:rPr>
          <w:sz w:val="20"/>
          <w:szCs w:val="20"/>
          <w:color w:val="auto"/>
        </w:rPr>
      </w:pPr>
      <w:r>
        <w:rPr>
          <w:rFonts w:ascii="Times New Roman" w:cs="Times New Roman" w:eastAsia="Times New Roman" w:hAnsi="Times New Roman"/>
          <w:sz w:val="18"/>
          <w:szCs w:val="18"/>
          <w:color w:val="auto"/>
        </w:rPr>
        <w:t>45,4</w:t>
      </w:r>
    </w:p>
    <w:p>
      <w:pPr>
        <w:spacing w:after="0" w:line="24" w:lineRule="exact"/>
        <w:rPr>
          <w:sz w:val="20"/>
          <w:szCs w:val="20"/>
          <w:color w:val="auto"/>
        </w:rPr>
      </w:pPr>
    </w:p>
    <w:p>
      <w:pPr>
        <w:ind w:left="906"/>
        <w:spacing w:after="0"/>
        <w:rPr>
          <w:sz w:val="20"/>
          <w:szCs w:val="20"/>
          <w:color w:val="auto"/>
        </w:rPr>
      </w:pPr>
      <w:r>
        <w:rPr>
          <w:rFonts w:ascii="Times New Roman" w:cs="Times New Roman" w:eastAsia="Times New Roman" w:hAnsi="Times New Roman"/>
          <w:sz w:val="18"/>
          <w:szCs w:val="18"/>
          <w:color w:val="auto"/>
        </w:rPr>
        <w:t>17,3</w:t>
      </w:r>
    </w:p>
    <w:p>
      <w:pPr>
        <w:spacing w:after="0" w:line="25" w:lineRule="exact"/>
        <w:rPr>
          <w:sz w:val="20"/>
          <w:szCs w:val="20"/>
          <w:color w:val="auto"/>
        </w:rPr>
      </w:pPr>
    </w:p>
    <w:p>
      <w:pPr>
        <w:ind w:left="906" w:hanging="906"/>
        <w:spacing w:after="0"/>
        <w:tabs>
          <w:tab w:leader="none" w:pos="90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026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02640" cy="825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9374" w:space="720"/>
            <w:col w:w="1226"/>
          </w:cols>
          <w:pgMar w:left="320" w:top="307"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20"/>
          </w:cols>
          <w:pgMar w:left="320" w:top="307" w:right="2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4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Six months ended Ju</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8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30, 2022</w:t>
            </w:r>
          </w:p>
        </w:tc>
        <w:tc>
          <w:tcPr>
            <w:tcW w:w="0" w:type="dxa"/>
            <w:vAlign w:val="bottom"/>
          </w:tcPr>
          <w:p>
            <w:pPr>
              <w:spacing w:after="0"/>
              <w:rPr>
                <w:sz w:val="1"/>
                <w:szCs w:val="1"/>
                <w:color w:val="auto"/>
              </w:rPr>
            </w:pPr>
          </w:p>
        </w:tc>
      </w:tr>
      <w:tr>
        <w:trPr>
          <w:trHeight w:val="211"/>
        </w:trPr>
        <w:tc>
          <w:tcPr>
            <w:tcW w:w="20" w:type="dxa"/>
            <w:vAlign w:val="bottom"/>
            <w:tcBorders>
              <w:top w:val="single" w:sz="8" w:color="CCEEFF"/>
            </w:tcBorders>
            <w:shd w:val="clear" w:color="auto" w:fill="CCEEFF"/>
          </w:tcPr>
          <w:p>
            <w:pPr>
              <w:spacing w:after="0"/>
              <w:rPr>
                <w:sz w:val="18"/>
                <w:szCs w:val="18"/>
                <w:color w:val="auto"/>
              </w:rPr>
            </w:pPr>
          </w:p>
        </w:tc>
        <w:tc>
          <w:tcPr>
            <w:tcW w:w="658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 cost</w:t>
            </w:r>
          </w:p>
        </w:tc>
        <w:tc>
          <w:tcPr>
            <w:tcW w:w="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58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Short-term lease cost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gridSpan w:val="4"/>
          </w:tcPr>
          <w:p>
            <w:pPr>
              <w:ind w:left="80"/>
              <w:spacing w:after="0"/>
              <w:rPr>
                <w:sz w:val="20"/>
                <w:szCs w:val="20"/>
                <w:color w:val="auto"/>
              </w:rPr>
            </w:pPr>
            <w:r>
              <w:rPr>
                <w:rFonts w:ascii="Times New Roman" w:cs="Times New Roman" w:eastAsia="Times New Roman" w:hAnsi="Times New Roman"/>
                <w:sz w:val="18"/>
                <w:szCs w:val="18"/>
                <w:color w:val="auto"/>
              </w:rPr>
              <w:t>Variable lease cost</w:t>
            </w:r>
          </w:p>
        </w:tc>
        <w:tc>
          <w:tcPr>
            <w:tcW w:w="2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9"/>
                <w:szCs w:val="19"/>
                <w:color w:val="auto"/>
              </w:rPr>
            </w:pPr>
          </w:p>
        </w:tc>
        <w:tc>
          <w:tcPr>
            <w:tcW w:w="6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cost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 lease cost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 of leased assets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58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finance lease cost</w:t>
            </w:r>
          </w:p>
        </w:tc>
        <w:tc>
          <w:tcPr>
            <w:tcW w:w="2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9"/>
                <w:szCs w:val="19"/>
                <w:color w:val="auto"/>
              </w:rPr>
            </w:pPr>
          </w:p>
        </w:tc>
        <w:tc>
          <w:tcPr>
            <w:tcW w:w="658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471"/>
        </w:trPr>
        <w:tc>
          <w:tcPr>
            <w:tcW w:w="81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June 30, 2022 are as follows: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6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Maturity of lease liabilities</w:t>
            </w:r>
          </w:p>
        </w:tc>
        <w:tc>
          <w:tcPr>
            <w:tcW w:w="20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Pr>
          <w:p>
            <w:pPr>
              <w:spacing w:after="0"/>
              <w:rPr>
                <w:sz w:val="24"/>
                <w:szCs w:val="24"/>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220" w:type="dxa"/>
            <w:vAlign w:val="bottom"/>
          </w:tcPr>
          <w:p>
            <w:pPr>
              <w:spacing w:after="0"/>
              <w:rPr>
                <w:sz w:val="24"/>
                <w:szCs w:val="24"/>
                <w:color w:val="auto"/>
              </w:rPr>
            </w:pPr>
          </w:p>
        </w:tc>
        <w:tc>
          <w:tcPr>
            <w:tcW w:w="10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9"/>
                <w:szCs w:val="19"/>
                <w:color w:val="auto"/>
              </w:rPr>
            </w:pPr>
          </w:p>
        </w:tc>
        <w:tc>
          <w:tcPr>
            <w:tcW w:w="6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(remainder of the year)</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5"/>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5"/>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5"/>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5"/>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9"/>
                <w:szCs w:val="19"/>
                <w:color w:val="auto"/>
              </w:rPr>
            </w:pPr>
          </w:p>
        </w:tc>
        <w:tc>
          <w:tcPr>
            <w:tcW w:w="6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9"/>
                <w:szCs w:val="19"/>
                <w:color w:val="auto"/>
              </w:rPr>
            </w:pPr>
          </w:p>
        </w:tc>
        <w:tc>
          <w:tcPr>
            <w:tcW w:w="6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471"/>
        </w:trPr>
        <w:tc>
          <w:tcPr>
            <w:tcW w:w="680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8"/>
              </w:rPr>
              <w:t>Other information related to leases as of and for six months ended June 30, 2022 are as follows: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3560" w:type="dxa"/>
            <w:vAlign w:val="bottom"/>
            <w:tcBorders>
              <w:bottom w:val="single" w:sz="8" w:color="auto"/>
            </w:tcBorders>
            <w:gridSpan w:val="2"/>
            <w:shd w:val="clear" w:color="auto" w:fill="CCEEFF"/>
          </w:tcPr>
          <w:p>
            <w:pPr>
              <w:spacing w:after="0" w:line="165" w:lineRule="exact"/>
              <w:rPr>
                <w:sz w:val="20"/>
                <w:szCs w:val="20"/>
                <w:color w:val="auto"/>
              </w:rPr>
            </w:pPr>
            <w:r>
              <w:rPr>
                <w:rFonts w:ascii="Times New Roman" w:cs="Times New Roman" w:eastAsia="Times New Roman" w:hAnsi="Times New Roman"/>
                <w:sz w:val="18"/>
                <w:szCs w:val="18"/>
                <w:b w:val="1"/>
                <w:bCs w:val="1"/>
                <w:color w:val="auto"/>
                <w:w w:val="97"/>
              </w:rPr>
              <w:t>Weighted-average remaining lease term (years)</w:t>
            </w:r>
          </w:p>
        </w:tc>
        <w:tc>
          <w:tcPr>
            <w:tcW w:w="3020" w:type="dxa"/>
            <w:vAlign w:val="bottom"/>
            <w:tcBorders>
              <w:bottom w:val="single" w:sz="8" w:color="CCEEFF"/>
            </w:tcBorders>
            <w:gridSpan w:val="2"/>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58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auto"/>
            </w:tcBorders>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w w:val="97"/>
              </w:rPr>
              <w:t>Weighted-average discount rate</w:t>
            </w:r>
          </w:p>
        </w:tc>
        <w:tc>
          <w:tcPr>
            <w:tcW w:w="4180" w:type="dxa"/>
            <w:vAlign w:val="bottom"/>
            <w:tcBorders>
              <w:bottom w:val="single" w:sz="8" w:color="CCEEFF"/>
            </w:tcBorders>
            <w:gridSpan w:val="3"/>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6.8%</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58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10.7%</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5280" w:type="dxa"/>
            <w:vAlign w:val="bottom"/>
            <w:tcBorders>
              <w:bottom w:val="single" w:sz="8" w:color="auto"/>
            </w:tcBorders>
            <w:gridSpan w:val="3"/>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w w:val="97"/>
              </w:rPr>
              <w:t>Cash paid for amounts included in the measurement of lease liabilities</w:t>
            </w:r>
          </w:p>
        </w:tc>
        <w:tc>
          <w:tcPr>
            <w:tcW w:w="1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$2,644</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58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$1,083</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Financing cash flows from finance lease</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$1,634</w:t>
            </w:r>
          </w:p>
        </w:tc>
        <w:tc>
          <w:tcPr>
            <w:tcW w:w="0" w:type="dxa"/>
            <w:vAlign w:val="bottom"/>
          </w:tcPr>
          <w:p>
            <w:pPr>
              <w:spacing w:after="0"/>
              <w:rPr>
                <w:sz w:val="1"/>
                <w:szCs w:val="1"/>
                <w:color w:val="auto"/>
              </w:rPr>
            </w:pPr>
          </w:p>
        </w:tc>
      </w:tr>
      <w:tr>
        <w:trPr>
          <w:trHeight w:val="883"/>
        </w:trPr>
        <w:tc>
          <w:tcPr>
            <w:tcW w:w="6600" w:type="dxa"/>
            <w:vAlign w:val="bottom"/>
            <w:gridSpan w:val="5"/>
          </w:tcPr>
          <w:p>
            <w:pPr>
              <w:jc w:val="right"/>
              <w:ind w:right="120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307"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the normal course of business, the Company enters into various purchase commitments primarily related to material and service agreements, laboratory supplies and software. At June 30, 2022, the Company’s total future payments under noncancellable unconditional purchase commitments having a remaining term of over one year were $28.4 million.</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9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is a party to various actions and claims arising in the normal course of business. The Company does not believe that the outcome of these matters will have a material effect on the Company’s condensed consolidated financial position, results of operations or cash flows. However, no assurance can be given that the final outcome of such proceedings will not materially impact the Company’s condensed consolidated financial condition or results of operations.</w:t>
      </w:r>
    </w:p>
    <w:p>
      <w:pPr>
        <w:spacing w:after="0" w:line="14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was not a party to any material legal proceedings as of June 30, 2022, nor is it a party to any material legal proceedings as of the date of issuance of these unaudited condensed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1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Company’s 2017 Equity Incentive Plan (the “2017 Plan”), as amended in February 2018, allowed the grant of options, restricted stock awards, stock appreciation rights and restricted stock units. No options granted under the 2017 Plan are exercisable after 10 years from the date of grant, and option awards generally vest over a four-year period.</w:t>
      </w:r>
    </w:p>
    <w:p>
      <w:pPr>
        <w:spacing w:after="0" w:line="13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2017 Plan was terminated in connection with the adoption of the Company's 2021 Equity Incentive Plan (the "2021 Plan"). Any awards granted under the 2017 Plan that remained outstanding as of the Closing Date and were converted into awards with respect to the Company’s Class A common stock in connection with the consummation of the Business Combination continue to be subject to the terms of the 2017 Plan and applicable award agreements, except for a modification of the repurchase provision, which is discussed further below.</w:t>
      </w:r>
    </w:p>
    <w:p>
      <w:pPr>
        <w:spacing w:after="0" w:line="15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July 22, 2021, in connection with the Business Combination, the 2021 Plan became effective and 32,734,983 authorized shares of Class A common stock were reserved for issuance thereunder. The 2021 Plan will be administered by the Compensation Committee of the Company’s Board of Directors, including determination of the vesting, exercisability and payment of the awards to be granted under the 2021 Plan. No awards granted under the 2021 Plan are exercisable after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years from the date of grant, and the awards granted under the 2021 Plan generally vest over a four-year period on a graded vesting basis.</w:t>
      </w:r>
    </w:p>
    <w:p>
      <w:pPr>
        <w:spacing w:after="0" w:line="15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Additionally, on May 2, 2022, the compensation committee of the Company’s board of directors granted newly-hired employees inducement stock options to purchase an aggregate of 4,932,132 shares of the Company’s Class A common stock and 4,285,208 RSUs as inducements material to each employee entering into employment with the Company. The stock options have an exercise price of $2.20 per share, which was equal to the closing price of the Company’s Class A common stock on the grant date. The stock options and RSUs granted to the newly-hired employees other than the Company’s CEO, Chief Commercial Officer, and SVP Operations will vest with respect to 25% of the underlying shares on April 29, 2023, and will vest with respect to the remaining underlying shares in equal quarterly installments thereafter through April 29, 2026, in each case subject to the new employee’s continued service with the company. The stock options and RSUs granted to the Company’s CEO, Chief Commercial Officer, and SVP Operations will vest with respect to 25% of the underlying shares on April 29, 2023 and 25% of the underlying shares on April 29, 2024, and will vest with respect to the remaining underlying shares in equal quarterly installments thereafter through April 29, 2026, in each case subject to his or her continued service with the company. Each stock option has a 10-year term. The stock options and RSUs are subject to the terms and conditions identical to those of the 2021 Plan and a stock option agreement or restricted stock unit agreement, as applicable, covering the grant.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30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8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2021 Employee Stock Purchase Plan (the “2021 ESPP”) became effective in connection with the Business Combination. The 2021 ESPP authorizes the issuance of shares of Class A common stock pursuant to purchase rights granted to employees. On each January 1 of each of 2022 through 2031, the aggregate number of shares of Class A common stock reserved for issuance under the 2021 Plan may be increased automatically by the number of shares equal to one percent (1%) of the total number of shares of all classes of common stock issued and outstanding immediately preceding December 31. The Company did not make any grants of purchase rights under the 2021 ESPP during the quarter ended June 30, 2022. A total of 7,229,799 shares of Class A common stock have been reserved for future issuance under the 2021 ESPP.</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9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Under the 2017 Plan, the Company had a call option to repurchase awards for cash from the plan participants upon termination of the participant’s employment or consulting agreement (the “2017 Plan Call Option”). The options granted under the 2017 plan were accounted for as liability awards due to the 2017 Plan Call Option. The Company had a history of repurchase practice and the intention to repurchase the vested options. Therefore, the fair value of the liability awards was remeasured at each reporting period until the stockholder bears the risks and rewards of equity ownership for a reasonable period of time, which the Company concludes is at least six months.</w:t>
      </w:r>
    </w:p>
    <w:p>
      <w:pPr>
        <w:spacing w:after="0" w:line="1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Upon consummation of the Business Combination, the Company’s Board of Directors waived the Company’s right under the 2017 Plan Call Option to repurchase awards for cash from the plan participants upon termination of the participant’s employment or consulting agreement. As such, the Company modified the liability awards to equity awards and reclassified the modification date fair value of the awards to stockholders’ equity in the condensed consolidated financial statements as of July 22, 2021.</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All stock options granted under the 2021 Plan are accounted for as equity awards.</w:t>
      </w:r>
    </w:p>
    <w:p>
      <w:pPr>
        <w:spacing w:after="0" w:line="191"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The following summarizes the stock option activity, which reflects the conversion of the options granted under the 2017 Plan into awards with respect to the Company Class A common stock in connection with the consummation of the Business Combination (in thousands, except share and per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Stock Options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1"/>
        </w:trPr>
        <w:tc>
          <w:tcPr>
            <w:tcW w:w="8680" w:type="dxa"/>
            <w:vAlign w:val="bottom"/>
          </w:tcPr>
          <w:p>
            <w:pPr>
              <w:spacing w:after="0"/>
              <w:rPr>
                <w:sz w:val="16"/>
                <w:szCs w:val="16"/>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6"/>
                <w:szCs w:val="16"/>
                <w:color w:val="auto"/>
              </w:rPr>
            </w:pP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24"/>
        </w:trPr>
        <w:tc>
          <w:tcPr>
            <w:tcW w:w="8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30,905,543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5"/>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10,362,635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5"/>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(6,325,176)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25"/>
        </w:trPr>
        <w:tc>
          <w:tcPr>
            <w:tcW w:w="8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Options forfeited or canceled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(1,495,899)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33,447,103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1"/>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exercisable at June 30, 2022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18,327,732</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r>
    </w:tbl>
    <w:p>
      <w:pPr>
        <w:spacing w:after="0" w:line="24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June 30, 2022, unrecognized stock-based compensation cost related to the unvested portion of the Company’s stock options was $28.2 million, which is expected to be recognized on a graded-vesting basis over a weighted-average period of 1.74 years.</w:t>
      </w:r>
    </w:p>
    <w:p>
      <w:pPr>
        <w:spacing w:after="0" w:line="124"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fair value of the stock option awards for the period ended June 30, 2022 and June 30, 2021 were estimated using the Black-Scholes option pricing model with the following assumptions: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30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4600" w:type="dxa"/>
            <w:vAlign w:val="bottom"/>
            <w:gridSpan w:val="3"/>
          </w:tcPr>
          <w:p>
            <w:pPr>
              <w:ind w:left="1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66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186"/>
        </w:trPr>
        <w:tc>
          <w:tcPr>
            <w:tcW w:w="662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65.20% - 75.00%</w:t>
            </w: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46.60%- 71.60%</w:t>
            </w:r>
          </w:p>
        </w:tc>
      </w:tr>
      <w:tr>
        <w:trPr>
          <w:trHeight w:val="225"/>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5.48-6.07</w:t>
            </w:r>
          </w:p>
        </w:tc>
        <w:tc>
          <w:tcPr>
            <w:tcW w:w="8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0.17- 1.50</w:t>
            </w:r>
          </w:p>
        </w:tc>
      </w:tr>
      <w:tr>
        <w:trPr>
          <w:trHeight w:val="22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1.65%-3.03%</w:t>
            </w: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0.05%- 0.25%</w:t>
            </w:r>
          </w:p>
        </w:tc>
      </w:tr>
      <w:tr>
        <w:trPr>
          <w:trHeight w:val="225"/>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Class A common stock</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$2.20-$3.45</w:t>
            </w: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$5.00- $12.06</w:t>
            </w:r>
          </w:p>
        </w:tc>
      </w:tr>
    </w:tbl>
    <w:p>
      <w:pPr>
        <w:spacing w:after="0" w:line="24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estimated a volatility factor for the Company’s options based on analysis of historical share prices of a peer group of public companies. The Company did not rely on the volatility of the Company’s Class A common stock because its limited trading history. The Company estimated the expected term of options granted using the “simplified method,” which is the mid-point between the vesting date and the ending date of the contractual term. The Company did not rely on the historical holding periods of the Company’s options due to the limited availability of exercise data. The Company used a risk-free interest rate based on the U.S. Treasury yield curve in effect for bonds with maturities consistent with the expected term of the option.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1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issued time-based RSUs to employees under the 2021 Plan. The RSUs automatically convert to shares of Class A common stock on a one-for-one basis as the awards vest. The Company measures the value of RSUs at fair value based on the closing price of the underlying Class A common stock on the grant date. The RSUs granted generally vest over a four year vesting period from the grant date, however, certain grants include vesting term that begins vesting 12 months from the grant date. The following table summarizes the activity related to the Company's time-based RSUs:</w:t>
      </w:r>
    </w:p>
    <w:p>
      <w:pPr>
        <w:spacing w:after="0" w:line="146"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40" w:type="dxa"/>
            <w:vAlign w:val="bottom"/>
          </w:tcPr>
          <w:p>
            <w:pPr>
              <w:spacing w:after="0"/>
              <w:rPr>
                <w:sz w:val="13"/>
                <w:szCs w:val="13"/>
                <w:color w:val="auto"/>
              </w:rPr>
            </w:pPr>
          </w:p>
        </w:tc>
        <w:tc>
          <w:tcPr>
            <w:tcW w:w="17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r>
      <w:tr>
        <w:trPr>
          <w:trHeight w:val="191"/>
        </w:trPr>
        <w:tc>
          <w:tcPr>
            <w:tcW w:w="6640" w:type="dxa"/>
            <w:vAlign w:val="bottom"/>
          </w:tcPr>
          <w:p>
            <w:pPr>
              <w:spacing w:after="0"/>
              <w:rPr>
                <w:sz w:val="16"/>
                <w:szCs w:val="16"/>
                <w:color w:val="auto"/>
              </w:rPr>
            </w:pP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6"/>
                <w:szCs w:val="16"/>
                <w:color w:val="auto"/>
              </w:rPr>
            </w:pPr>
          </w:p>
        </w:tc>
        <w:tc>
          <w:tcPr>
            <w:tcW w:w="17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Date Fair Value Per Unit</w:t>
            </w:r>
          </w:p>
        </w:tc>
      </w:tr>
      <w:tr>
        <w:trPr>
          <w:trHeight w:val="224"/>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12,589,558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25"/>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14,455,696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5"/>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(924,019)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25"/>
        </w:trPr>
        <w:tc>
          <w:tcPr>
            <w:tcW w:w="6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Restricted Stock Units forfeited</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(2,723,870)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1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23,397,365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r>
    </w:tbl>
    <w:p>
      <w:pPr>
        <w:spacing w:after="0" w:line="24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Additionally, the Company issued 126,980 RSUs subject to both service and performance based vesting conditions to the Executive Chairman of the Company. The grant date was established during the second quarter period and vesting of the RSUs will be based on the achievement of performance goals established for calendar year 2022.</w:t>
      </w:r>
    </w:p>
    <w:p>
      <w:pPr>
        <w:spacing w:after="0" w:line="13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June 30, 2022, unrecognized stock-based compensation cost related to the unvested portion of the Company’s RSUs was $70.6 million, which is expected to be recognized on a graded-vesting basis over a weighted-average period of 1.80 years.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RSUs</w:t>
      </w:r>
    </w:p>
    <w:p>
      <w:pPr>
        <w:spacing w:after="0" w:line="1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grant date fair value determined for Triggering Event I, II and III was $1.82, $1.39 and $0.94 per unit, respectively. Any re-allocated RSUs due to the Sema4 Legacy option holders’ forfeiture activities during the three months ended June 30, 2022 were accounted for as new grants and the fair value determined for Triggering Event I, II and III was $0.01, $0.01 and $0.01 per unit, respectively. Based on the grant date fair value, the Company expects to record total expense related to the earn-out RSU awards of $2.1 million without considering the impact of the Sema4 Legacy option holders’ forfeiture activities. The Company expects to recognize the stock-compensation cost over the longer of the derived service period or service period.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 (SAR) Activity</w:t>
      </w:r>
    </w:p>
    <w:p>
      <w:pPr>
        <w:spacing w:after="0" w:line="19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historically granted SAR to one employee and one consultant with exercise condition of a liquidation event. As a result of the Business Combination, settlement of the outstanding vested SARs in exchange for a cash payment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30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to cancel the outstanding unvested SARs was agreed upon and an expense of $3.8 million related to the vested SAR was recognized by the Company.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outstanding SARs as of June 30, 2022.</w:t>
      </w:r>
    </w:p>
    <w:p>
      <w:pPr>
        <w:spacing w:after="0" w:line="15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recorded a reversal of stock-based compensation of $4.5 million and $9.7 million, respectively due to forfeiture activities upon employee terminations. Stock-based compensation expense for all awards granted and outstanding is included within the condensed consolidated statements of operations and comprehensive loss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060" w:type="dxa"/>
            <w:vAlign w:val="bottom"/>
            <w:gridSpan w:val="5"/>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24"/>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90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4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678"/>
        </w:trPr>
        <w:tc>
          <w:tcPr>
            <w:tcW w:w="8180" w:type="dxa"/>
            <w:vAlign w:val="bottom"/>
          </w:tcPr>
          <w:p>
            <w:pPr>
              <w:spacing w:after="0"/>
              <w:rPr>
                <w:sz w:val="24"/>
                <w:szCs w:val="24"/>
                <w:color w:val="auto"/>
              </w:rPr>
            </w:pPr>
          </w:p>
        </w:tc>
        <w:tc>
          <w:tcPr>
            <w:tcW w:w="3060" w:type="dxa"/>
            <w:vAlign w:val="bottom"/>
            <w:gridSpan w:val="5"/>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90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18,169</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37,817</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19,753</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88,704</w:t>
            </w:r>
          </w:p>
        </w:tc>
      </w:tr>
      <w:tr>
        <w:trPr>
          <w:trHeight w:val="244"/>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164,443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Income tax benefit for the six months ended June 30, 2021 and 2022 was zero and $49.1 million, respectively. Income taxes for these periods are recorded at the Company’s estimated annual effective income tax rate, subject to adjustments for discrete events should they occur. The Company’s estimated annual effective tax rate was —% and 0.27% for the three and six months ended June 30, 2022, respectively.</w:t>
      </w:r>
    </w:p>
    <w:p>
      <w:pPr>
        <w:spacing w:after="0" w:line="138"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difference between the Company’s effective tax rates in 2022 and 2021 compared to the U.S. statutory tax rate of 21% is primarily due to changes in valuation allowances associated with the Company’s assessment of the likelihood of the recoverability of deferred tax assets. The Company currently has valuation allowances against a significant portion of its deferred tax assets primary related to its net operating loss carryforwards and tax credit carryforwards.</w:t>
      </w:r>
    </w:p>
    <w:p>
      <w:pPr>
        <w:spacing w:after="0" w:line="1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the Company’s acquisition of GeneDx, the Company recorded a deferred tax liability of $51.8 million in purchase accounting. This deferred tax liability serves as a source of future taxable income to support a release of valuation allowance of $48.6 million, which resulted in a deferred tax benefit recorded discretely in the three months ended June 30,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Basic and diluted loss per share attributable to common stockholders was calculated as follows (amounts in thousands, except for share and per share amounts):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30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24"/>
        </w:trPr>
        <w:tc>
          <w:tcPr>
            <w:tcW w:w="8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80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2"/>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5"/>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(85,742)</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(46,161)</w:t>
            </w:r>
          </w:p>
        </w:tc>
      </w:tr>
      <w:tr>
        <w:trPr>
          <w:trHeight w:val="22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5"/>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for basic and diluted earnings per share-weighted-average common shares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337,752,029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1,100,734</w:t>
            </w:r>
          </w:p>
        </w:tc>
      </w:tr>
      <w:tr>
        <w:trPr>
          <w:trHeight w:val="22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r>
      <w:tr>
        <w:trPr>
          <w:trHeight w:val="466"/>
        </w:trPr>
        <w:tc>
          <w:tcPr>
            <w:tcW w:w="8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gridSpan w:val="4"/>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8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80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2"/>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5"/>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(162,638)</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(237,936)</w:t>
            </w:r>
          </w:p>
        </w:tc>
      </w:tr>
      <w:tr>
        <w:trPr>
          <w:trHeight w:val="22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5"/>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for basic and diluted earnings per share-weighted-average common shares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291,318,351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826,778</w:t>
            </w:r>
          </w:p>
        </w:tc>
      </w:tr>
      <w:tr>
        <w:trPr>
          <w:trHeight w:val="22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(287.79)</w:t>
            </w:r>
          </w:p>
        </w:tc>
      </w:tr>
    </w:tbl>
    <w:p>
      <w:pPr>
        <w:spacing w:after="0" w:line="24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a result of the Business Combination Merger, the Company has retroactively adjusted the weighted-average number of shares of common stock outstanding prior to the Business Combination Merger by multiplying them by the conversion ratio of 123.8339 used to determine the number of shares of common stock into which they converted. The common stock issued as a result of the redeemable convertible preferred stock conversion upon closing of the Business Combination Merger was included in the basic and diluted earnings/(loss) per share calculation on a prospective basis.</w:t>
      </w:r>
    </w:p>
    <w:p>
      <w:pPr>
        <w:spacing w:after="0" w:line="141"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Prior to the consummation of the Business Combination Merger, the Company applied the two-class method to calculate its basic and diluted net loss per share of common stock, as there were outstanding Class B common stock and redeemable convertible preferred stock that were participating securities. The two-class method is an earnings allocation formula that treats a participating security as having rights to earnings that otherwise would have been available to common stockholders. As the securities were all converted into Sema4 Holdings Class A common stock upon consummation of the Business Combination Merger, all outstanding Legacy Sema4 Class B common stock has been retroactively converted to the Sema4 Holdings Class A common stock.</w:t>
      </w:r>
    </w:p>
    <w:p>
      <w:pPr>
        <w:spacing w:after="0" w:line="12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summarize the outstanding shares of potentially dilutive securities that were excluded from the computation of diluted net loss per share attributable to common stockholders for the period presented because including them would have been anti-dilutive: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060" w:type="dxa"/>
            <w:vAlign w:val="bottom"/>
            <w:gridSpan w:val="3"/>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24"/>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6"/>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and RSUs to purchase Class A common stock</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56,844,468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28,903,180</w:t>
            </w:r>
          </w:p>
        </w:tc>
      </w:tr>
      <w:tr>
        <w:trPr>
          <w:trHeight w:val="252"/>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warrants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21,994,972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earn-out shares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2,239,220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earn-out RSUs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16,782,356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 (on an if-converted basis)</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171,535,213</w:t>
            </w: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97,861,016</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200,438,393</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Restructuring Costs</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2022, the Compensation Committee of the Company’s Board of Directors approved by written consents, dated February 17, 2022 and May 2, 2022 a restructuring plan that was executed by management and restructuring charges were incurred and recorded in connection therewith. These costs include severance packages offered to the employees impacted by the plan and third party consulting costs. Additionally, the Board of Directors approved additional headcount reductions in an effort to streamline operations, and the Company recognized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30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expenses during the second quarter of 2022. The table below provides certain information concerning restructuring activity during the six months:</w:t>
      </w:r>
    </w:p>
    <w:p>
      <w:pPr>
        <w:spacing w:after="0" w:line="19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Reserve Balance at December 31,</w:t>
            </w:r>
          </w:p>
        </w:tc>
        <w:tc>
          <w:tcPr>
            <w:tcW w:w="140" w:type="dxa"/>
            <w:vAlign w:val="bottom"/>
          </w:tcPr>
          <w:p>
            <w:pPr>
              <w:spacing w:after="0"/>
              <w:rPr>
                <w:sz w:val="13"/>
                <w:szCs w:val="13"/>
                <w:color w:val="auto"/>
              </w:rPr>
            </w:pPr>
          </w:p>
        </w:tc>
        <w:tc>
          <w:tcPr>
            <w:tcW w:w="2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Charged to Costs and Expenses</w:t>
            </w:r>
          </w:p>
        </w:tc>
        <w:tc>
          <w:tcPr>
            <w:tcW w:w="300" w:type="dxa"/>
            <w:vAlign w:val="bottom"/>
          </w:tcPr>
          <w:p>
            <w:pPr>
              <w:spacing w:after="0"/>
              <w:rPr>
                <w:sz w:val="13"/>
                <w:szCs w:val="13"/>
                <w:color w:val="auto"/>
              </w:rPr>
            </w:pPr>
          </w:p>
        </w:tc>
        <w:tc>
          <w:tcPr>
            <w:tcW w:w="2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Payments and Other</w:t>
            </w:r>
          </w:p>
        </w:tc>
        <w:tc>
          <w:tcPr>
            <w:tcW w:w="120" w:type="dxa"/>
            <w:vAlign w:val="bottom"/>
          </w:tcPr>
          <w:p>
            <w:pPr>
              <w:spacing w:after="0"/>
              <w:rPr>
                <w:sz w:val="13"/>
                <w:szCs w:val="13"/>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Reserve Balance at June 30, 202</w:t>
            </w:r>
          </w:p>
        </w:tc>
        <w:tc>
          <w:tcPr>
            <w:tcW w:w="0" w:type="dxa"/>
            <w:vAlign w:val="bottom"/>
          </w:tcPr>
          <w:p>
            <w:pPr>
              <w:spacing w:after="0"/>
              <w:rPr>
                <w:sz w:val="1"/>
                <w:szCs w:val="1"/>
                <w:color w:val="auto"/>
              </w:rPr>
            </w:pPr>
          </w:p>
        </w:tc>
      </w:tr>
      <w:tr>
        <w:trPr>
          <w:trHeight w:val="106"/>
        </w:trPr>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20" w:type="dxa"/>
            <w:vAlign w:val="bottom"/>
            <w:vMerge w:val="restart"/>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20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0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00" w:type="dxa"/>
            <w:vAlign w:val="bottom"/>
          </w:tcPr>
          <w:p>
            <w:pPr>
              <w:spacing w:after="0"/>
              <w:rPr>
                <w:sz w:val="19"/>
                <w:szCs w:val="19"/>
                <w:color w:val="auto"/>
              </w:rPr>
            </w:pPr>
          </w:p>
        </w:tc>
        <w:tc>
          <w:tcPr>
            <w:tcW w:w="222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8"/>
        </w:trPr>
        <w:tc>
          <w:tcPr>
            <w:tcW w:w="2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The Company may incur additional expenses not currently contemplated due to events associated with the reduction in force. The charges that the Company expects to incur in connection with the reduction in force are estimates and subject to a number of assumptions, and actual results may differ materially. In addition, see Note 16, “Subsequent Events” for a discussion of additional exit activities subsequent to June 30, 2022.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Supplemental Financial Information</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Accounts payable and accrued expenses consisted of the following (in thousands):</w:t>
      </w:r>
    </w:p>
    <w:p>
      <w:pPr>
        <w:spacing w:after="0" w:line="114" w:lineRule="exact"/>
        <w:rPr>
          <w:sz w:val="20"/>
          <w:szCs w:val="20"/>
          <w:color w:val="auto"/>
        </w:rPr>
      </w:pPr>
    </w:p>
    <w:tbl>
      <w:tblPr>
        <w:tblLayout w:type="fixed"/>
        <w:tblInd w:w="8660" w:type="dxa"/>
        <w:tblCellMar>
          <w:top w:w="0" w:type="dxa"/>
          <w:left w:w="0" w:type="dxa"/>
          <w:bottom w:w="0" w:type="dxa"/>
          <w:right w:w="0" w:type="dxa"/>
        </w:tblCellMar>
      </w:tblPr>
      <w:tr>
        <w:trPr>
          <w:trHeight w:val="161"/>
        </w:trPr>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6"/>
        </w:trPr>
        <w:tc>
          <w:tcPr>
            <w:tcW w:w="1360" w:type="dxa"/>
            <w:vAlign w:val="bottom"/>
            <w:vMerge w:val="continue"/>
          </w:tcPr>
          <w:p>
            <w:pPr>
              <w:spacing w:after="0"/>
              <w:rPr>
                <w:sz w:val="16"/>
                <w:szCs w:val="16"/>
                <w:color w:val="auto"/>
              </w:rPr>
            </w:pPr>
          </w:p>
        </w:tc>
        <w:tc>
          <w:tcPr>
            <w:tcW w:w="132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8255</wp:posOffset>
            </wp:positionV>
            <wp:extent cx="6995160" cy="151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51130"/>
                    </a:xfrm>
                    <a:prstGeom prst="rect">
                      <a:avLst/>
                    </a:prstGeom>
                    <a:noFill/>
                  </pic:spPr>
                </pic:pic>
              </a:graphicData>
            </a:graphic>
          </wp:anchor>
        </w:drawing>
      </w:r>
    </w:p>
    <w:p>
      <w:pPr>
        <w:sectPr>
          <w:pgSz w:w="11900" w:h="16838" w:orient="portrait"/>
          <w:cols w:equalWidth="0" w:num="1">
            <w:col w:w="11340"/>
          </w:cols>
          <w:pgMar w:left="320" w:top="307" w:right="239" w:bottom="1440" w:gutter="0" w:footer="0" w:header="0"/>
        </w:sectPr>
      </w:pP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purchases</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Reserves for refunds to insurance carriers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-127635</wp:posOffset>
            </wp:positionV>
            <wp:extent cx="6995160" cy="160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60020"/>
                    </a:xfrm>
                    <a:prstGeom prst="rect">
                      <a:avLst/>
                    </a:prstGeom>
                    <a:noFill/>
                  </pic:spPr>
                </pic:pic>
              </a:graphicData>
            </a:graphic>
          </wp:anchor>
        </w:drawing>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31750</wp:posOffset>
            </wp:positionV>
            <wp:extent cx="6995160" cy="168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68275"/>
                    </a:xfrm>
                    <a:prstGeom prst="rect">
                      <a:avLst/>
                    </a:prstGeom>
                    <a:noFill/>
                  </pic:spPr>
                </pic:pic>
              </a:graphicData>
            </a:graphic>
          </wp:anchor>
        </w:drawing>
      </w:r>
    </w:p>
    <w:p>
      <w:pPr>
        <w:spacing w:after="0" w:line="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w:t>
      </w:r>
    </w:p>
    <w:p>
      <w:pPr>
        <w:spacing w:after="0" w:line="2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Other current liabilities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307975</wp:posOffset>
            </wp:positionV>
            <wp:extent cx="6995160" cy="151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51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53,302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47"/>
        </w:trPr>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52"/>
        </w:trPr>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8"/>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115,878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2"/>
        </w:trPr>
        <w:tc>
          <w:tcPr>
            <w:tcW w:w="140" w:type="dxa"/>
            <w:vAlign w:val="bottom"/>
          </w:tcPr>
          <w:p>
            <w:pPr>
              <w:spacing w:after="0"/>
              <w:rPr>
                <w:sz w:val="24"/>
                <w:szCs w:val="24"/>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As of December 31</w:t>
            </w:r>
          </w:p>
        </w:tc>
        <w:tc>
          <w:tcPr>
            <w:tcW w:w="0" w:type="dxa"/>
            <w:vAlign w:val="bottom"/>
          </w:tcPr>
          <w:p>
            <w:pPr>
              <w:spacing w:after="0"/>
              <w:rPr>
                <w:sz w:val="1"/>
                <w:szCs w:val="1"/>
                <w:color w:val="auto"/>
              </w:rPr>
            </w:pPr>
          </w:p>
        </w:tc>
      </w:tr>
      <w:tr>
        <w:trPr>
          <w:trHeight w:val="186"/>
        </w:trPr>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780" w:space="720"/>
            <w:col w:w="2840"/>
          </w:cols>
          <w:pgMar w:left="320" w:top="307" w:right="239" w:bottom="1440" w:gutter="0" w:footer="0" w:header="0"/>
          <w:type w:val="continuous"/>
        </w:sectPr>
      </w:pPr>
    </w:p>
    <w:p>
      <w:pPr>
        <w:spacing w:after="0" w:line="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bonus</w:t>
      </w:r>
    </w:p>
    <w:p>
      <w:pPr>
        <w:spacing w:after="0" w:line="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payroll</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-127635</wp:posOffset>
            </wp:positionV>
            <wp:extent cx="6995160" cy="160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60020"/>
                    </a:xfrm>
                    <a:prstGeom prst="rect">
                      <a:avLst/>
                    </a:prstGeom>
                    <a:noFill/>
                  </pic:spPr>
                </pic:pic>
              </a:graphicData>
            </a:graphic>
          </wp:anchor>
        </w:drawing>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14605</wp:posOffset>
            </wp:positionV>
            <wp:extent cx="6995160" cy="142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42875"/>
                    </a:xfrm>
                    <a:prstGeom prst="rect">
                      <a:avLst/>
                    </a:prstGeom>
                    <a:noFill/>
                  </pic:spPr>
                </pic:pic>
              </a:graphicData>
            </a:graphic>
          </wp:anchor>
        </w:drawing>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Indemnification liabilities</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Current portion of the contingent consideration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18415</wp:posOffset>
            </wp:positionV>
            <wp:extent cx="6995160" cy="142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42875"/>
                    </a:xfrm>
                    <a:prstGeom prst="rect">
                      <a:avLst/>
                    </a:prstGeom>
                    <a:noFill/>
                  </pic:spPr>
                </pic:pic>
              </a:graphicData>
            </a:graphic>
          </wp:anchor>
        </w:drawing>
      </w:r>
    </w:p>
    <w:p>
      <w:pPr>
        <w:spacing w:after="0" w:line="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12,353</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47"/>
        </w:trPr>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6"/>
        </w:trPr>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5"/>
        </w:trPr>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5"/>
        </w:trPr>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9"/>
        </w:trPr>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81,619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630" w:lineRule="exact"/>
        <w:rPr>
          <w:sz w:val="20"/>
          <w:szCs w:val="20"/>
          <w:color w:val="auto"/>
        </w:rPr>
      </w:pPr>
    </w:p>
    <w:p>
      <w:pPr>
        <w:sectPr>
          <w:pgSz w:w="11900" w:h="16838" w:orient="portrait"/>
          <w:cols w:equalWidth="0" w:num="2">
            <w:col w:w="7780" w:space="720"/>
            <w:col w:w="2840"/>
          </w:cols>
          <w:pgMar w:left="320" w:top="307" w:right="239" w:bottom="1440" w:gutter="0" w:footer="0" w:header="0"/>
          <w:type w:val="continuous"/>
        </w:sectPr>
      </w:pPr>
    </w:p>
    <w:p>
      <w:pPr>
        <w:jc w:val="both"/>
        <w:ind w:right="100" w:firstLine="318"/>
        <w:spacing w:after="0" w:line="267" w:lineRule="auto"/>
        <w:rPr>
          <w:sz w:val="20"/>
          <w:szCs w:val="20"/>
          <w:color w:val="auto"/>
        </w:rPr>
      </w:pPr>
      <w:r>
        <w:rPr>
          <w:rFonts w:ascii="Times New Roman" w:cs="Times New Roman" w:eastAsia="Times New Roman" w:hAnsi="Times New Roman"/>
          <w:sz w:val="17"/>
          <w:szCs w:val="17"/>
          <w:color w:val="auto"/>
        </w:rPr>
        <w:t>During the third quarter of 2022, the Board of Directors approved a restructuring plan that contemplates exiting the Company’s somatic tumor testing business and closing the Company’s laboratory in Branford, CT, by December 31, 2022. In connection with the plan, the Company is also eliminating approximately 250 positions, representing about 13% of its workforce, which, combined with the Company’s prior reductions in force during 2022, will result in the elimination of approximately 30% of the roles from the Legacy Sema4 business. As a result of this decision, the Company currently estimates the impact of these actions to result in between $8.5 million and $11.5 million of cash charges primarily related to severance packages offered to the employees impacted by the plan to be incurred primarily during the second half of the year. The amount of this expected charge is an estimate, and the amount and timing of actual charges may vary due to a variety of factors. The Company also expects to incur non-cash charges, which are currently not able to be estimated.</w:t>
      </w:r>
    </w:p>
    <w:p>
      <w:pPr>
        <w:spacing w:after="0" w:line="3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40"/>
          </w:cols>
          <w:pgMar w:left="320" w:top="307" w:right="2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appearing elsewhere in this Quarterly Report and our audited financial statements for the year ended December 31, 2021 and the related notes in our Annual Report on Form 10-K for the year ended December 31, 2021. This discussion contains forward-looking statements and involves numerous risks and uncertainties. Actual results may differ materially from the results described in or implied by the forward-looking statements. You should carefully read the section entitled “Risk Factors” to gain an understanding of the important factors that could cause actual results to differ materially from these forward-looking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a leading health intelligence company—one that can unlock insights from data, leading to healthier lives and a healthier society. We are focused on delivering a portfolio of genomic and data solutions to guide patients through their family health journey. That includes family planning, delivery, pediatrics, hereditary cancer screening, and rare disorders for children and adults.</w:t>
      </w:r>
    </w:p>
    <w:p>
      <w:pPr>
        <w:spacing w:after="0" w:line="13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On June 1, 2017, we signed a contribution and funding agreement and other agreements with Icahn School of Medicine at Mount Sinai, or ISMMS, whereby ISMMS contributed certain assets and liabilities related to our operations, provided certain services to us, and also committed to funding us up to $55.0 million in future capital contributions in exchange for equity in Legacy Sema4, of which $55.0 million was drawn as of December 31, 2019. Following the transaction, we commenced operations as a commercial entity that could effectively engage diverse patient populations and health care institutions at scale.</w:t>
      </w:r>
    </w:p>
    <w:p>
      <w:pPr>
        <w:spacing w:after="0" w:line="14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have since established a market leading health intelligence platform, accelerating the use of genomics and leveraging large-scale clinical data to enhance the standard of care through extensive precision medicine solutions. Our business was further strengthened in April 2022 by the acquisition of GeneDx, a leader in genomic testing and analysis for rare disorders. We believe the transaction positions Sema4 as one of the largest and most advanced providers of genomic testing in the U.S. and further strengthens our health information database to transform patient care and improve therapeutic development. We now maintain a database that includes patient data available for research on approximately 12 million patients from a number of public and proprietary sources. More than five million patients are available with clinical data through our partnership health systems and genomic testing solutions that may include structured and unstructured data available for deeper curation to construct more comprehensive natural histories of patients.</w:t>
      </w:r>
    </w:p>
    <w:p>
      <w:pPr>
        <w:spacing w:after="0" w:line="14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Currently, we derive the majority of our revenue from our diagnostic test solutions. Our diagnostic business generates revenue and engages with healthcare professionals working with patients primarily through our Reproductive Health/Women’s Health and Pediatrics/NICU solutions.</w:t>
      </w:r>
    </w:p>
    <w:p>
      <w:pPr>
        <w:spacing w:after="0" w:line="1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Reproductive Health/Women’s Health solutions sequence and analyze an industry-leading number of genes and use interpretive information tools to translate raw sequencing and clinical data efficiently and accurately into digestible clinical reports that guide decision-making by patients and physicians. These solutions also include Sema4 Signal Hereditary Cancer, which determines if a patient carries an inherited genetic change that increases the risk of cancer or informs on cancer treatment.</w:t>
      </w:r>
    </w:p>
    <w:p>
      <w:pPr>
        <w:spacing w:after="0" w:line="15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Pediatrics/NICU offerings include testing solutions for children, both inpatient in the neonatal intensive care unit (NICU) and pediatric intensive care unit (PICU) and outpatient for developmental delay and neurodevelopmental delay as well as rare disease for children and adults. We have the industry-leading exome, which includes comprehensive CNV (copy number variation) analysis and have an extensive database of over 375,000 clinically sequenced exomes and more than two million structured phenotypes.</w:t>
      </w:r>
    </w:p>
    <w:p>
      <w:pPr>
        <w:spacing w:after="0" w:line="141" w:lineRule="exact"/>
        <w:rPr>
          <w:sz w:val="20"/>
          <w:szCs w:val="20"/>
          <w:color w:val="auto"/>
        </w:rPr>
      </w:pPr>
    </w:p>
    <w:p>
      <w:pPr>
        <w:ind w:right="240" w:firstLine="318"/>
        <w:spacing w:after="0" w:line="255" w:lineRule="auto"/>
        <w:rPr>
          <w:sz w:val="20"/>
          <w:szCs w:val="20"/>
          <w:color w:val="auto"/>
        </w:rPr>
      </w:pPr>
      <w:r>
        <w:rPr>
          <w:rFonts w:ascii="Times New Roman" w:cs="Times New Roman" w:eastAsia="Times New Roman" w:hAnsi="Times New Roman"/>
          <w:sz w:val="18"/>
          <w:szCs w:val="18"/>
          <w:color w:val="auto"/>
        </w:rPr>
        <w:t>We will be discontinuing our somatic tumor profiling business by December 31, 2022. This business represents less than 1% of our revenue and approximately $35 million of our annual expenses. We expect that exiting this business will result in significant cost savings during the second half of 2022 and 2023, and will positively impact our gross margins. Additionally, beginning in May of 2020 through March 31, 2022, we provided diagnostic testing services to identify the presence of COVID-19.</w:t>
      </w:r>
    </w:p>
    <w:p>
      <w:pPr>
        <w:spacing w:after="0" w:line="14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expanded beyond diagnostic testing to enter into service agreements with third parties to provide diagnostic testing, research, and related data aggregation reporting services. We have established and continue to seek strategic relationships with pharmaceutical and biotech, or Biopharma, companies to enable innovation across the entire drug</w:t>
      </w: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3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lifecycle, from next-generation drug discovery and development, to post-market efficacy surveillance, to informing on bioavailability, toxicity, tolerability, and other features critical to drug development.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for more information.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resulted tests</w:t>
      </w:r>
    </w:p>
    <w:p>
      <w:pPr>
        <w:spacing w:after="0" w:line="19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 test is resulted once the appropriate workflow is completed and details are provided to the ordered patients or healthcare professional for reviews, which corresponds to the timing of our revenue recognition. We believe the number of resulted tests in any period is important and useful to our investors because it directly correlates with long-term patient relationships and the size of our genomic database.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 obtaining and maintaining reimbursement</w:t>
      </w:r>
    </w:p>
    <w:p>
      <w:pPr>
        <w:spacing w:after="0" w:line="1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14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spacing w:after="0" w:line="13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Third-party payors may decide to deny payment or seek to recoup payments for tests performed by us that they contend were improperly billed, not medically necessary or against their coverage determinations, or for which they believe they have otherwise overpaid. As a result, we may be required to refund payments already received, and our revenues may be subject to retroactive adjustment as a result of these factors among others. In particular, we are currently engaged in discussions with one of our third-party payors regarding certain overpayments we allegedly received from the payor for services that the payor alleges are not covered by, or were not otherwise properly billed to, the payor. As a result of this matter and other potential settlements with payors, we have established certain liabilities and reversed certain of our previously recorded revenue. We intend to seek to resolve this matter and any other recovery or recoupment claims in a mutually satisfactory manner, although it is possible that any such settlement may also result in lowered contracted reimbursement</w:t>
      </w:r>
    </w:p>
    <w:p>
      <w:pPr>
        <w:spacing w:after="0" w:line="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rates for our tests. For more information regarding this matter, see Note 4, “Revenue Recognition” to our unaudited condensed consolidated financial statements included within this Quarterly Report.</w:t>
      </w:r>
    </w:p>
    <w:p>
      <w:pPr>
        <w:spacing w:after="0" w:line="1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lower the costs associated with performing our tests</w:t>
      </w:r>
    </w:p>
    <w:p>
      <w:pPr>
        <w:spacing w:after="0" w:line="1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adoption of our services by existing and new customers</w:t>
      </w:r>
    </w:p>
    <w:p>
      <w:pPr>
        <w:spacing w:after="0" w:line="19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3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platform innovation to support commercial growth</w:t>
      </w:r>
    </w:p>
    <w:p>
      <w:pPr>
        <w:spacing w:after="0" w:line="195"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We are seeking to leverage and deploy our platforms to develop a pipeline of future disease-specific research and diagnostic and therapeutic products and services. We have limited experience in the development or commercialization of clinical or research products in connection with our database and platform.</w:t>
      </w:r>
    </w:p>
    <w:p>
      <w:pPr>
        <w:spacing w:after="0" w:line="10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14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use the following key financial and operating metrics to evaluate our business and operations, measure our performance, identify trends affecting our business, project our future performance, and make strategic decisions. These key financial and operating metrics should be read in conjunction with the following discussion of our results of operations and financial condition together with our condensed consolidated financial statements and the related notes and other financial information included elsewhere in this report.</w:t>
      </w:r>
    </w:p>
    <w:p>
      <w:pPr>
        <w:spacing w:after="0" w:line="14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principal focus of our commercial operations is to offer our diagnostic tests through both our direct sales force and laboratory distribution partners. Test volume correlates with genomic database size and long-term patient relationships. Thus, test volumes drive database diversity and enable potential identification of variants of unknown significance and population-specific insights. The number of tests resulted is a key indicator that we use to assess the operational efficiency of our business. Once the appropriate workflow is completed, the test is resulted and details are provided to ordered patients or healthcare professionals for reviews.</w:t>
      </w:r>
    </w:p>
    <w:p>
      <w:pPr>
        <w:spacing w:after="0" w:line="15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2022, we resulted 276,171 tests in our laboratories, 73,408 tests of which were for COVID-19, compared to the six months ended June 30, 2021, in which we resulted 357,785 tests in our laboratories, 218,757 of which were for COVID-19. This 46% increase in resulted volumes, excluding COVID-19 tests volumes, was as a result of the inclusion of volumes from GeneDx’s laboratories following the closing of the GeneDx acquisition.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Impact</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COVID-19 has had, and continues to have, an extensive impact on the global health and economic environments since the initial outbreak in March 2020.</w:t>
      </w:r>
    </w:p>
    <w:p>
      <w:pPr>
        <w:spacing w:after="0" w:line="20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While test volumes have since improved, we continue to experience changes in the mix of tests due to the impact of COVID-19.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the actions taken to contain it or treat it and the economic impact on local, regional, national and international markets and supply chains. Therefore, COVID-19 could continue to have a material impact on our results of operations, cash flows, and financial condition for the foreseeable future.</w:t>
      </w:r>
    </w:p>
    <w:p>
      <w:pPr>
        <w:spacing w:after="0" w:line="1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March 2020, the Coronavirus Aid, Relief and Economic Security Act (“CARES Act”), was signed into law which was a stimulus bill that, among other things, provided assistance to qualifying businesses and individuals and included funding for the healthcare system. We received $5.4 million in 2020 as part of the stimulus, comprised of $2.6 million received under the Provider Relief Fund (the “PRF”), and $2.8 million received under the Employee Retention Credit (the “ERC”). In 2021, we received an additional $5.6 million under the PRF.</w:t>
      </w:r>
    </w:p>
    <w:p>
      <w:pPr>
        <w:spacing w:after="0" w:line="39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3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Funds provided under the PRF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 with the funds received under the PRF distribution have been met. As a result, we recorded the funds received under the PRF in other income in the statements of operations and comprehensive loss during the periods in which we received the funds.</w:t>
      </w:r>
    </w:p>
    <w:p>
      <w:pPr>
        <w:spacing w:after="0" w:line="15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Funds provided under the ERC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it was reasonably possible the eligibility requirements would be met; however, due to a change in circumstances, we are re-evaluating our position. As such, we deferred the recognition of the funds received under the ERC and recorded the proceeds in other liabilities on the condensed consolidated balance sheets.</w:t>
      </w:r>
    </w:p>
    <w:p>
      <w:pPr>
        <w:spacing w:after="0" w:line="145" w:lineRule="exact"/>
        <w:rPr>
          <w:sz w:val="20"/>
          <w:szCs w:val="20"/>
          <w:color w:val="auto"/>
        </w:rPr>
      </w:pPr>
    </w:p>
    <w:p>
      <w:pPr>
        <w:ind w:right="540" w:firstLine="318"/>
        <w:spacing w:after="0" w:line="453" w:lineRule="auto"/>
        <w:rPr>
          <w:sz w:val="20"/>
          <w:szCs w:val="20"/>
          <w:color w:val="auto"/>
        </w:rPr>
      </w:pPr>
      <w:r>
        <w:rPr>
          <w:rFonts w:ascii="Times New Roman" w:cs="Times New Roman" w:eastAsia="Times New Roman" w:hAnsi="Times New Roman"/>
          <w:sz w:val="18"/>
          <w:szCs w:val="18"/>
          <w:color w:val="auto"/>
        </w:rPr>
        <w:t xml:space="preserve">At this time, we are not certain of the availability, extent or impact of any future relief provided under the CARES Act or other stimulus initiatives. </w:t>
      </w:r>
      <w:r>
        <w:rPr>
          <w:rFonts w:ascii="Times New Roman" w:cs="Times New Roman" w:eastAsia="Times New Roman" w:hAnsi="Times New Roman"/>
          <w:sz w:val="18"/>
          <w:szCs w:val="18"/>
          <w:b w:val="1"/>
          <w:bCs w:val="1"/>
          <w:color w:val="auto"/>
        </w:rPr>
        <w:t>Acquisition of GeneDx</w:t>
      </w: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January 2022, we and our wholly-owned subsidiaries, Orion Merger Sub I, Inc., or Merger Sub I, and Orion Merger Sub II, LLC, or Merger Sub II, entered into an Agreement and Plan of Merger and Reorganization (which we refer to, as amended, as the “Acquisition Merger Agreement”), with GeneDx, Inc., a New Jersey corporation, or GeneDx, and a wholly-owned subsidiary of OPKO Health, Inc., or OPKO, GeneDx Holding 2, Inc., or Holdco, and OPKO to acquire 100% of GeneDx (which we refer to as the “Acquisition”). Subject to the terms and conditions of the Acquisition Merger Agreement, we agreed to pay consideration to OPKO for the Acquisition of (i) $150 million in cash at the closing of the Acquisition, subject to certain adjustments as provided in the Acquisition Merger Agreement, (ii) 80 million shares of our Class A common stock to be issued at the closing of the Acquisition and (iii) up to $150 million payable following the closing of the Acquisition, if certain revenue-based milestones were achieved for each of the fiscal years ending December 31, 2022 and December 31, 2023. These milestone payments, if and to the extent earned under the terms of the Acquisition Merger Agreement, will be satisfied through the payment and/or issuance of a combination of cash and shares of our Class A common stock (valued at $4.86 per share, subject to adjustment for stock splits and similar changes), with such mix to be determined in our sole discretion.</w:t>
      </w:r>
    </w:p>
    <w:p>
      <w:pPr>
        <w:spacing w:after="0" w:line="15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Acquisition closed on April 29, 2022. Our net loss for the three and six months ended June 30, 2022 includes the results of operations of GeneDx from the date of acquisition. We expect to leverage the combined health information database of Sema4 and GeneDx to partner with additional health systems and biopharma companies to transform patient care and therapeutic development and enable precision medicine for all.</w:t>
      </w:r>
    </w:p>
    <w:p>
      <w:pPr>
        <w:spacing w:after="0" w:line="13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Concurrently with the execution of the Acquisition Merger Agreement, we entered into subscription agreements with certain institutional investors, pursuant to, and on the terms and subject to the conditions of which, these investors collectively subscribed for 50 million shares of our Class A common stock for an aggregate purchase price equal to $200 million (which we refer to as the “Acquisition PIPE Investment”). The Acquisition PIPE Investment was consummated substantially concurrently with the closing of the Acquisition.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1"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7"/>
          <w:szCs w:val="17"/>
          <w:color w:val="auto"/>
        </w:rPr>
        <w:t>We derive the majority of our revenue from diagnostic testing services, which primarily relate to Reproductive Health/Women’s Health, Pediatrics/NICU and COVID-19. We also recognize revenue from collaboration service agreements with Biopharma companies and other third parties pursuant to which we provide diagnostic testing and related data aggregation reporting services. As discussed above, we discontinued COVID-19 testing services as of March 31, 2022 and no longer provide such testing services. We also intend to discontinue our somatic tumor profiling business by December 31, 2022.</w:t>
      </w:r>
    </w:p>
    <w:p>
      <w:pPr>
        <w:spacing w:after="0" w:line="128" w:lineRule="exact"/>
        <w:rPr>
          <w:sz w:val="20"/>
          <w:szCs w:val="20"/>
          <w:color w:val="auto"/>
        </w:rPr>
      </w:pPr>
    </w:p>
    <w:p>
      <w:pPr>
        <w:ind w:right="40" w:firstLine="318"/>
        <w:spacing w:after="0" w:line="258" w:lineRule="auto"/>
        <w:rPr>
          <w:sz w:val="20"/>
          <w:szCs w:val="20"/>
          <w:color w:val="auto"/>
        </w:rPr>
      </w:pPr>
      <w:r>
        <w:rPr>
          <w:rFonts w:ascii="Times New Roman" w:cs="Times New Roman" w:eastAsia="Times New Roman" w:hAnsi="Times New Roman"/>
          <w:sz w:val="18"/>
          <w:szCs w:val="18"/>
          <w:color w:val="auto"/>
        </w:rPr>
        <w:t>We recognize revenue when control of the promised goods or services is transferred to the customer in an amount that reflects the consideration which we expect to be entitled to in exchange for those goods or services.</w:t>
      </w:r>
    </w:p>
    <w:p>
      <w:pPr>
        <w:spacing w:after="0" w:line="3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3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Diagnostic Test Revenue</w:t>
      </w:r>
    </w:p>
    <w:p>
      <w:pPr>
        <w:spacing w:after="0" w:line="19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primarily generate revenue from performing diagnostic testing services for three groups of customers: healthcare professionals working with patients with third-party insurance coverage or without third-party insurance coverage or those who elect to self-pay; and institutional clients, such as hospitals, clinics, state governments and reference laboratories. Customers are billed upon delivery of test results.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w:t>
      </w:r>
    </w:p>
    <w:p>
      <w:pPr>
        <w:spacing w:after="0" w:line="1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ability to increase our diagnostic test revenue will depend on our ability to increase our market penetration, obtain contracted reimbursement coverage from third-party payors, enter into contracts with institutions, and increase our reimbursement rate for tests performed.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generate revenue from providing diagnostic testing and related data aggregation reporting services under both short-term and long-term project-based collaboration and service agreements with third parties. The terms of these contracts generally include non-refundable upfront payments, which we record as contract liabilities, and variable payments based upon the achievement of certain milestones during the contract term.</w:t>
      </w:r>
    </w:p>
    <w:p>
      <w:pPr>
        <w:spacing w:after="0" w:line="13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With respect to existing collaboration and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19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cost of services reflect the aggregate costs incurred in performing services. These costs include expenses for reagents and laboratory supplies, personnel-related expenses (comprising salaries and benefits) and stock-based compensation for employees directly involved in revenue generating activities, shipping and handling fees, costs of third-party reference lab testing and phlebotomy services and allocated genetic counseling, facility and IT costs associated with delivery services. Allocated costs include depreciation of laboratory equipment, facility occupancy, and information technology costs. The cost of services are recorded as the services are performed.</w:t>
      </w:r>
    </w:p>
    <w:p>
      <w:pPr>
        <w:spacing w:after="0" w:line="1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expect the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9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spacing w:after="0" w:line="14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generally expect our research and development expenses to continue to increase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3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9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Selling and marketing expenses primarily consist of personnel-related expenses (comprising salaries, and benefits) and stock-based compensation for employees performing commercial sales, account management, marketing, and allocation of genetic counseling services related to medical education. Selling and marketing costs are expensed as incurred.</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generally expect our selling and marketing expenses will continue to increase in absolute dollars as we expand our commercial sales and marketing and counseling teams and increase marketing activities. However, we expect selling and marketing expenses to decrease as a percentage of revenue in the long term, subject to fluctuations from period to period due to the timing and magnitude of these expenses.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9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spacing w:after="0" w:line="13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Nasdaq and of the SEC; director and officer insurance premiums and investor relations. We expect these expenses to decrease as a percentage of revenue in the long term as revenue increases, although the percentage may fluctuate from period to period due to fluctuations in our compensation-related charges.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Expenses</w:t>
      </w:r>
    </w:p>
    <w:p>
      <w:pPr>
        <w:spacing w:after="0" w:line="19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Related party expenses consist of amounts due to ISMMS for expenses under our Transition Services Agreement with ISMMS, or the ISMMS TSA, which expired at the end of the first quarter of 2021, and other service agreements. In addition, GeneDx and OPKO entered into a Transition Services Agreement dated as of April 29, 2022, or the OPKO TSA, pursuant to which OPKO has agreed to provide, at cost, certain services in support of the Acquisition of the GeneDx business through December 31, 2022, subject to certain limited exceptions, in order to facilitate the transactions contemplated by the Acquisition Merger Agreement. Additional information can be found in the audited financial statements in Note 7,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included within our Annual Report on Form 10-K for the year ended December 31, 2021, and our unaudited condensed consolidated financial statements in Note 7, </w:t>
      </w:r>
      <w:r>
        <w:rPr>
          <w:rFonts w:ascii="Times New Roman" w:cs="Times New Roman" w:eastAsia="Times New Roman" w:hAnsi="Times New Roman"/>
          <w:sz w:val="18"/>
          <w:szCs w:val="18"/>
          <w:i w:val="1"/>
          <w:iCs w:val="1"/>
          <w:color w:val="auto"/>
        </w:rPr>
        <w:t xml:space="preserve">“Related Party Transactions” </w:t>
      </w:r>
      <w:r>
        <w:rPr>
          <w:rFonts w:ascii="Times New Roman" w:cs="Times New Roman" w:eastAsia="Times New Roman" w:hAnsi="Times New Roman"/>
          <w:sz w:val="18"/>
          <w:szCs w:val="18"/>
          <w:color w:val="auto"/>
        </w:rPr>
        <w:t>included within this Quarterly Report.</w:t>
      </w:r>
    </w:p>
    <w:p>
      <w:pPr>
        <w:spacing w:after="0" w:line="14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generally expect related party expenses to decrease as we establish our own internal and external resources to fulfill the administrative and other services we have historically procured from ISMMS and following the expiration of the OPKO TSA.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Interest income consists of interest earned on money market funds.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1"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auto"/>
        </w:rPr>
        <w:t>Interest expense consists of interest costs related to our finance leases and our long-term debt arrangements, including unused line fee and the amortization of deferred transaction costs related to the loan and security agreement entered into with Silicon Valley Bank to provide a $125 million revolving credit facility described elsewhere in this report. No amounts have been drawn under the revolving credit facility as of June 30, 2022.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8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Other income consists of funding received under the CARES Act. We recognized $5.6 million of additional funding received under the CARES Act during the first quarter of 2021 and the amount is included in other income for the six months ended June 30, 2021.</w:t>
      </w:r>
    </w:p>
    <w:p>
      <w:pPr>
        <w:spacing w:after="0" w:line="3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3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June 30, 2022 and 2021</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24"/>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4"/>
        </w:trPr>
        <w:tc>
          <w:tcPr>
            <w:tcW w:w="8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 (1)</w:t>
            </w:r>
          </w:p>
        </w:tc>
      </w:tr>
      <w:tr>
        <w:trPr>
          <w:trHeight w:val="24"/>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4"/>
        </w:trPr>
        <w:tc>
          <w:tcPr>
            <w:tcW w:w="8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23"/>
                <w:szCs w:val="23"/>
                <w:color w:val="auto"/>
              </w:rPr>
            </w:pPr>
          </w:p>
        </w:tc>
      </w:tr>
      <w:tr>
        <w:trPr>
          <w:trHeight w:val="24"/>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25"/>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Diagnostic test revenue</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34,004</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44,803</w:t>
            </w:r>
          </w:p>
        </w:tc>
      </w:tr>
      <w:tr>
        <w:trPr>
          <w:trHeight w:val="225"/>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r>
      <w:tr>
        <w:trPr>
          <w:trHeight w:val="218"/>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47,015</w:t>
            </w: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48,179</w:t>
            </w:r>
          </w:p>
        </w:tc>
      </w:tr>
      <w:tr>
        <w:trPr>
          <w:trHeight w:val="219"/>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Gross profit (loss)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11,952</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18,574</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12,870</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party expenses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18"/>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(45,448)</w:t>
            </w:r>
          </w:p>
        </w:tc>
      </w:tr>
      <w:tr>
        <w:trPr>
          <w:trHeight w:val="106"/>
        </w:trPr>
        <w:tc>
          <w:tcPr>
            <w:tcW w:w="8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market value of warrant and earn-out contingent liabilities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5"/>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52"/>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27,830</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(46,161)</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(46,161)</w:t>
            </w:r>
          </w:p>
        </w:tc>
      </w:tr>
    </w:tbl>
    <w:p>
      <w:pPr>
        <w:spacing w:after="0" w:line="79" w:lineRule="exact"/>
        <w:rPr>
          <w:sz w:val="20"/>
          <w:szCs w:val="20"/>
          <w:color w:val="auto"/>
        </w:rPr>
      </w:pPr>
    </w:p>
    <w:p>
      <w:pPr>
        <w:ind w:firstLine="6"/>
        <w:spacing w:after="0" w:line="257" w:lineRule="auto"/>
        <w:tabs>
          <w:tab w:leader="none" w:pos="225"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previously disclosed in Note 2, “Summary of Significant Accounting Policies” to our consolidated financial statements included in our Annual Report on Form 10-K for the year ended December 31, 2021, certain adjustments were made to reclassify certain expenses between cost of services and operating expenses. The adjustments are reflected as disclosed.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gridSpan w:val="3"/>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6"/>
                <w:szCs w:val="16"/>
                <w:color w:val="auto"/>
              </w:rPr>
            </w:pPr>
          </w:p>
        </w:tc>
      </w:tr>
      <w:tr>
        <w:trPr>
          <w:trHeight w:val="38"/>
        </w:trPr>
        <w:tc>
          <w:tcPr>
            <w:tcW w:w="5100" w:type="dxa"/>
            <w:vAlign w:val="bottom"/>
          </w:tcPr>
          <w:p>
            <w:pPr>
              <w:spacing w:after="0"/>
              <w:rPr>
                <w:sz w:val="3"/>
                <w:szCs w:val="3"/>
                <w:color w:val="auto"/>
              </w:rPr>
            </w:pPr>
          </w:p>
        </w:tc>
        <w:tc>
          <w:tcPr>
            <w:tcW w:w="2380" w:type="dxa"/>
            <w:vAlign w:val="bottom"/>
            <w:gridSpan w:val="4"/>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00" w:type="dxa"/>
            <w:vAlign w:val="bottom"/>
          </w:tcPr>
          <w:p>
            <w:pPr>
              <w:spacing w:after="0"/>
              <w:rPr>
                <w:sz w:val="16"/>
                <w:szCs w:val="16"/>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gridSpan w:val="3"/>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2021 to 2022</w:t>
            </w:r>
          </w:p>
        </w:tc>
        <w:tc>
          <w:tcPr>
            <w:tcW w:w="1000" w:type="dxa"/>
            <w:vAlign w:val="bottom"/>
          </w:tcPr>
          <w:p>
            <w:pPr>
              <w:spacing w:after="0"/>
              <w:rPr>
                <w:sz w:val="16"/>
                <w:szCs w:val="16"/>
                <w:color w:val="auto"/>
              </w:rPr>
            </w:pPr>
          </w:p>
        </w:tc>
      </w:tr>
      <w:tr>
        <w:trPr>
          <w:trHeight w:val="24"/>
        </w:trPr>
        <w:tc>
          <w:tcPr>
            <w:tcW w:w="5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
        </w:trPr>
        <w:tc>
          <w:tcPr>
            <w:tcW w:w="5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20" w:type="dxa"/>
            <w:vAlign w:val="bottom"/>
            <w:gridSpan w:val="3"/>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 test revenue</w:t>
            </w:r>
          </w:p>
        </w:tc>
        <w:tc>
          <w:tcPr>
            <w:tcW w:w="86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34,004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44,803</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(10,799)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5"/>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860" w:type="dxa"/>
            <w:vAlign w:val="bottom"/>
            <w:tcBorders>
              <w:bottom w:val="single" w:sz="8" w:color="auto"/>
            </w:tcBorders>
            <w:shd w:val="clear" w:color="auto" w:fill="CCEEFF"/>
          </w:tcPr>
          <w:p>
            <w:pPr>
              <w:jc w:val="right"/>
              <w:ind w:right="66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36,169</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47,015</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(10,846)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200" w:lineRule="exact"/>
        <w:rPr>
          <w:sz w:val="20"/>
          <w:szCs w:val="20"/>
          <w:color w:val="auto"/>
        </w:rPr>
      </w:pPr>
    </w:p>
    <w:p>
      <w:pPr>
        <w:spacing w:after="0" w:line="28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Total revenue decreased by $10.8 million, or 23%, to $36.2 million for the three months ended June 30, 2022, from $47.0 million for the three months ended June 30, 2021.</w:t>
      </w:r>
    </w:p>
    <w:p>
      <w:pPr>
        <w:spacing w:after="0" w:line="13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Diagnostic test revenue period over period overall decreased by $10.8 million, or 24%, to $34.0 million for the three months ended June 30, 2022, from $44.8 million for the three months ended June 30, 2021. The decrease was primarily attributable to a reversal of revenue recorded in the second quarter of 2022 related to a third party-payor’s allegation regarding certain overpayments we allegedly received from the payor for services alleged to be uncovered by, or were not otherwise properly billed to, the payor. This revenue reversal relates both to this matter and other potential settlements with payors, and the vast majority of this revenue reversal was related to periods prior to the second quarter of 2022. For more information regarding this matter, see Note 4, “Revenue Recognition” to our unaudited condensed consolidated financial statements included within this Quarterly Report. This decrease was offset by an increase of $26.1 million in revenue due to the GeneDx acquisition and its revenue generated for May and June 2022.</w:t>
      </w:r>
    </w:p>
    <w:p>
      <w:pPr>
        <w:sectPr>
          <w:pgSz w:w="11900" w:h="16838" w:orient="portrait"/>
          <w:cols w:equalWidth="0" w:num="1">
            <w:col w:w="11240"/>
          </w:cols>
          <w:pgMar w:left="320" w:top="134" w:right="339" w:bottom="1440" w:gutter="0" w:footer="0" w:header="0"/>
        </w:sectPr>
      </w:pPr>
    </w:p>
    <w:p>
      <w:pPr>
        <w:spacing w:after="0" w:line="39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34"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480" w:firstLine="318"/>
        <w:spacing w:after="0" w:line="473" w:lineRule="auto"/>
        <w:rPr>
          <w:sz w:val="20"/>
          <w:szCs w:val="20"/>
          <w:color w:val="auto"/>
        </w:rPr>
      </w:pPr>
      <w:r>
        <w:rPr>
          <w:rFonts w:ascii="Times New Roman" w:cs="Times New Roman" w:eastAsia="Times New Roman" w:hAnsi="Times New Roman"/>
          <w:sz w:val="18"/>
          <w:szCs w:val="18"/>
          <w:color w:val="auto"/>
        </w:rPr>
        <w:t xml:space="preserve">Other revenue decreased by a nominal amount for the three months ended June 30, 2022, from the three months ended June 30, 2021. </w:t>
      </w:r>
      <w:r>
        <w:rPr>
          <w:rFonts w:ascii="Times New Roman" w:cs="Times New Roman" w:eastAsia="Times New Roman" w:hAnsi="Times New Roman"/>
          <w:sz w:val="18"/>
          <w:szCs w:val="18"/>
          <w:b w:val="1"/>
          <w:bCs w:val="1"/>
          <w:i w:val="1"/>
          <w:iCs w:val="1"/>
          <w:color w:val="auto"/>
        </w:rPr>
        <w:t>Cost of Services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jc w:val="center"/>
              <w:ind w:left="12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6"/>
                <w:szCs w:val="16"/>
                <w:color w:val="auto"/>
              </w:rPr>
            </w:pPr>
          </w:p>
        </w:tc>
      </w:tr>
      <w:tr>
        <w:trPr>
          <w:trHeight w:val="38"/>
        </w:trPr>
        <w:tc>
          <w:tcPr>
            <w:tcW w:w="516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36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w w:val="99"/>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jc w:val="center"/>
              <w:ind w:left="123"/>
              <w:spacing w:after="0"/>
              <w:rPr>
                <w:sz w:val="20"/>
                <w:szCs w:val="20"/>
                <w:color w:val="auto"/>
              </w:rPr>
            </w:pPr>
            <w:r>
              <w:rPr>
                <w:rFonts w:ascii="Times New Roman" w:cs="Times New Roman" w:eastAsia="Times New Roman" w:hAnsi="Times New Roman"/>
                <w:sz w:val="14"/>
                <w:szCs w:val="14"/>
                <w:b w:val="1"/>
                <w:bCs w:val="1"/>
                <w:color w:val="auto"/>
                <w:w w:val="99"/>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8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2"/>
              </w:rPr>
              <w:t>65,767</w:t>
            </w:r>
          </w:p>
        </w:tc>
        <w:tc>
          <w:tcPr>
            <w:tcW w:w="92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48,179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8"/>
                <w:szCs w:val="18"/>
                <w:color w:val="auto"/>
              </w:rPr>
              <w:t>17,588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bl>
    <w:p>
      <w:pPr>
        <w:spacing w:after="0" w:line="24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Cost of services increased by $17.6 million, or 37%, to $65.8 million for the three months ended June 30, 2022, from $48.2 million for the three months ended June 30, 2021. The increase was primarily driven by the following components: a $5.4 million increase in overall personnel-related expenses driven by increase in headcount; and a $13.8 million increase in lab reagents, supplies and kits driven by increased sales volume. This increase was offset by a $1.6 million decrease in outside labor costs as the need for temporary hires contracted to perform COVID-19 testing activities was no longer required.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jc w:val="center"/>
              <w:ind w:left="12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6"/>
                <w:szCs w:val="16"/>
                <w:color w:val="auto"/>
              </w:rPr>
            </w:pPr>
          </w:p>
        </w:tc>
      </w:tr>
      <w:tr>
        <w:trPr>
          <w:trHeight w:val="38"/>
        </w:trPr>
        <w:tc>
          <w:tcPr>
            <w:tcW w:w="516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36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w w:val="99"/>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jc w:val="center"/>
              <w:ind w:left="123"/>
              <w:spacing w:after="0"/>
              <w:rPr>
                <w:sz w:val="20"/>
                <w:szCs w:val="20"/>
                <w:color w:val="auto"/>
              </w:rPr>
            </w:pPr>
            <w:r>
              <w:rPr>
                <w:rFonts w:ascii="Times New Roman" w:cs="Times New Roman" w:eastAsia="Times New Roman" w:hAnsi="Times New Roman"/>
                <w:sz w:val="14"/>
                <w:szCs w:val="14"/>
                <w:b w:val="1"/>
                <w:bCs w:val="1"/>
                <w:color w:val="auto"/>
                <w:w w:val="99"/>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8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2"/>
              </w:rPr>
              <w:t>27,168</w:t>
            </w:r>
          </w:p>
        </w:tc>
        <w:tc>
          <w:tcPr>
            <w:tcW w:w="92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11,952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8"/>
                <w:szCs w:val="18"/>
                <w:color w:val="auto"/>
              </w:rPr>
              <w:t>15,216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r>
    </w:tbl>
    <w:p>
      <w:pPr>
        <w:spacing w:after="0" w:line="24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Research and development expense increased by $15.2 million, or 127%, to $27.2 million for the three months ended June 30, 2022, from $12.0 million for the three months ended June 30, 2021. The increase was primarily attributable to a $6.9 million increase in stock-based compensation expense; a $6.1 million increase in other personnel-related expenses driven by increase in headcount; an increase of $1.7 million in consultant services for product development related activities; and an increase of $0.4 million in depreciation and amortization expense.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jc w:val="center"/>
              <w:ind w:left="12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6"/>
                <w:szCs w:val="16"/>
                <w:color w:val="auto"/>
              </w:rPr>
            </w:pPr>
          </w:p>
        </w:tc>
      </w:tr>
      <w:tr>
        <w:trPr>
          <w:trHeight w:val="38"/>
        </w:trPr>
        <w:tc>
          <w:tcPr>
            <w:tcW w:w="516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36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w w:val="99"/>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jc w:val="center"/>
              <w:ind w:left="123"/>
              <w:spacing w:after="0"/>
              <w:rPr>
                <w:sz w:val="20"/>
                <w:szCs w:val="20"/>
                <w:color w:val="auto"/>
              </w:rPr>
            </w:pPr>
            <w:r>
              <w:rPr>
                <w:rFonts w:ascii="Times New Roman" w:cs="Times New Roman" w:eastAsia="Times New Roman" w:hAnsi="Times New Roman"/>
                <w:sz w:val="14"/>
                <w:szCs w:val="14"/>
                <w:b w:val="1"/>
                <w:bCs w:val="1"/>
                <w:color w:val="auto"/>
                <w:w w:val="99"/>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8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2"/>
              </w:rPr>
              <w:t>36,118</w:t>
            </w:r>
          </w:p>
        </w:tc>
        <w:tc>
          <w:tcPr>
            <w:tcW w:w="92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18,574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8"/>
                <w:szCs w:val="18"/>
                <w:color w:val="auto"/>
              </w:rPr>
              <w:t>17,544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r>
    </w:tbl>
    <w:p>
      <w:pPr>
        <w:spacing w:after="0" w:line="24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Selling and marketing expense increased by $17.5 million, or 94%, to $36.1 million for the three months ended June 30, 2022, from $18.6 million for the three months ended June 30, 2021. The increase was primarily attributable to a $12.8 million increase in personnel-related costs driven by increase in headcount; a $1.0 million increase in other lab services for genetic counseling related to medical education; a $1.0 million increase in information technology-related expenses; a $1.3 million increase in business travel and business expenses due to the lifting of COVID-19 travel restrictions. Additionally, there was an increase of $0.8 million in amortization expense related to acquisition intangible assets.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jc w:val="center"/>
              <w:ind w:left="12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6"/>
                <w:szCs w:val="16"/>
                <w:color w:val="auto"/>
              </w:rPr>
            </w:pPr>
          </w:p>
        </w:tc>
      </w:tr>
      <w:tr>
        <w:trPr>
          <w:trHeight w:val="38"/>
        </w:trPr>
        <w:tc>
          <w:tcPr>
            <w:tcW w:w="516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36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w w:val="99"/>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jc w:val="center"/>
              <w:ind w:left="123"/>
              <w:spacing w:after="0"/>
              <w:rPr>
                <w:sz w:val="20"/>
                <w:szCs w:val="20"/>
                <w:color w:val="auto"/>
              </w:rPr>
            </w:pPr>
            <w:r>
              <w:rPr>
                <w:rFonts w:ascii="Times New Roman" w:cs="Times New Roman" w:eastAsia="Times New Roman" w:hAnsi="Times New Roman"/>
                <w:sz w:val="14"/>
                <w:szCs w:val="14"/>
                <w:b w:val="1"/>
                <w:bCs w:val="1"/>
                <w:color w:val="auto"/>
                <w:w w:val="99"/>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8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2"/>
              </w:rPr>
              <w:t>68,034</w:t>
            </w:r>
          </w:p>
        </w:tc>
        <w:tc>
          <w:tcPr>
            <w:tcW w:w="92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12,870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8"/>
                <w:szCs w:val="18"/>
                <w:color w:val="auto"/>
              </w:rPr>
              <w:t>55,164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429 %</w:t>
            </w:r>
          </w:p>
        </w:tc>
      </w:tr>
      <w:tr>
        <w:trPr>
          <w:trHeight w:val="716"/>
        </w:trPr>
        <w:tc>
          <w:tcPr>
            <w:tcW w:w="5160" w:type="dxa"/>
            <w:vAlign w:val="bottom"/>
          </w:tcPr>
          <w:p>
            <w:pPr>
              <w:spacing w:after="0"/>
              <w:rPr>
                <w:sz w:val="24"/>
                <w:szCs w:val="24"/>
                <w:color w:val="auto"/>
              </w:rPr>
            </w:pPr>
          </w:p>
        </w:tc>
        <w:tc>
          <w:tcPr>
            <w:tcW w:w="860" w:type="dxa"/>
            <w:vAlign w:val="bottom"/>
          </w:tcPr>
          <w:p>
            <w:pPr>
              <w:jc w:val="right"/>
              <w:ind w:right="61"/>
              <w:spacing w:after="0"/>
              <w:rPr>
                <w:sz w:val="20"/>
                <w:szCs w:val="20"/>
                <w:color w:val="auto"/>
              </w:rPr>
            </w:pPr>
            <w:r>
              <w:rPr>
                <w:rFonts w:ascii="Times New Roman" w:cs="Times New Roman" w:eastAsia="Times New Roman" w:hAnsi="Times New Roman"/>
                <w:sz w:val="18"/>
                <w:szCs w:val="18"/>
                <w:color w:val="auto"/>
              </w:rPr>
              <w:t>47</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240"/>
          </w:cols>
          <w:pgMar w:left="320" w:top="13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General and administrative expense increased by $55.2 million, or 429%, to $68.0 million for the three months ended June 30, 2022, from $12.9 million for the three months ended June 30, 2021. The decrease was primarily attributable to $13.9 million and $11.9 million increases in stock-based compensation expense and other personnel-related costs driven by increase in headcount; a $18.2 million increase in professional services incurred in connection with the Acquisition related to due diligence, advisory, legal and business integration services; a $3.9 million increase in information technology related expenses due to increased cloud storage requirements; a $2.0 million increase in insurance expenses driven by the commencement of director’s insurance policy; a $3.1 million increase in depreciation and amortization expense driven by computer equipment and acquisition intangibles; a $1.0 million increase in tax expenses; and a $1.0 million increase due to reallocation of certain costs between departments during the fourth quarter of 2021 as a result of a change in estimate.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Expenses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jc w:val="center"/>
              <w:ind w:left="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6"/>
                <w:szCs w:val="16"/>
                <w:color w:val="auto"/>
              </w:rPr>
            </w:pPr>
          </w:p>
        </w:tc>
      </w:tr>
      <w:tr>
        <w:trPr>
          <w:trHeight w:val="38"/>
        </w:trPr>
        <w:tc>
          <w:tcPr>
            <w:tcW w:w="518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80" w:type="dxa"/>
            <w:vAlign w:val="bottom"/>
          </w:tcPr>
          <w:p>
            <w:pPr>
              <w:spacing w:after="0"/>
              <w:rPr>
                <w:sz w:val="16"/>
                <w:szCs w:val="16"/>
                <w:color w:val="auto"/>
              </w:rPr>
            </w:pPr>
          </w:p>
        </w:tc>
        <w:tc>
          <w:tcPr>
            <w:tcW w:w="236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jc w:val="center"/>
              <w:ind w:left="3"/>
              <w:spacing w:after="0"/>
              <w:rPr>
                <w:sz w:val="20"/>
                <w:szCs w:val="20"/>
                <w:color w:val="auto"/>
              </w:rPr>
            </w:pPr>
            <w:r>
              <w:rPr>
                <w:rFonts w:ascii="Times New Roman" w:cs="Times New Roman" w:eastAsia="Times New Roman" w:hAnsi="Times New Roman"/>
                <w:sz w:val="14"/>
                <w:szCs w:val="14"/>
                <w:b w:val="1"/>
                <w:bCs w:val="1"/>
                <w:color w:val="auto"/>
                <w:w w:val="99"/>
              </w:rPr>
              <w:t>2021 to 2022</w:t>
            </w:r>
          </w:p>
        </w:tc>
        <w:tc>
          <w:tcPr>
            <w:tcW w:w="10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80" w:type="dxa"/>
            <w:vAlign w:val="bottom"/>
          </w:tcPr>
          <w:p>
            <w:pPr>
              <w:spacing w:after="0"/>
              <w:rPr>
                <w:sz w:val="16"/>
                <w:szCs w:val="16"/>
                <w:color w:val="auto"/>
              </w:rPr>
            </w:pPr>
          </w:p>
        </w:tc>
        <w:tc>
          <w:tcPr>
            <w:tcW w:w="9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
        </w:trPr>
        <w:tc>
          <w:tcPr>
            <w:tcW w:w="5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60" w:type="dxa"/>
            <w:vAlign w:val="bottom"/>
            <w:gridSpan w:val="3"/>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expenses</w:t>
            </w:r>
          </w:p>
        </w:tc>
        <w:tc>
          <w:tcPr>
            <w:tcW w:w="90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1,731</w:t>
            </w:r>
          </w:p>
        </w:tc>
        <w:tc>
          <w:tcPr>
            <w:tcW w:w="92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8"/>
                <w:szCs w:val="18"/>
                <w:color w:val="auto"/>
              </w:rPr>
              <w:t>843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r>
    </w:tbl>
    <w:p>
      <w:pPr>
        <w:spacing w:after="0" w:line="24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Related party expenses increased by $0.8 million, or 95%, to $1.7 million for the three months ended June 30, 2022, from $0.9 million for the three months ended June 30, 2021. The increase was primarily attributable to fees related to support certain services pursuant to the OPKO TSA as a result of the acquisition of GeneDx and an increase in information technology related services provided by ISMMS.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jc w:val="center"/>
              <w:ind w:left="2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6"/>
                <w:szCs w:val="16"/>
                <w:color w:val="auto"/>
              </w:rPr>
            </w:pPr>
          </w:p>
        </w:tc>
      </w:tr>
      <w:tr>
        <w:trPr>
          <w:trHeight w:val="38"/>
        </w:trPr>
        <w:tc>
          <w:tcPr>
            <w:tcW w:w="518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80" w:type="dxa"/>
            <w:vAlign w:val="bottom"/>
          </w:tcPr>
          <w:p>
            <w:pPr>
              <w:spacing w:after="0"/>
              <w:rPr>
                <w:sz w:val="16"/>
                <w:szCs w:val="16"/>
                <w:color w:val="auto"/>
              </w:rPr>
            </w:pPr>
          </w:p>
        </w:tc>
        <w:tc>
          <w:tcPr>
            <w:tcW w:w="236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w w:val="99"/>
              </w:rPr>
              <w:t>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jc w:val="center"/>
              <w:ind w:left="23"/>
              <w:spacing w:after="0"/>
              <w:rPr>
                <w:sz w:val="20"/>
                <w:szCs w:val="20"/>
                <w:color w:val="auto"/>
              </w:rPr>
            </w:pPr>
            <w:r>
              <w:rPr>
                <w:rFonts w:ascii="Times New Roman" w:cs="Times New Roman" w:eastAsia="Times New Roman" w:hAnsi="Times New Roman"/>
                <w:sz w:val="14"/>
                <w:szCs w:val="14"/>
                <w:b w:val="1"/>
                <w:bCs w:val="1"/>
                <w:color w:val="auto"/>
                <w:w w:val="99"/>
              </w:rPr>
              <w:t>2021 to 2022</w:t>
            </w:r>
          </w:p>
        </w:tc>
        <w:tc>
          <w:tcPr>
            <w:tcW w:w="10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8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
        </w:trPr>
        <w:tc>
          <w:tcPr>
            <w:tcW w:w="5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gridSpan w:val="3"/>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382</w:t>
            </w:r>
          </w:p>
        </w:tc>
        <w:tc>
          <w:tcPr>
            <w:tcW w:w="92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8"/>
                <w:szCs w:val="18"/>
                <w:color w:val="auto"/>
              </w:rPr>
              <w:t>373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4144 %</w:t>
            </w:r>
          </w:p>
        </w:tc>
      </w:tr>
    </w:tbl>
    <w:p>
      <w:pPr>
        <w:spacing w:after="0" w:line="24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Interest income increased by $0.4 million, or 4144%, to $0.4 million for the three months ended June 30, 2022, from a nominal amount for the three months ended June 30, 2021. The increase was due to increases in the average cash balances held in interest-bearing and money market deposit accounts.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jc w:val="center"/>
              <w:ind w:left="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6"/>
                <w:szCs w:val="16"/>
                <w:color w:val="auto"/>
              </w:rPr>
            </w:pPr>
          </w:p>
        </w:tc>
      </w:tr>
      <w:tr>
        <w:trPr>
          <w:trHeight w:val="37"/>
        </w:trPr>
        <w:tc>
          <w:tcPr>
            <w:tcW w:w="518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80" w:type="dxa"/>
            <w:vAlign w:val="bottom"/>
          </w:tcPr>
          <w:p>
            <w:pPr>
              <w:spacing w:after="0"/>
              <w:rPr>
                <w:sz w:val="16"/>
                <w:szCs w:val="16"/>
                <w:color w:val="auto"/>
              </w:rPr>
            </w:pP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jc w:val="center"/>
              <w:ind w:left="3"/>
              <w:spacing w:after="0"/>
              <w:rPr>
                <w:sz w:val="20"/>
                <w:szCs w:val="20"/>
                <w:color w:val="auto"/>
              </w:rPr>
            </w:pPr>
            <w:r>
              <w:rPr>
                <w:rFonts w:ascii="Times New Roman" w:cs="Times New Roman" w:eastAsia="Times New Roman" w:hAnsi="Times New Roman"/>
                <w:sz w:val="14"/>
                <w:szCs w:val="14"/>
                <w:b w:val="1"/>
                <w:bCs w:val="1"/>
                <w:color w:val="auto"/>
                <w:w w:val="99"/>
              </w:rPr>
              <w:t>2021 to 2022</w:t>
            </w:r>
          </w:p>
        </w:tc>
        <w:tc>
          <w:tcPr>
            <w:tcW w:w="10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80" w:type="dxa"/>
            <w:vAlign w:val="bottom"/>
          </w:tcPr>
          <w:p>
            <w:pPr>
              <w:spacing w:after="0"/>
              <w:rPr>
                <w:sz w:val="16"/>
                <w:szCs w:val="16"/>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
        </w:trPr>
        <w:tc>
          <w:tcPr>
            <w:tcW w:w="5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60" w:type="dxa"/>
            <w:vAlign w:val="bottom"/>
            <w:gridSpan w:val="3"/>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92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8"/>
                <w:szCs w:val="18"/>
                <w:color w:val="auto"/>
              </w:rPr>
              <w:t>(68)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bl>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Interest expense increased by a nominal amount for the three months ended June 30, 2022, from the three months ended June 30,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6"/>
                <w:szCs w:val="16"/>
                <w:color w:val="auto"/>
              </w:rPr>
            </w:pPr>
          </w:p>
        </w:tc>
      </w:tr>
      <w:tr>
        <w:trPr>
          <w:trHeight w:val="37"/>
        </w:trPr>
        <w:tc>
          <w:tcPr>
            <w:tcW w:w="518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80" w:type="dxa"/>
            <w:vAlign w:val="bottom"/>
          </w:tcPr>
          <w:p>
            <w:pPr>
              <w:spacing w:after="0"/>
              <w:rPr>
                <w:sz w:val="16"/>
                <w:szCs w:val="16"/>
                <w:color w:val="auto"/>
              </w:rPr>
            </w:pPr>
          </w:p>
        </w:tc>
        <w:tc>
          <w:tcPr>
            <w:tcW w:w="236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w w:val="99"/>
              </w:rPr>
              <w:t>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2021 to 2022</w:t>
            </w:r>
          </w:p>
        </w:tc>
        <w:tc>
          <w:tcPr>
            <w:tcW w:w="10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80" w:type="dxa"/>
            <w:vAlign w:val="bottom"/>
          </w:tcPr>
          <w:p>
            <w:pPr>
              <w:spacing w:after="0"/>
              <w:rPr>
                <w:sz w:val="16"/>
                <w:szCs w:val="16"/>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
        </w:trPr>
        <w:tc>
          <w:tcPr>
            <w:tcW w:w="51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7"/>
        </w:trPr>
        <w:tc>
          <w:tcPr>
            <w:tcW w:w="5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00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w:t>
            </w:r>
          </w:p>
        </w:tc>
        <w:tc>
          <w:tcPr>
            <w:tcW w:w="92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income increased by a nominal amount for the three months ended June 30, 2022, from the three months ended June 30, 2021.</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3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2022 and 2021</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4"/>
        </w:trPr>
        <w:tc>
          <w:tcPr>
            <w:tcW w:w="8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 (1)</w:t>
            </w:r>
          </w:p>
        </w:tc>
      </w:tr>
      <w:tr>
        <w:trPr>
          <w:trHeight w:val="24"/>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4"/>
        </w:trPr>
        <w:tc>
          <w:tcPr>
            <w:tcW w:w="8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23"/>
                <w:szCs w:val="23"/>
                <w:color w:val="auto"/>
              </w:rPr>
            </w:pPr>
          </w:p>
        </w:tc>
      </w:tr>
      <w:tr>
        <w:trPr>
          <w:trHeight w:val="24"/>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25"/>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Diagnostic test revenue</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86,499</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107,563</w:t>
            </w:r>
          </w:p>
        </w:tc>
      </w:tr>
      <w:tr>
        <w:trPr>
          <w:trHeight w:val="225"/>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r>
      <w:tr>
        <w:trPr>
          <w:trHeight w:val="218"/>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90,110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111,216</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114,083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116,703</w:t>
            </w:r>
          </w:p>
        </w:tc>
      </w:tr>
      <w:tr>
        <w:trPr>
          <w:trHeight w:val="218"/>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Gross profit (loss)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(5,487)</w:t>
            </w: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65,085</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65,665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53,940</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114,908</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party expenses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w:t>
            </w:r>
          </w:p>
        </w:tc>
      </w:tr>
      <w:tr>
        <w:trPr>
          <w:trHeight w:val="218"/>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(251,954)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(242,105)</w:t>
            </w:r>
          </w:p>
        </w:tc>
      </w:tr>
      <w:tr>
        <w:trPr>
          <w:trHeight w:val="86"/>
        </w:trPr>
        <w:tc>
          <w:tcPr>
            <w:tcW w:w="8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market value of warrant and earn-out contingent liabilities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5"/>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r>
      <w:tr>
        <w:trPr>
          <w:trHeight w:val="252"/>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w:t>
            </w:r>
          </w:p>
        </w:tc>
      </w:tr>
      <w:tr>
        <w:trPr>
          <w:trHeight w:val="232"/>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40,239</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4,169</w:t>
            </w: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(237,936)</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(162,638)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(237,936)</w:t>
            </w:r>
          </w:p>
        </w:tc>
      </w:tr>
    </w:tbl>
    <w:p>
      <w:pPr>
        <w:spacing w:after="0" w:line="79" w:lineRule="exact"/>
        <w:rPr>
          <w:sz w:val="20"/>
          <w:szCs w:val="20"/>
          <w:color w:val="auto"/>
        </w:rPr>
      </w:pPr>
    </w:p>
    <w:p>
      <w:pPr>
        <w:ind w:firstLine="6"/>
        <w:spacing w:after="0" w:line="257" w:lineRule="auto"/>
        <w:tabs>
          <w:tab w:leader="none" w:pos="225"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previously disclosed in Note 2, “Summary of Significant Accounting Policies” to our consolidated financial statements included in our Annual Report on Form 10-K for the year ended December 31, 2021, certain adjustments were made to reclassify certain expenses between cost of services and operating expenses. The adjustments are reflected as disclosed.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gridSpan w:val="3"/>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6"/>
                <w:szCs w:val="16"/>
                <w:color w:val="auto"/>
              </w:rPr>
            </w:pPr>
          </w:p>
        </w:tc>
      </w:tr>
      <w:tr>
        <w:trPr>
          <w:trHeight w:val="38"/>
        </w:trPr>
        <w:tc>
          <w:tcPr>
            <w:tcW w:w="5100" w:type="dxa"/>
            <w:vAlign w:val="bottom"/>
          </w:tcPr>
          <w:p>
            <w:pPr>
              <w:spacing w:after="0"/>
              <w:rPr>
                <w:sz w:val="3"/>
                <w:szCs w:val="3"/>
                <w:color w:val="auto"/>
              </w:rPr>
            </w:pPr>
          </w:p>
        </w:tc>
        <w:tc>
          <w:tcPr>
            <w:tcW w:w="3020" w:type="dxa"/>
            <w:vAlign w:val="bottom"/>
            <w:gridSpan w:val="6"/>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00" w:type="dxa"/>
            <w:vAlign w:val="bottom"/>
          </w:tcPr>
          <w:p>
            <w:pPr>
              <w:spacing w:after="0"/>
              <w:rPr>
                <w:sz w:val="16"/>
                <w:szCs w:val="16"/>
                <w:color w:val="auto"/>
              </w:rPr>
            </w:pPr>
          </w:p>
        </w:tc>
        <w:tc>
          <w:tcPr>
            <w:tcW w:w="302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80" w:type="dxa"/>
            <w:vAlign w:val="bottom"/>
          </w:tcPr>
          <w:p>
            <w:pPr>
              <w:spacing w:after="0"/>
              <w:rPr>
                <w:sz w:val="16"/>
                <w:szCs w:val="16"/>
                <w:color w:val="auto"/>
              </w:rPr>
            </w:pPr>
          </w:p>
        </w:tc>
        <w:tc>
          <w:tcPr>
            <w:tcW w:w="1280" w:type="dxa"/>
            <w:vAlign w:val="bottom"/>
            <w:gridSpan w:val="3"/>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2021 to 2022</w:t>
            </w:r>
          </w:p>
        </w:tc>
        <w:tc>
          <w:tcPr>
            <w:tcW w:w="1000" w:type="dxa"/>
            <w:vAlign w:val="bottom"/>
          </w:tcPr>
          <w:p>
            <w:pPr>
              <w:spacing w:after="0"/>
              <w:rPr>
                <w:sz w:val="16"/>
                <w:szCs w:val="16"/>
                <w:color w:val="auto"/>
              </w:rPr>
            </w:pPr>
          </w:p>
        </w:tc>
      </w:tr>
      <w:tr>
        <w:trPr>
          <w:trHeight w:val="24"/>
        </w:trPr>
        <w:tc>
          <w:tcPr>
            <w:tcW w:w="5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
        </w:trPr>
        <w:tc>
          <w:tcPr>
            <w:tcW w:w="5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40" w:type="dxa"/>
            <w:vAlign w:val="bottom"/>
            <w:gridSpan w:val="3"/>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 test revenue</w:t>
            </w:r>
          </w:p>
        </w:tc>
        <w:tc>
          <w:tcPr>
            <w:tcW w:w="86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86,499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107,563</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(21,064)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5"/>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860" w:type="dxa"/>
            <w:vAlign w:val="bottom"/>
            <w:tcBorders>
              <w:bottom w:val="single" w:sz="8" w:color="auto"/>
            </w:tcBorders>
            <w:shd w:val="clear" w:color="auto" w:fill="CCEEFF"/>
          </w:tcPr>
          <w:p>
            <w:pPr>
              <w:jc w:val="right"/>
              <w:ind w:right="66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90,110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111,216</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(21,106)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200" w:lineRule="exact"/>
        <w:rPr>
          <w:sz w:val="20"/>
          <w:szCs w:val="20"/>
          <w:color w:val="auto"/>
        </w:rPr>
      </w:pPr>
    </w:p>
    <w:p>
      <w:pPr>
        <w:spacing w:after="0" w:line="28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Total revenue decreased by $21.1 million, or 19%, to $90.1 million for the six months ended June 30, 2022, from $111.2 million for the six months ended June 30, 2021.</w:t>
      </w:r>
    </w:p>
    <w:p>
      <w:pPr>
        <w:spacing w:after="0" w:line="13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Diagnostic test revenue period over period overall decreased by $21.1 million, or 20%, to $86.5 million for the six months ended June 30, 2022, from $107.6 million for the six months ended June 30, 2021. The decrease was primarily attributable to a reversal of revenue recorded in the second quarter of 2022 related a third party-payor’s allegation regarding certain overpayments we allegedly received from the payor for services alleged to be uncovered by, or were not otherwise properly billed to, the payor. This revenue reversal relates both to this matter and other potential settlements with payors, and the vast majority of this revenue reversal was related to periods prior to the second quarter of 2022. For more information regarding this matter, see Note 4, “Revenue Recognition” to our unaudited condensed consolidated financial statements included within this Quarterly Report. This decrease was offset by an increase of $26.1 million in revenue due to the GeneDx acquisition and its revenue generated for May and June 2022.</w:t>
      </w:r>
    </w:p>
    <w:p>
      <w:pPr>
        <w:sectPr>
          <w:pgSz w:w="11900" w:h="16838" w:orient="portrait"/>
          <w:cols w:equalWidth="0" w:num="1">
            <w:col w:w="11240"/>
          </w:cols>
          <w:pgMar w:left="320" w:top="134" w:right="339" w:bottom="1440" w:gutter="0" w:footer="0" w:header="0"/>
        </w:sectPr>
      </w:pPr>
    </w:p>
    <w:p>
      <w:pPr>
        <w:spacing w:after="0" w:line="39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34"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revenue decreased by a nominal amount for the six months ended June 30, 2022, from the six months ended June 30,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tcPr>
          <w:p>
            <w:pPr>
              <w:jc w:val="center"/>
              <w:ind w:left="10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6"/>
                <w:szCs w:val="16"/>
                <w:color w:val="auto"/>
              </w:rPr>
            </w:pPr>
          </w:p>
        </w:tc>
      </w:tr>
      <w:tr>
        <w:trPr>
          <w:trHeight w:val="38"/>
        </w:trPr>
        <w:tc>
          <w:tcPr>
            <w:tcW w:w="5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80" w:type="dxa"/>
            <w:vAlign w:val="bottom"/>
            <w:gridSpan w:val="4"/>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20" w:type="dxa"/>
            <w:vAlign w:val="bottom"/>
          </w:tcPr>
          <w:p>
            <w:pPr>
              <w:spacing w:after="0"/>
              <w:rPr>
                <w:sz w:val="16"/>
                <w:szCs w:val="16"/>
                <w:color w:val="auto"/>
              </w:rPr>
            </w:pPr>
          </w:p>
        </w:tc>
        <w:tc>
          <w:tcPr>
            <w:tcW w:w="1240" w:type="dxa"/>
            <w:vAlign w:val="bottom"/>
          </w:tcPr>
          <w:p>
            <w:pPr>
              <w:jc w:val="center"/>
              <w:ind w:left="103"/>
              <w:spacing w:after="0"/>
              <w:rPr>
                <w:sz w:val="20"/>
                <w:szCs w:val="20"/>
                <w:color w:val="auto"/>
              </w:rPr>
            </w:pPr>
            <w:r>
              <w:rPr>
                <w:rFonts w:ascii="Times New Roman" w:cs="Times New Roman" w:eastAsia="Times New Roman" w:hAnsi="Times New Roman"/>
                <w:sz w:val="14"/>
                <w:szCs w:val="14"/>
                <w:b w:val="1"/>
                <w:bCs w:val="1"/>
                <w:color w:val="auto"/>
                <w:w w:val="99"/>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6"/>
                <w:szCs w:val="16"/>
                <w:color w:val="auto"/>
              </w:rPr>
            </w:pPr>
          </w:p>
        </w:tc>
        <w:tc>
          <w:tcPr>
            <w:tcW w:w="10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114,083</w:t>
            </w:r>
          </w:p>
        </w:tc>
        <w:tc>
          <w:tcPr>
            <w:tcW w:w="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116,703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8"/>
                <w:szCs w:val="18"/>
                <w:color w:val="auto"/>
              </w:rPr>
              <w:t>(2,620)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4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Cost of services decreased by $2.6 million, or 2%, to $114.1 million for the six months ended June 30, 2022, from $116.7 million for the six months ended June 30, 2021. The decrease was primarily driven by the following components: a $15.0 million decrease in stock-based compensation expense is due to the higher expense recorded in the first quarter of 2021 as a result of the increased fair value of the awards and related expenses recorded under liability accounting; a $4.1 million decrease in outside labor costs as the need for temporary hires contracted to perform COVID-19 testing activities was no longer required; and a $2.1 million decrease in inventory obsolescence write-off as a result of discontinuing COVID-19 testing. These decreases were offset by a $13.8 million increase in lab reagents, supplies and kits driven by increased sales activities and an increase of $4.6 million in other personnel-related expenses driven by increase in headcount.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00" w:type="dxa"/>
            <w:vAlign w:val="bottom"/>
          </w:tcPr>
          <w:p>
            <w:pPr>
              <w:jc w:val="center"/>
              <w:ind w:left="16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6"/>
                <w:szCs w:val="16"/>
                <w:color w:val="auto"/>
              </w:rPr>
            </w:pPr>
          </w:p>
        </w:tc>
      </w:tr>
      <w:tr>
        <w:trPr>
          <w:trHeight w:val="38"/>
        </w:trPr>
        <w:tc>
          <w:tcPr>
            <w:tcW w:w="516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36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00" w:type="dxa"/>
            <w:vAlign w:val="bottom"/>
          </w:tcPr>
          <w:p>
            <w:pPr>
              <w:jc w:val="center"/>
              <w:ind w:left="163"/>
              <w:spacing w:after="0"/>
              <w:rPr>
                <w:sz w:val="20"/>
                <w:szCs w:val="20"/>
                <w:color w:val="auto"/>
              </w:rPr>
            </w:pPr>
            <w:r>
              <w:rPr>
                <w:rFonts w:ascii="Times New Roman" w:cs="Times New Roman" w:eastAsia="Times New Roman" w:hAnsi="Times New Roman"/>
                <w:sz w:val="14"/>
                <w:szCs w:val="14"/>
                <w:b w:val="1"/>
                <w:bCs w:val="1"/>
                <w:color w:val="auto"/>
                <w:w w:val="99"/>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2"/>
              </w:rPr>
              <w:t>48,483</w:t>
            </w:r>
          </w:p>
        </w:tc>
        <w:tc>
          <w:tcPr>
            <w:tcW w:w="92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65,085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8"/>
                <w:szCs w:val="18"/>
                <w:color w:val="auto"/>
              </w:rPr>
              <w:t>(16,602)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4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Research and development expense decreased by $16.6 million, or 26%, to $48.5 million for the six months ended June 30, 2022, from $65.1 million for the six months ended June 30, 2021. The decrease was primarily attributable to a $26.9 million decrease in stock-based compensation expense due to the higher expense recorded in the first quarter of 2021 as a result of the increased fair value of the awards and related expenses recorded under liability accounting and a decrease in cost incurred for reagents and laboratory supplies and laboratory software of $1.0 million for research and development activities, which was partially offset by an increase of $8.7 million in other personnel-related expenses driven by increase in headcount; an increase of $1.7 million in consultant services for product development related activities; and an increase of $1.0 million in depreciation and amortization expense.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jc w:val="center"/>
              <w:ind w:left="12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6"/>
                <w:szCs w:val="16"/>
                <w:color w:val="auto"/>
              </w:rPr>
            </w:pPr>
          </w:p>
        </w:tc>
      </w:tr>
      <w:tr>
        <w:trPr>
          <w:trHeight w:val="37"/>
        </w:trPr>
        <w:tc>
          <w:tcPr>
            <w:tcW w:w="516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36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jc w:val="center"/>
              <w:ind w:left="123"/>
              <w:spacing w:after="0"/>
              <w:rPr>
                <w:sz w:val="20"/>
                <w:szCs w:val="20"/>
                <w:color w:val="auto"/>
              </w:rPr>
            </w:pPr>
            <w:r>
              <w:rPr>
                <w:rFonts w:ascii="Times New Roman" w:cs="Times New Roman" w:eastAsia="Times New Roman" w:hAnsi="Times New Roman"/>
                <w:sz w:val="14"/>
                <w:szCs w:val="14"/>
                <w:b w:val="1"/>
                <w:bCs w:val="1"/>
                <w:color w:val="auto"/>
                <w:w w:val="99"/>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7"/>
        </w:trPr>
        <w:tc>
          <w:tcPr>
            <w:tcW w:w="5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2"/>
              </w:rPr>
              <w:t>65,665</w:t>
            </w:r>
          </w:p>
        </w:tc>
        <w:tc>
          <w:tcPr>
            <w:tcW w:w="92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53,940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8"/>
                <w:szCs w:val="18"/>
                <w:color w:val="auto"/>
              </w:rPr>
              <w:t>11,725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bl>
    <w:p>
      <w:pPr>
        <w:spacing w:after="0" w:line="24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Selling and marketing expense increased by $11.7 million, or 22%, to $65.7 million for the six months ended June 30, 2022, from $53.9 million for the six months ended June 30, 2021. The increase was primarily attributable to a $18.2 million increase in personnel-related costs driven by increase in headcount, which was offset by a $15.5 million decrease in stock-based compensation expense due to the higher expense recorded in the first quarter of 2021 as a result of the increased fair value of the awards and related expenses recorded under liability accounting. Additionally, a $2.5 million increase in business travel and business expenses due to the lifting of COVID-19 travel restrictions; a $2.0 million increase in consulting service expenses to support revenue cycle transformation initiatives; an increase of $1.6 million in other lab services for genetic counseling related to medical education; an increase of $1.0 million in information technology-related expenses; an increase of $1.0 million in amortization expense for acquisition intangible assets; and an increase of $0.9 million in sponsored research.</w:t>
      </w: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3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tcPr>
          <w:p>
            <w:pPr>
              <w:jc w:val="center"/>
              <w:ind w:left="10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6"/>
                <w:szCs w:val="16"/>
                <w:color w:val="auto"/>
              </w:rPr>
            </w:pPr>
          </w:p>
        </w:tc>
      </w:tr>
      <w:tr>
        <w:trPr>
          <w:trHeight w:val="38"/>
        </w:trPr>
        <w:tc>
          <w:tcPr>
            <w:tcW w:w="5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80" w:type="dxa"/>
            <w:vAlign w:val="bottom"/>
            <w:gridSpan w:val="4"/>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20" w:type="dxa"/>
            <w:vAlign w:val="bottom"/>
          </w:tcPr>
          <w:p>
            <w:pPr>
              <w:spacing w:after="0"/>
              <w:rPr>
                <w:sz w:val="16"/>
                <w:szCs w:val="16"/>
                <w:color w:val="auto"/>
              </w:rPr>
            </w:pPr>
          </w:p>
        </w:tc>
        <w:tc>
          <w:tcPr>
            <w:tcW w:w="1240" w:type="dxa"/>
            <w:vAlign w:val="bottom"/>
          </w:tcPr>
          <w:p>
            <w:pPr>
              <w:jc w:val="center"/>
              <w:ind w:left="103"/>
              <w:spacing w:after="0"/>
              <w:rPr>
                <w:sz w:val="20"/>
                <w:szCs w:val="20"/>
                <w:color w:val="auto"/>
              </w:rPr>
            </w:pPr>
            <w:r>
              <w:rPr>
                <w:rFonts w:ascii="Times New Roman" w:cs="Times New Roman" w:eastAsia="Times New Roman" w:hAnsi="Times New Roman"/>
                <w:sz w:val="14"/>
                <w:szCs w:val="14"/>
                <w:b w:val="1"/>
                <w:bCs w:val="1"/>
                <w:color w:val="auto"/>
                <w:w w:val="99"/>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6"/>
                <w:szCs w:val="16"/>
                <w:color w:val="auto"/>
              </w:rPr>
            </w:pPr>
          </w:p>
        </w:tc>
        <w:tc>
          <w:tcPr>
            <w:tcW w:w="10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110,818</w:t>
            </w:r>
          </w:p>
        </w:tc>
        <w:tc>
          <w:tcPr>
            <w:tcW w:w="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114,908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8"/>
                <w:szCs w:val="18"/>
                <w:color w:val="auto"/>
              </w:rPr>
              <w:t>(4,090)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4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General and administrative expense decreased by $4.1 million, or 4%, to $110.8 million for the six months ended June 30, 2022, from $114.9 million for the six months ended June 30, 2021. The decrease was primarily attributable to a $66.8 million decrease in stock-based compensation expense due to the higher expense recorded in the first quarter of 2021 as a result of the increased fair value of the awards and related expenses recorded under liability accounting. This decrease was partially offset by an increase in expenses of $24.7 million for professional services incurred in connection with the Acquisition related to due diligence, advisory, legal and business integration services; an increase of $21.9 million in other personnel-related costs driven by increase in headcount; a $6.3 million increase in information technology related expenses due to increased cloud storage requirements; a $3.7 million increase in insurance expenses driven by the commencement of director’s insurance policy; a $2.8 million increase in depreciation and amortization expense driven by intangibles and computer equipment; a $2.0 million increase due to reallocation of certain costs between departments during the fourth quarter of 2021 as a result of a change in estimate; a $1.0 million increase in state income taxes; and a $0.4 million increase in travel and business expenses due to the lifting of COVID-19 travel restrictions.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Expenses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jc w:val="center"/>
              <w:ind w:left="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6"/>
                <w:szCs w:val="16"/>
                <w:color w:val="auto"/>
              </w:rPr>
            </w:pPr>
          </w:p>
        </w:tc>
      </w:tr>
      <w:tr>
        <w:trPr>
          <w:trHeight w:val="38"/>
        </w:trPr>
        <w:tc>
          <w:tcPr>
            <w:tcW w:w="518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80" w:type="dxa"/>
            <w:vAlign w:val="bottom"/>
          </w:tcPr>
          <w:p>
            <w:pPr>
              <w:spacing w:after="0"/>
              <w:rPr>
                <w:sz w:val="16"/>
                <w:szCs w:val="16"/>
                <w:color w:val="auto"/>
              </w:rPr>
            </w:pPr>
          </w:p>
        </w:tc>
        <w:tc>
          <w:tcPr>
            <w:tcW w:w="236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jc w:val="center"/>
              <w:ind w:left="23"/>
              <w:spacing w:after="0"/>
              <w:rPr>
                <w:sz w:val="20"/>
                <w:szCs w:val="20"/>
                <w:color w:val="auto"/>
              </w:rPr>
            </w:pPr>
            <w:r>
              <w:rPr>
                <w:rFonts w:ascii="Times New Roman" w:cs="Times New Roman" w:eastAsia="Times New Roman" w:hAnsi="Times New Roman"/>
                <w:sz w:val="14"/>
                <w:szCs w:val="14"/>
                <w:b w:val="1"/>
                <w:bCs w:val="1"/>
                <w:color w:val="auto"/>
              </w:rPr>
              <w:t>2021 to 2022</w:t>
            </w:r>
          </w:p>
        </w:tc>
        <w:tc>
          <w:tcPr>
            <w:tcW w:w="10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
        </w:trPr>
        <w:tc>
          <w:tcPr>
            <w:tcW w:w="5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60" w:type="dxa"/>
            <w:vAlign w:val="bottom"/>
            <w:gridSpan w:val="3"/>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expenses</w:t>
            </w:r>
          </w:p>
        </w:tc>
        <w:tc>
          <w:tcPr>
            <w:tcW w:w="90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3,015</w:t>
            </w:r>
          </w:p>
        </w:tc>
        <w:tc>
          <w:tcPr>
            <w:tcW w:w="92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8"/>
                <w:szCs w:val="18"/>
                <w:color w:val="auto"/>
              </w:rPr>
              <w:t>330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bl>
    <w:p>
      <w:pPr>
        <w:spacing w:after="0" w:line="24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Related party expenses increased by $0.3 million, or 12%, to $3.0 million for the six months ended June 30, 2022, from $2.7 million for the six months ended June 30, 2021. The increase was primarily attributable to fees related to support certain services pursuant to the OPKO TSA as a result of the acquisition of GeneDx.</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jc w:val="center"/>
              <w:ind w:left="2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6"/>
                <w:szCs w:val="16"/>
                <w:color w:val="auto"/>
              </w:rPr>
            </w:pPr>
          </w:p>
        </w:tc>
      </w:tr>
      <w:tr>
        <w:trPr>
          <w:trHeight w:val="37"/>
        </w:trPr>
        <w:tc>
          <w:tcPr>
            <w:tcW w:w="518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80" w:type="dxa"/>
            <w:vAlign w:val="bottom"/>
          </w:tcPr>
          <w:p>
            <w:pPr>
              <w:spacing w:after="0"/>
              <w:rPr>
                <w:sz w:val="16"/>
                <w:szCs w:val="16"/>
                <w:color w:val="auto"/>
              </w:rPr>
            </w:pPr>
          </w:p>
        </w:tc>
        <w:tc>
          <w:tcPr>
            <w:tcW w:w="236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jc w:val="center"/>
              <w:ind w:left="23"/>
              <w:spacing w:after="0"/>
              <w:rPr>
                <w:sz w:val="20"/>
                <w:szCs w:val="20"/>
                <w:color w:val="auto"/>
              </w:rPr>
            </w:pPr>
            <w:r>
              <w:rPr>
                <w:rFonts w:ascii="Times New Roman" w:cs="Times New Roman" w:eastAsia="Times New Roman" w:hAnsi="Times New Roman"/>
                <w:sz w:val="14"/>
                <w:szCs w:val="14"/>
                <w:b w:val="1"/>
                <w:bCs w:val="1"/>
                <w:color w:val="auto"/>
                <w:w w:val="99"/>
              </w:rPr>
              <w:t>2021 to 2022</w:t>
            </w:r>
          </w:p>
        </w:tc>
        <w:tc>
          <w:tcPr>
            <w:tcW w:w="10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80" w:type="dxa"/>
            <w:vAlign w:val="bottom"/>
          </w:tcPr>
          <w:p>
            <w:pPr>
              <w:spacing w:after="0"/>
              <w:rPr>
                <w:sz w:val="16"/>
                <w:szCs w:val="16"/>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
        </w:trPr>
        <w:tc>
          <w:tcPr>
            <w:tcW w:w="5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gridSpan w:val="3"/>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7"/>
        </w:trPr>
        <w:tc>
          <w:tcPr>
            <w:tcW w:w="5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409</w:t>
            </w:r>
          </w:p>
        </w:tc>
        <w:tc>
          <w:tcPr>
            <w:tcW w:w="92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8"/>
                <w:szCs w:val="18"/>
                <w:color w:val="auto"/>
              </w:rPr>
              <w:t>379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1263 %</w:t>
            </w:r>
          </w:p>
        </w:tc>
      </w:tr>
    </w:tbl>
    <w:p>
      <w:pPr>
        <w:spacing w:after="0" w:line="24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Interest income increased by $0.4 million, or 1263%, to $0.4 million for the six months ended June 30, 2022, from a nominal amount for the six months ended June 30, 2021. The increase was due to increases in the average cash balances held in interest-bearing and money market deposit accounts.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tcPr>
          <w:p>
            <w:pPr>
              <w:jc w:val="center"/>
              <w:ind w:left="4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6"/>
                <w:szCs w:val="16"/>
                <w:color w:val="auto"/>
              </w:rPr>
            </w:pPr>
          </w:p>
        </w:tc>
      </w:tr>
      <w:tr>
        <w:trPr>
          <w:trHeight w:val="38"/>
        </w:trPr>
        <w:tc>
          <w:tcPr>
            <w:tcW w:w="5160" w:type="dxa"/>
            <w:vAlign w:val="bottom"/>
          </w:tcPr>
          <w:p>
            <w:pPr>
              <w:spacing w:after="0"/>
              <w:rPr>
                <w:sz w:val="3"/>
                <w:szCs w:val="3"/>
                <w:color w:val="auto"/>
              </w:rPr>
            </w:pPr>
          </w:p>
        </w:tc>
        <w:tc>
          <w:tcPr>
            <w:tcW w:w="2380" w:type="dxa"/>
            <w:vAlign w:val="bottom"/>
            <w:gridSpan w:val="3"/>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38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tcPr>
          <w:p>
            <w:pPr>
              <w:jc w:val="center"/>
              <w:ind w:left="43"/>
              <w:spacing w:after="0"/>
              <w:rPr>
                <w:sz w:val="20"/>
                <w:szCs w:val="20"/>
                <w:color w:val="auto"/>
              </w:rPr>
            </w:pPr>
            <w:r>
              <w:rPr>
                <w:rFonts w:ascii="Times New Roman" w:cs="Times New Roman" w:eastAsia="Times New Roman" w:hAnsi="Times New Roman"/>
                <w:sz w:val="14"/>
                <w:szCs w:val="14"/>
                <w:b w:val="1"/>
                <w:bCs w:val="1"/>
                <w:color w:val="auto"/>
                <w:w w:val="99"/>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(1,598)</w:t>
            </w:r>
          </w:p>
        </w:tc>
        <w:tc>
          <w:tcPr>
            <w:tcW w:w="92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(1,445)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8"/>
                <w:szCs w:val="18"/>
                <w:color w:val="auto"/>
              </w:rPr>
              <w:t>(153)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bl>
    <w:p>
      <w:pPr>
        <w:spacing w:after="0" w:line="24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Interest expense increased by $0.2 million, or 11%, to $1.6 million for the six months ended June 30, 2022, from $1.4 million for the six months ended June 30, 2021. The increase was driven by the unused line fee and amortization of deferred transaction costs related to the loan and security agreement entered into with Silicon Valley Bank at the end of 2021.</w:t>
      </w: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3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tcPr>
          <w:p>
            <w:pPr>
              <w:jc w:val="center"/>
              <w:ind w:left="10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6"/>
                <w:szCs w:val="16"/>
                <w:color w:val="auto"/>
              </w:rPr>
            </w:pPr>
          </w:p>
        </w:tc>
      </w:tr>
      <w:tr>
        <w:trPr>
          <w:trHeight w:val="38"/>
        </w:trPr>
        <w:tc>
          <w:tcPr>
            <w:tcW w:w="518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80" w:type="dxa"/>
            <w:vAlign w:val="bottom"/>
          </w:tcPr>
          <w:p>
            <w:pPr>
              <w:spacing w:after="0"/>
              <w:rPr>
                <w:sz w:val="16"/>
                <w:szCs w:val="16"/>
                <w:color w:val="auto"/>
              </w:rPr>
            </w:pPr>
          </w:p>
        </w:tc>
        <w:tc>
          <w:tcPr>
            <w:tcW w:w="236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tcPr>
          <w:p>
            <w:pPr>
              <w:jc w:val="center"/>
              <w:ind w:left="103"/>
              <w:spacing w:after="0"/>
              <w:rPr>
                <w:sz w:val="20"/>
                <w:szCs w:val="20"/>
                <w:color w:val="auto"/>
              </w:rPr>
            </w:pPr>
            <w:r>
              <w:rPr>
                <w:rFonts w:ascii="Times New Roman" w:cs="Times New Roman" w:eastAsia="Times New Roman" w:hAnsi="Times New Roman"/>
                <w:sz w:val="14"/>
                <w:szCs w:val="14"/>
                <w:b w:val="1"/>
                <w:bCs w:val="1"/>
                <w:color w:val="auto"/>
                <w:w w:val="99"/>
              </w:rPr>
              <w:t>2021 to 2022</w:t>
            </w:r>
          </w:p>
        </w:tc>
        <w:tc>
          <w:tcPr>
            <w:tcW w:w="10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80" w:type="dxa"/>
            <w:vAlign w:val="bottom"/>
          </w:tcPr>
          <w:p>
            <w:pPr>
              <w:spacing w:after="0"/>
              <w:rPr>
                <w:sz w:val="16"/>
                <w:szCs w:val="16"/>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
        </w:trPr>
        <w:tc>
          <w:tcPr>
            <w:tcW w:w="51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6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00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w:t>
            </w:r>
          </w:p>
        </w:tc>
        <w:tc>
          <w:tcPr>
            <w:tcW w:w="94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8"/>
                <w:szCs w:val="18"/>
                <w:color w:val="auto"/>
              </w:rPr>
              <w:t>(5,528)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Other income decreased by $5.5 million, to $0.1 million for the six months ended June 30, 2022, from $5.6 million for the six months ended June 30, 2021. This was attributable to the $5.6 million in funding that was received and recognized as other income under the CARES Act in the first quarter of 2021.</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9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15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38" w:lineRule="exact"/>
        <w:rPr>
          <w:sz w:val="20"/>
          <w:szCs w:val="20"/>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expenditures or future requirements for capital expenditures or contractual commitments;</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working capital needs;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income taxes, which may be a necessary element of our costs and ability to operate;</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replacing the assets being depreciated, which will often have to be replaced in the future;</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non-cash component of employee compensation expense; and</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earnings or charges resulting from matters we consider not to be reflective, on a recurring basis, of our ongoing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Gross Margin</w:t>
      </w:r>
    </w:p>
    <w:p>
      <w:pPr>
        <w:spacing w:after="0" w:line="19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Adjusted Gross Profit is a non-GAAP financial measure that we define as revenue less cost of services, excluding stock-based compensation expense and restructuring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is a reconciliation of revenue to our Adjusted Gross Profit and Adjusted Gross Margin for the three months ended June 30, 2022 and 2021:</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3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24"/>
        </w:trPr>
        <w:tc>
          <w:tcPr>
            <w:tcW w:w="18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180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6"/>
        </w:trPr>
        <w:tc>
          <w:tcPr>
            <w:tcW w:w="180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6"/>
                <w:szCs w:val="16"/>
                <w:color w:val="auto"/>
              </w:rPr>
            </w:pPr>
          </w:p>
        </w:tc>
      </w:tr>
      <w:tr>
        <w:trPr>
          <w:trHeight w:val="238"/>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36,169</w:t>
            </w:r>
          </w:p>
        </w:tc>
        <w:tc>
          <w:tcPr>
            <w:tcW w:w="100" w:type="dxa"/>
            <w:vAlign w:val="bottom"/>
          </w:tcPr>
          <w:p>
            <w:pPr>
              <w:spacing w:after="0"/>
              <w:rPr>
                <w:sz w:val="20"/>
                <w:szCs w:val="20"/>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47,015</w:t>
            </w:r>
          </w:p>
        </w:tc>
      </w:tr>
      <w:tr>
        <w:trPr>
          <w:trHeight w:val="225"/>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65,767</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48,179</w:t>
            </w:r>
          </w:p>
        </w:tc>
      </w:tr>
      <w:tr>
        <w:trPr>
          <w:trHeight w:val="324"/>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(29,598)</w:t>
            </w:r>
          </w:p>
        </w:tc>
        <w:tc>
          <w:tcPr>
            <w:tcW w:w="100" w:type="dxa"/>
            <w:vAlign w:val="bottom"/>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(1,164)</w:t>
            </w:r>
          </w:p>
        </w:tc>
      </w:tr>
      <w:tr>
        <w:trPr>
          <w:trHeight w:val="218"/>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360" w:type="dxa"/>
            <w:vAlign w:val="bottom"/>
          </w:tcPr>
          <w:p>
            <w:pPr>
              <w:spacing w:after="0"/>
              <w:rPr>
                <w:sz w:val="19"/>
                <w:szCs w:val="19"/>
                <w:color w:val="auto"/>
              </w:rPr>
            </w:pPr>
          </w:p>
        </w:tc>
        <w:tc>
          <w:tcPr>
            <w:tcW w:w="1120" w:type="dxa"/>
            <w:vAlign w:val="bottom"/>
          </w:tcPr>
          <w:p>
            <w:pPr>
              <w:jc w:val="right"/>
              <w:ind w:right="277"/>
              <w:spacing w:after="0"/>
              <w:rPr>
                <w:sz w:val="20"/>
                <w:szCs w:val="20"/>
                <w:color w:val="auto"/>
              </w:rPr>
            </w:pPr>
            <w:r>
              <w:rPr>
                <w:rFonts w:ascii="Times New Roman" w:cs="Times New Roman" w:eastAsia="Times New Roman" w:hAnsi="Times New Roman"/>
                <w:sz w:val="18"/>
                <w:szCs w:val="18"/>
                <w:b w:val="1"/>
                <w:bCs w:val="1"/>
                <w:color w:val="auto"/>
              </w:rPr>
              <w:t>(82)%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45"/>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5"/>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1,810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(306)</w:t>
            </w:r>
          </w:p>
        </w:tc>
      </w:tr>
      <w:tr>
        <w:trPr>
          <w:trHeight w:val="225"/>
        </w:trPr>
        <w:tc>
          <w:tcPr>
            <w:tcW w:w="818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Restructuring costs </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Profit (Loss)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(27,583)</w:t>
            </w:r>
          </w:p>
        </w:tc>
        <w:tc>
          <w:tcPr>
            <w:tcW w:w="60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(1,470)</w:t>
            </w:r>
          </w:p>
        </w:tc>
      </w:tr>
      <w:tr>
        <w:trPr>
          <w:trHeight w:val="305"/>
        </w:trPr>
        <w:tc>
          <w:tcPr>
            <w:tcW w:w="1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6"/>
                <w:shd w:val="clear" w:color="auto" w:fill="CCEEFF"/>
              </w:rPr>
              <w:t>Adjusted Gross Margin</w:t>
            </w:r>
          </w:p>
        </w:tc>
        <w:tc>
          <w:tcPr>
            <w:tcW w:w="638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tcPr>
          <w:p>
            <w:pPr>
              <w:spacing w:after="0"/>
              <w:rPr>
                <w:sz w:val="24"/>
                <w:szCs w:val="24"/>
                <w:color w:val="auto"/>
              </w:rPr>
            </w:pPr>
          </w:p>
        </w:tc>
        <w:tc>
          <w:tcPr>
            <w:tcW w:w="500" w:type="dxa"/>
            <w:vAlign w:val="bottom"/>
            <w:tcBorders>
              <w:top w:val="single" w:sz="8" w:color="auto"/>
              <w:bottom w:val="single" w:sz="8" w:color="CCEEFF"/>
            </w:tcBorders>
            <w:shd w:val="clear" w:color="auto" w:fill="CCEEFF"/>
          </w:tcPr>
          <w:p>
            <w:pPr>
              <w:spacing w:after="0"/>
              <w:rPr>
                <w:sz w:val="24"/>
                <w:szCs w:val="24"/>
                <w:color w:val="auto"/>
              </w:rPr>
            </w:pPr>
          </w:p>
        </w:tc>
        <w:tc>
          <w:tcPr>
            <w:tcW w:w="980" w:type="dxa"/>
            <w:vAlign w:val="bottom"/>
            <w:tcBorders>
              <w:top w:val="single" w:sz="8" w:color="auto"/>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54"/>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6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r>
    </w:tbl>
    <w:p>
      <w:pPr>
        <w:ind w:left="320" w:hanging="314"/>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incurred for restructuring activities, which include severance packages offered to impacted employees and third party consulting costs incurred in the second quarter of 2022.</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is a reconciliation of revenue to our Adjusted Gross Profit and Adjusted Gross Margin for the six months ended June 30, 2022, and 2021:</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18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180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6"/>
        </w:trPr>
        <w:tc>
          <w:tcPr>
            <w:tcW w:w="180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6"/>
                <w:szCs w:val="16"/>
                <w:color w:val="auto"/>
              </w:rPr>
            </w:pPr>
          </w:p>
        </w:tc>
      </w:tr>
      <w:tr>
        <w:trPr>
          <w:trHeight w:val="238"/>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90,110</w:t>
            </w:r>
          </w:p>
        </w:tc>
        <w:tc>
          <w:tcPr>
            <w:tcW w:w="100" w:type="dxa"/>
            <w:vAlign w:val="bottom"/>
          </w:tcPr>
          <w:p>
            <w:pPr>
              <w:spacing w:after="0"/>
              <w:rPr>
                <w:sz w:val="20"/>
                <w:szCs w:val="20"/>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111,216</w:t>
            </w:r>
          </w:p>
        </w:tc>
      </w:tr>
      <w:tr>
        <w:trPr>
          <w:trHeight w:val="225"/>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114,083</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116,703</w:t>
            </w:r>
          </w:p>
        </w:tc>
      </w:tr>
      <w:tr>
        <w:trPr>
          <w:trHeight w:val="324"/>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(23,973)</w:t>
            </w:r>
          </w:p>
        </w:tc>
        <w:tc>
          <w:tcPr>
            <w:tcW w:w="100" w:type="dxa"/>
            <w:vAlign w:val="bottom"/>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(5,487)</w:t>
            </w:r>
          </w:p>
        </w:tc>
      </w:tr>
      <w:tr>
        <w:trPr>
          <w:trHeight w:val="21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360" w:type="dxa"/>
            <w:vAlign w:val="bottom"/>
          </w:tcPr>
          <w:p>
            <w:pPr>
              <w:spacing w:after="0"/>
              <w:rPr>
                <w:sz w:val="19"/>
                <w:szCs w:val="19"/>
                <w:color w:val="auto"/>
              </w:rPr>
            </w:pPr>
          </w:p>
        </w:tc>
        <w:tc>
          <w:tcPr>
            <w:tcW w:w="1120" w:type="dxa"/>
            <w:vAlign w:val="bottom"/>
          </w:tcPr>
          <w:p>
            <w:pPr>
              <w:jc w:val="right"/>
              <w:ind w:right="277"/>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45"/>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5"/>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18,169</w:t>
            </w:r>
          </w:p>
        </w:tc>
      </w:tr>
      <w:tr>
        <w:trPr>
          <w:trHeight w:val="225"/>
        </w:trPr>
        <w:tc>
          <w:tcPr>
            <w:tcW w:w="818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Restructuring costs </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5"/>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(20,471)</w:t>
            </w:r>
          </w:p>
        </w:tc>
        <w:tc>
          <w:tcPr>
            <w:tcW w:w="60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12,682</w:t>
            </w:r>
          </w:p>
        </w:tc>
      </w:tr>
      <w:tr>
        <w:trPr>
          <w:trHeight w:val="304"/>
        </w:trPr>
        <w:tc>
          <w:tcPr>
            <w:tcW w:w="1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6"/>
                <w:shd w:val="clear" w:color="auto" w:fill="CCEEFF"/>
              </w:rPr>
              <w:t>Adjusted Gross Margin</w:t>
            </w:r>
          </w:p>
        </w:tc>
        <w:tc>
          <w:tcPr>
            <w:tcW w:w="638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Pr>
          <w:p>
            <w:pPr>
              <w:spacing w:after="0"/>
              <w:rPr>
                <w:sz w:val="24"/>
                <w:szCs w:val="24"/>
                <w:color w:val="auto"/>
              </w:rPr>
            </w:pPr>
          </w:p>
        </w:tc>
        <w:tc>
          <w:tcPr>
            <w:tcW w:w="500" w:type="dxa"/>
            <w:vAlign w:val="bottom"/>
            <w:tcBorders>
              <w:top w:val="single" w:sz="8" w:color="auto"/>
              <w:bottom w:val="single" w:sz="8" w:color="CCEEFF"/>
            </w:tcBorders>
            <w:shd w:val="clear" w:color="auto" w:fill="CCEEFF"/>
          </w:tcPr>
          <w:p>
            <w:pPr>
              <w:spacing w:after="0"/>
              <w:rPr>
                <w:sz w:val="24"/>
                <w:szCs w:val="24"/>
                <w:color w:val="auto"/>
              </w:rPr>
            </w:pPr>
          </w:p>
        </w:tc>
        <w:tc>
          <w:tcPr>
            <w:tcW w:w="9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54"/>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w:t>
            </w:r>
          </w:p>
        </w:tc>
        <w:tc>
          <w:tcPr>
            <w:tcW w:w="6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r>
    </w:tbl>
    <w:p>
      <w:pPr>
        <w:spacing w:after="0" w:line="147" w:lineRule="exact"/>
        <w:rPr>
          <w:sz w:val="20"/>
          <w:szCs w:val="20"/>
          <w:color w:val="auto"/>
        </w:rPr>
      </w:pPr>
    </w:p>
    <w:p>
      <w:pPr>
        <w:ind w:left="320" w:hanging="314"/>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incurred for restructuring activities, which include severance packages offered to impacted employees and third party consulting costs incurred in the first half of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Adjusted EBITDA is a non-GAAP financial measure that we define as net loss adjusted for interest expense, net, depreciation and amortization, stock-based compensation expenses, transaction, acquisition and business integration costs, restructuring costs, change in fair market value of warrant and earn-out contingent liabilities and other income. We believe Adjusted EBITDA is useful in evaluating our operating performance compared to that of other companies in our industry,</w:t>
      </w:r>
    </w:p>
    <w:p>
      <w:pPr>
        <w:spacing w:after="0" w:line="39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3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as this metric generally eliminates the effects of certain factors that may vary from company to company for reasons unrelated to overall operating performance.</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reconciliation of our net loss to Adjusted EBITDA for the three months ended June 30, 2022 and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24"/>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6"/>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6"/>
                <w:szCs w:val="16"/>
                <w:color w:val="auto"/>
              </w:rPr>
            </w:pP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(85,742)</w:t>
            </w:r>
          </w:p>
        </w:tc>
        <w:tc>
          <w:tcPr>
            <w:tcW w:w="100" w:type="dxa"/>
            <w:vAlign w:val="bottom"/>
          </w:tcPr>
          <w:p>
            <w:pPr>
              <w:spacing w:after="0"/>
              <w:rPr>
                <w:sz w:val="20"/>
                <w:szCs w:val="20"/>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(46,161)</w:t>
            </w:r>
          </w:p>
        </w:tc>
      </w:tr>
      <w:tr>
        <w:trPr>
          <w:trHeight w:val="225"/>
        </w:trPr>
        <w:tc>
          <w:tcPr>
            <w:tcW w:w="81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Interest expense, net </w:t>
            </w:r>
            <w:r>
              <w:rPr>
                <w:rFonts w:ascii="Times New Roman" w:cs="Times New Roman" w:eastAsia="Times New Roman" w:hAnsi="Times New Roman"/>
                <w:sz w:val="22"/>
                <w:szCs w:val="22"/>
                <w:color w:val="auto"/>
                <w:vertAlign w:val="superscript"/>
              </w:rPr>
              <w:t>(1)</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(49,077)</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22,721</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25"/>
        </w:trPr>
        <w:tc>
          <w:tcPr>
            <w:tcW w:w="81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Transaction, acquisition and business integration costs </w:t>
            </w:r>
            <w:r>
              <w:rPr>
                <w:rFonts w:ascii="Times New Roman" w:cs="Times New Roman" w:eastAsia="Times New Roman" w:hAnsi="Times New Roman"/>
                <w:sz w:val="22"/>
                <w:szCs w:val="22"/>
                <w:color w:val="auto"/>
                <w:vertAlign w:val="superscript"/>
              </w:rPr>
              <w:t>(2)</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w:t>
            </w:r>
          </w:p>
        </w:tc>
      </w:tr>
      <w:tr>
        <w:trPr>
          <w:trHeight w:val="225"/>
        </w:trPr>
        <w:tc>
          <w:tcPr>
            <w:tcW w:w="81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Restructuring costs </w:t>
            </w:r>
            <w:r>
              <w:rPr>
                <w:rFonts w:ascii="Times New Roman" w:cs="Times New Roman" w:eastAsia="Times New Roman" w:hAnsi="Times New Roman"/>
                <w:sz w:val="22"/>
                <w:szCs w:val="22"/>
                <w:color w:val="auto"/>
                <w:vertAlign w:val="superscript"/>
              </w:rPr>
              <w:t>(3)</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Change in fair market value of warrant and earn-out contingent liabilities </w:t>
            </w:r>
            <w:r>
              <w:rPr>
                <w:rFonts w:ascii="Times New Roman" w:cs="Times New Roman" w:eastAsia="Times New Roman" w:hAnsi="Times New Roman"/>
                <w:sz w:val="22"/>
                <w:szCs w:val="22"/>
                <w:color w:val="auto"/>
                <w:vertAlign w:val="superscript"/>
              </w:rPr>
              <w:t>(4)</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(115,033)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(37,197)</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4" w:lineRule="exact"/>
        <w:rPr>
          <w:sz w:val="20"/>
          <w:szCs w:val="20"/>
          <w:color w:val="auto"/>
        </w:rPr>
      </w:pPr>
    </w:p>
    <w:p>
      <w:pPr>
        <w:ind w:left="320" w:right="680" w:hanging="314"/>
        <w:spacing w:after="0" w:line="253" w:lineRule="auto"/>
        <w:tabs>
          <w:tab w:leader="none" w:pos="31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total of interest expense related to our finance leases and interest-bearing loans and interest income on money market funds. This also includes the unused line fee and amortization of deferred transaction costs related to the loan and security agreement entered into with Silicon Valley Bank.</w:t>
      </w:r>
    </w:p>
    <w:p>
      <w:pPr>
        <w:ind w:left="320" w:right="320" w:hanging="314"/>
        <w:spacing w:after="0" w:line="256" w:lineRule="auto"/>
        <w:tabs>
          <w:tab w:leader="none" w:pos="31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professional service costs incurred in connection with pursuing the business combination transaction that did not meet the requirement for capitalization in 2021. For the second quarter of 2022, this represents professional service costs incurred in connection with the Acquisition transaction, which include due diligence, legal and business integration costs.</w:t>
      </w:r>
    </w:p>
    <w:p>
      <w:pPr>
        <w:spacing w:after="0" w:line="1"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incurred for restructuring activities, which include severance packages offered to impacted employees and third party consulting costs incurred in the second quarter of 2022.</w:t>
      </w:r>
    </w:p>
    <w:p>
      <w:pPr>
        <w:spacing w:after="0" w:line="2" w:lineRule="exact"/>
        <w:rPr>
          <w:rFonts w:ascii="Times New Roman" w:cs="Times New Roman" w:eastAsia="Times New Roman" w:hAnsi="Times New Roman"/>
          <w:sz w:val="14"/>
          <w:szCs w:val="14"/>
          <w:color w:val="auto"/>
        </w:rPr>
      </w:pPr>
    </w:p>
    <w:p>
      <w:pPr>
        <w:ind w:left="320" w:right="220" w:hanging="314"/>
        <w:spacing w:after="0" w:line="267" w:lineRule="auto"/>
        <w:tabs>
          <w:tab w:leader="none" w:pos="31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change in fair market value of the liabilities associated with our public warrants and private placement warrants and the earn-out shares issuable under the terms of the merger agreement related to our business combination with CMLS.</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reconciliation of our net loss to Adjusted EBITDA for the six months ended June 30, 2022, and 2021: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6"/>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6"/>
                <w:szCs w:val="16"/>
                <w:color w:val="auto"/>
              </w:rPr>
            </w:pP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(162,638)</w:t>
            </w:r>
          </w:p>
        </w:tc>
        <w:tc>
          <w:tcPr>
            <w:tcW w:w="100" w:type="dxa"/>
            <w:vAlign w:val="bottom"/>
          </w:tcPr>
          <w:p>
            <w:pPr>
              <w:spacing w:after="0"/>
              <w:rPr>
                <w:sz w:val="20"/>
                <w:szCs w:val="20"/>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(237,936)</w:t>
            </w:r>
          </w:p>
        </w:tc>
      </w:tr>
      <w:tr>
        <w:trPr>
          <w:trHeight w:val="225"/>
        </w:trPr>
        <w:tc>
          <w:tcPr>
            <w:tcW w:w="81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Interest expense, net </w:t>
            </w:r>
            <w:r>
              <w:rPr>
                <w:rFonts w:ascii="Times New Roman" w:cs="Times New Roman" w:eastAsia="Times New Roman" w:hAnsi="Times New Roman"/>
                <w:sz w:val="22"/>
                <w:szCs w:val="22"/>
                <w:color w:val="auto"/>
                <w:vertAlign w:val="superscript"/>
              </w:rPr>
              <w:t>(1)</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(49,077)</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10,521</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40,280</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164,443</w:t>
            </w:r>
          </w:p>
        </w:tc>
      </w:tr>
      <w:tr>
        <w:trPr>
          <w:trHeight w:val="225"/>
        </w:trPr>
        <w:tc>
          <w:tcPr>
            <w:tcW w:w="81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Transaction, acquisition and business integration costs </w:t>
            </w:r>
            <w:r>
              <w:rPr>
                <w:rFonts w:ascii="Times New Roman" w:cs="Times New Roman" w:eastAsia="Times New Roman" w:hAnsi="Times New Roman"/>
                <w:sz w:val="22"/>
                <w:szCs w:val="22"/>
                <w:color w:val="auto"/>
                <w:vertAlign w:val="superscript"/>
              </w:rPr>
              <w:t>(2)</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w:t>
            </w:r>
          </w:p>
        </w:tc>
      </w:tr>
      <w:tr>
        <w:trPr>
          <w:trHeight w:val="225"/>
        </w:trPr>
        <w:tc>
          <w:tcPr>
            <w:tcW w:w="81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Restructuring costs </w:t>
            </w:r>
            <w:r>
              <w:rPr>
                <w:rFonts w:ascii="Times New Roman" w:cs="Times New Roman" w:eastAsia="Times New Roman" w:hAnsi="Times New Roman"/>
                <w:sz w:val="22"/>
                <w:szCs w:val="22"/>
                <w:color w:val="auto"/>
                <w:vertAlign w:val="superscript"/>
              </w:rPr>
              <w:t>(3)</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9,561</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Change in fair market value of warrant and earn-out contingent liabilities </w:t>
            </w:r>
            <w:r>
              <w:rPr>
                <w:rFonts w:ascii="Times New Roman" w:cs="Times New Roman" w:eastAsia="Times New Roman" w:hAnsi="Times New Roman"/>
                <w:sz w:val="22"/>
                <w:szCs w:val="22"/>
                <w:color w:val="auto"/>
                <w:vertAlign w:val="superscript"/>
              </w:rPr>
              <w:t>(4)</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Other income </w:t>
            </w:r>
            <w:r>
              <w:rPr>
                <w:rFonts w:ascii="Times New Roman" w:cs="Times New Roman" w:eastAsia="Times New Roman" w:hAnsi="Times New Roman"/>
                <w:sz w:val="22"/>
                <w:szCs w:val="22"/>
                <w:color w:val="auto"/>
                <w:vertAlign w:val="superscript"/>
              </w:rPr>
              <w:t>(5)</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w:t>
            </w:r>
          </w:p>
        </w:tc>
      </w:tr>
      <w:tr>
        <w:trPr>
          <w:trHeight w:val="218"/>
        </w:trPr>
        <w:tc>
          <w:tcPr>
            <w:tcW w:w="8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(173,910)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(62,036)</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0" w:lineRule="exact"/>
        <w:rPr>
          <w:sz w:val="20"/>
          <w:szCs w:val="20"/>
          <w:color w:val="auto"/>
        </w:rPr>
      </w:pPr>
    </w:p>
    <w:p>
      <w:pPr>
        <w:ind w:left="320" w:right="680" w:hanging="314"/>
        <w:spacing w:after="0" w:line="265" w:lineRule="auto"/>
        <w:tabs>
          <w:tab w:leader="none" w:pos="31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total of interest expense related to our finance leases and interest-bearing loans and interest income on money market funds. This also includes the unused line fee and amortization of deferred transaction costs related to the loan and security agreement entered into with Silicon Valley Bank.</w:t>
      </w:r>
    </w:p>
    <w:p>
      <w:pPr>
        <w:ind w:left="320" w:right="60" w:hanging="314"/>
        <w:spacing w:after="0" w:line="250" w:lineRule="auto"/>
        <w:tabs>
          <w:tab w:leader="none" w:pos="31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professional service costs incurred in connection with pursuing the business combination transaction that did not meet the requirement for capitalization in 2021. For the first half of 2022, this represents professional service costs incurred in connection with the Acquisition transaction, which include due diligence, legal and business integration costs.</w:t>
      </w:r>
    </w:p>
    <w:p>
      <w:pPr>
        <w:ind w:left="320" w:hanging="314"/>
        <w:spacing w:after="0"/>
        <w:tabs>
          <w:tab w:leader="none" w:pos="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incurred for restructuring activities, which include severance packages offered to impacted employees and third party consulting costs incurred in the first half of 2022.</w:t>
      </w:r>
    </w:p>
    <w:p>
      <w:pPr>
        <w:spacing w:after="0" w:line="6" w:lineRule="exact"/>
        <w:rPr>
          <w:rFonts w:ascii="Times New Roman" w:cs="Times New Roman" w:eastAsia="Times New Roman" w:hAnsi="Times New Roman"/>
          <w:sz w:val="14"/>
          <w:szCs w:val="14"/>
          <w:color w:val="auto"/>
        </w:rPr>
      </w:pPr>
    </w:p>
    <w:p>
      <w:pPr>
        <w:ind w:left="320" w:right="220" w:hanging="314"/>
        <w:spacing w:after="0" w:line="273" w:lineRule="auto"/>
        <w:tabs>
          <w:tab w:leader="none" w:pos="31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change in fair market value of the liabilities associated with our public warrants and private placement warrants and the earn-out shares issuable under the terms of the merger agreement related to our business combination with CMLS.</w:t>
      </w:r>
    </w:p>
    <w:p>
      <w:pPr>
        <w:spacing w:after="0" w:line="3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3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20" w:hanging="314"/>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six months ended June 30, 2021, the amount represents funding received under the CARES Act Provider Relief Fund in the first quarter of 2021.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July 22, 2021, we completed the business combination with CMLS, consummated the related private placement financing, and received net cash proceeds of $510 million.</w:t>
      </w:r>
    </w:p>
    <w:p>
      <w:pPr>
        <w:spacing w:after="0" w:line="137"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On November 15, 2021, we entered into a loan and security agreement, or the SVB Agreement, with Silicon Valley Bank, or SVB, whereby SVB agreed to provide a $125 million revolving credit facility with a maturity date of November 15, 2024. No amounts were drawn as of December 31, 2021. Advances under the SVB Agreement will bear interest at a floating rate per annum equal to the greater of (1) 4.00% and (2) the prime rate plus an applicable margin.</w:t>
      </w:r>
    </w:p>
    <w:p>
      <w:pPr>
        <w:spacing w:after="0" w:line="1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April 29, 2022, upon the closing of the Acquisition of GeneDx, we received gross proceeds of $200 million from the issuance of 50 million shares of our Class A common stock pursuant to the Acquisition PIPE Investment. The gross proceeds were partially used to pay for the cash consideration of the Acquisition and transaction costs incurred in connection with the Acquisition.</w:t>
      </w:r>
    </w:p>
    <w:p>
      <w:pPr>
        <w:spacing w:after="0" w:line="13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Management believes that our cash and cash equivalents, and funds available under the SVB Agreement provides us with sufficient liquidity for at least twelve months from the filing date of this Quarterly Report.</w:t>
      </w:r>
    </w:p>
    <w:p>
      <w:pPr>
        <w:spacing w:after="0" w:line="13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Accordingly, the condensed consolidated financial statements included in this Quarterly Report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the entry into other credit facilities or another form of third-party funding or by seeking other debt financing. For example, we may file with the SEC a shelf registration statement, which if declared effective by the SEC, may permit us to sell from time to time additional shares of our Class A common stock or other securities in one or more offerings in amounts, at prices and on the terms that we will determine at the time of offering, although we do not intend to issue shares of our Class A common stock at current market prices.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 for Known Contractual Obligations and Commitments</w:t>
      </w:r>
    </w:p>
    <w:p>
      <w:pPr>
        <w:spacing w:after="0" w:line="1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The following is a description of commitments for known and reasonably likely cash requirements as of June 30, 2022 and December 31, 2021. We anticipate fulfilling such commitments with our existing cash and cash equivalents, which amounted to $284.6 million and $400.6 million as of June 30, 2022 and December 31, 2021, respectively, or through additional capital raised to finance our operations;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Our future minimum payments under non-cancellable operating lease agreements were $81.7 million as of June 30, 2022 and $68.3 million as of December 31, 2021. The timing of these future payments, by year, can be found in our audited financial statements in Note 9,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included within our Annual Report on Form 10-K for the year ended December 31, 2021, and our unaudited condensed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statements in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included within this Quarterly Report, respectively.</w:t>
      </w:r>
    </w:p>
    <w:p>
      <w:pPr>
        <w:spacing w:after="0" w:line="14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Our future payments under finance leases were $63.2 million as of June 30, 2022. The timing of these future payments, by year, can be found in our audited financial statements in Note 9,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included within our Annual Report on Form 10-K for the year ended December 31, 2021, and our unaudited condensed consolidated financial statements in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included within this Quarterly Report, respectively.</w:t>
      </w: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3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3"/>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2"/>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6"/>
                <w:szCs w:val="16"/>
                <w:color w:val="auto"/>
              </w:rPr>
            </w:pPr>
          </w:p>
        </w:tc>
      </w:tr>
      <w:tr>
        <w:trPr>
          <w:trHeight w:val="23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261"/>
              <w:spacing w:after="0"/>
              <w:rPr>
                <w:sz w:val="20"/>
                <w:szCs w:val="20"/>
                <w:color w:val="auto"/>
              </w:rPr>
            </w:pPr>
            <w:r>
              <w:rPr>
                <w:rFonts w:ascii="Times New Roman" w:cs="Times New Roman" w:eastAsia="Times New Roman" w:hAnsi="Times New Roman"/>
                <w:sz w:val="18"/>
                <w:szCs w:val="18"/>
                <w:color w:val="auto"/>
                <w:w w:val="99"/>
              </w:rPr>
              <w:t>(166,139)</w:t>
            </w:r>
          </w:p>
        </w:tc>
        <w:tc>
          <w:tcPr>
            <w:tcW w:w="5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(67,509)</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center"/>
              <w:ind w:left="261"/>
              <w:spacing w:after="0"/>
              <w:rPr>
                <w:sz w:val="20"/>
                <w:szCs w:val="20"/>
                <w:color w:val="auto"/>
              </w:rPr>
            </w:pPr>
            <w:r>
              <w:rPr>
                <w:rFonts w:ascii="Times New Roman" w:cs="Times New Roman" w:eastAsia="Times New Roman" w:hAnsi="Times New Roman"/>
                <w:sz w:val="18"/>
                <w:szCs w:val="18"/>
                <w:color w:val="auto"/>
                <w:w w:val="99"/>
              </w:rPr>
              <w:t>(134,210)</w:t>
            </w:r>
          </w:p>
        </w:tc>
        <w:tc>
          <w:tcPr>
            <w:tcW w:w="5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(9,475)</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301"/>
              <w:spacing w:after="0"/>
              <w:rPr>
                <w:sz w:val="20"/>
                <w:szCs w:val="20"/>
                <w:color w:val="auto"/>
              </w:rPr>
            </w:pPr>
            <w:r>
              <w:rPr>
                <w:rFonts w:ascii="Times New Roman" w:cs="Times New Roman" w:eastAsia="Times New Roman" w:hAnsi="Times New Roman"/>
                <w:sz w:val="18"/>
                <w:szCs w:val="18"/>
                <w:color w:val="auto"/>
                <w:w w:val="99"/>
              </w:rPr>
              <w:t>197,897</w:t>
            </w:r>
          </w:p>
        </w:tc>
        <w:tc>
          <w:tcPr>
            <w:tcW w:w="5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Net cash used in operating activities during the six months ended June 30, 2022 was $166.1 million, which was primarily attributable to a net loss of $162.6 million and a change in fair value of the warrant and earn-out liabilities of $41.4 million and an income tax benefit of $49.1 million. This was partially offset by non-cash depreciation and amortization of $14.8 million, non-cash stock-based compensation expense of $40.3 million, a provision for excess and obsolete inventory of $0.4 million and non-cash lease expense of $0.3 million. The net change in our operating assets and liabilities primarily reflected a $2.3 million increase in inventories driven by an increase in reagents and a reduction in inventory reserves, a $35.7 million increase in accounts payable and accrued expenses driven by reserves for refunds to insurance carriers established during the second quarter of 2022, a $4.8 million decrease in other current liabilities mainly driven by the payment of 2021 bonuses, offset by the accrual of the 2022 expected bonus payment, a $2.4 million decrease in accounts receivable primarily from institutional payors and a $2.9 million decrease in prepaid expenses and other current assets mainly driven by the amortization of insurance policy premiums.</w:t>
      </w:r>
    </w:p>
    <w:p>
      <w:pPr>
        <w:spacing w:after="0" w:line="14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Net cash used in operating activities during the six months ended June 30, 2021 was $67.5 million, which was primarily attributable to a net loss of $237.9 million, partially offset by non-cash depreciation and amortization of $10.5 million and non-cash stock-based compensation expense of $164.4 million. The net change in our operating assets and liabilities primarily reflected a $7.5 million decrease in accounts receivable due to a significant decrease in COVID-19 tests performed during the second quarter of 2021, a $6.6 million increase in inventories driven by a higher volume of purchases to support increasing testing volumes, a $9.7 million increase in prepaid expenses and other current assets mainly driven by professional services costs directly related to the business combination transaction, a $10.0 million increase in accounts payable and accrued expenses due to the timing of vendor payments of large vendors, and an $7.8 million decrease in other current liabilities mainly driven by a decline in our bonus accrual following bonus payments in March 2021 and other personnel related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2022 was $134.2 million, which was attributable to $127 million cash consideration for the acquisition of GeneDx, $2.7 million in purchases of property and equipment and $4.5 million of costs related to development of internal-use software assets.</w:t>
      </w:r>
    </w:p>
    <w:p>
      <w:pPr>
        <w:spacing w:after="0" w:line="13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2021 was $9.5 million, which was attributable to $3.3 million in purchases of property and equipment and $6.2 million of costs related to development of internal-use software assets.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ended June 30, 2022 was $197.9 million, which was driven by proceeds from the Acquisition PIPE Investment, net of issuance costs of $197.7 million, and the exercise of stock options of $1.8 million which was offset by $1.6 million of finance lease principal payments.</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used in financing activities during the six months ended June 30, 2021 was $4.6 million, which was attributable to $2.8 million in payments for the capitalized portion of the transaction costs related to the business combination transaction, $2.0 million in principal payments on our capital lease obligations and $0.8 million in principal payments on our long-term debt obligations, offset by $1.0 million cash received from stock option exercises.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unaudited condensed consolidated financial statements, which have been prepared in accordance with U.S. GAAP. The</w:t>
      </w:r>
    </w:p>
    <w:p>
      <w:pPr>
        <w:spacing w:after="0" w:line="3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3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preparation of these unaudited condensed consolidated financial statements requires us to make estimates and assumptions that affect the reported amounts of assets and liabilities and the disclosure of contingent assets and liabilities at the date of the unaudited condensed consolidated financial statements, as well as the reported revenue generated and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57"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Except as described in Note 2, </w:t>
      </w:r>
      <w:r>
        <w:rPr>
          <w:rFonts w:ascii="Times New Roman" w:cs="Times New Roman" w:eastAsia="Times New Roman" w:hAnsi="Times New Roman"/>
          <w:sz w:val="18"/>
          <w:szCs w:val="18"/>
          <w:i w:val="1"/>
          <w:iCs w:val="1"/>
          <w:color w:val="auto"/>
        </w:rPr>
        <w:t>“Summary of Significant Accounting Policies–Recent Accounting Pronouncement Issued but Not Yet Adopted,”</w:t>
      </w:r>
      <w:r>
        <w:rPr>
          <w:rFonts w:ascii="Times New Roman" w:cs="Times New Roman" w:eastAsia="Times New Roman" w:hAnsi="Times New Roman"/>
          <w:sz w:val="18"/>
          <w:szCs w:val="18"/>
          <w:color w:val="auto"/>
        </w:rPr>
        <w:t xml:space="preserve"> to our unaudited condensed consolidated financial statements included in this Quarterly Report, there have been no material changes to our critical accounting policies and estimates as compared to the critical accounting policies and estimates disclosed in our audited consolidated financial statements and notes thereto included within our Annual Report on Form 10-K for the year ended December 31, 2021.</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considered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15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Following the completion of the Business Combination, we will remain an emerging growth company until the earliest of (1) September 1, 2025,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7"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 xml:space="preserve">Additional information on recent accounting pronouncements can be found in the audited financial statements in Note 2, </w:t>
      </w:r>
      <w:r>
        <w:rPr>
          <w:rFonts w:ascii="Times New Roman" w:cs="Times New Roman" w:eastAsia="Times New Roman" w:hAnsi="Times New Roman"/>
          <w:sz w:val="18"/>
          <w:szCs w:val="18"/>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Policies” </w:t>
      </w:r>
      <w:r>
        <w:rPr>
          <w:rFonts w:ascii="Times New Roman" w:cs="Times New Roman" w:eastAsia="Times New Roman" w:hAnsi="Times New Roman"/>
          <w:sz w:val="18"/>
          <w:szCs w:val="18"/>
          <w:color w:val="auto"/>
        </w:rPr>
        <w:t>included within our Annual Report on Form 10-K for the year ended December 31, 2021, and our unaudited condensed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financial statements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included within this Quarterly Report.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rates. Our cash, cash equivalents, and restricted cash consists of bank deposits and money market funds, which totaled $299.0 million at June 30, 2022 and $401.5 million as of December 31, 2021. Such interest-bearing instruments carry a degree of risk; however, because our investments are primarily high-quality credit instruments with short-term durations with high-quality institutions, we have not been exposed to, nor do we anticipate being exposed to, material risks due to changes in interest rates. A 100 basis point change in interest rates would not have a material effect on the fair market value of our cash, cash equivalents and restricted cash.</w:t>
      </w:r>
    </w:p>
    <w:p>
      <w:pPr>
        <w:spacing w:after="0" w:line="1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Our loan and financing obligation are recorded at amortized cost and include variable interest rate term. Therefore, change in interest rates can impact our interest payments we are obligated to pay. Additional information on our long-term debt can be found in Sema4’s audited financial statements in Note 8, </w:t>
      </w: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and Sema4’s unaudited condensed consolidated financial statements in Note 8,</w:t>
      </w:r>
      <w:r>
        <w:rPr>
          <w:rFonts w:ascii="Times New Roman" w:cs="Times New Roman" w:eastAsia="Times New Roman" w:hAnsi="Times New Roman"/>
          <w:sz w:val="18"/>
          <w:szCs w:val="18"/>
          <w:i w:val="1"/>
          <w:iCs w:val="1"/>
          <w:color w:val="auto"/>
        </w:rPr>
        <w:t xml:space="preserve"> “Long-Term Debt.”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w:t>
      </w: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3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without limitation, controls and procedures designed to ensure that information required to be disclosed in our reports filed or submitted under the Exchange Act is accumulated and communicated to our management, including our Chief Executive Officer and Interim Chief Financial Officer, to allow timely decisions regarding required disclosure.</w:t>
      </w:r>
    </w:p>
    <w:p>
      <w:pPr>
        <w:spacing w:after="0" w:line="15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Interim Chief Financial Officer carried out an evaluation of the effectiveness of the design and operation of our disclosure controls and procedures as of June 30, 2022. Based on that evaluation, our Chief Executive Officer and Interim Chief Financial Officer concluded that our disclosure controls and procedures were not effective as of June 30, 2022 because of the material weaknesses in internal control over financial reporting as of December 31, 2021 that we previously identified in Item 9A. “Controls and Procedures” of our Annual Report on Form 10-K for the year ended December 31, 2021 and had not been fully remediated as of June 30, 2022.</w:t>
      </w:r>
    </w:p>
    <w:p>
      <w:pPr>
        <w:spacing w:after="0" w:line="1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Notwithstanding the identified material weaknesses in internal control over financial reporting, our management has concluded that our condensed consolidated financial statements included in the Quarterly Report on Form 10-Q are fairly stated in all material respects in accordance with accounting principles generally accepted in the United States of America.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Previously Reported Material Weaknesses</w:t>
      </w:r>
    </w:p>
    <w:p>
      <w:pPr>
        <w:spacing w:after="0" w:line="1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described in more detail in Item 9A. “Controls and Procedures” of our Annual Report on Form 10-K for the year ended December 31, 2021, the material weaknesses identified related to the fact that we did not design and maintain accounting policies, procedures and controls to ensure complete, accurate and timely financial reporting in accordance with U.S. GAAP.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Plan</w:t>
      </w:r>
    </w:p>
    <w:p>
      <w:pPr>
        <w:spacing w:after="0" w:line="19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management is actively engaged and committed to taking the steps necessary to remediate the control deficiencies that constituted the material weaknesses, and these remediation activities are continuing in 2022. In addition to the remediation actions undertaken during 2021 and described in more detail in Item 9A. “Controls and Procedures” of our Annual Report on Form 10-K for the year ended December 31, 2021, we expect to engage in additional activities, including, but not limited to:</w:t>
      </w:r>
    </w:p>
    <w:p>
      <w:pPr>
        <w:spacing w:after="0" w:line="236" w:lineRule="exact"/>
        <w:rPr>
          <w:sz w:val="20"/>
          <w:szCs w:val="20"/>
          <w:color w:val="auto"/>
        </w:rPr>
      </w:pPr>
    </w:p>
    <w:p>
      <w:pPr>
        <w:ind w:left="640" w:hanging="316"/>
        <w:spacing w:after="0"/>
        <w:tabs>
          <w:tab w:leader="none" w:pos="64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Hiring more technical accounting resources to enhance our control environment;</w:t>
      </w:r>
    </w:p>
    <w:p>
      <w:pPr>
        <w:spacing w:after="0" w:line="20" w:lineRule="exact"/>
        <w:rPr>
          <w:rFonts w:ascii="Arial" w:cs="Arial" w:eastAsia="Arial" w:hAnsi="Arial"/>
          <w:sz w:val="21"/>
          <w:szCs w:val="21"/>
          <w:color w:val="auto"/>
        </w:rPr>
      </w:pPr>
    </w:p>
    <w:p>
      <w:pPr>
        <w:ind w:left="640" w:hanging="316"/>
        <w:spacing w:after="0" w:line="237" w:lineRule="auto"/>
        <w:tabs>
          <w:tab w:leader="none" w:pos="635"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Engaging external consultants to provide support and to assist us in our evaluation of more complex applications of GAAP, and to assist us with documenting and assessing our accounting policies and procedures until we have sufficient technical accounting resources;</w:t>
      </w:r>
    </w:p>
    <w:p>
      <w:pPr>
        <w:spacing w:after="0" w:line="20" w:lineRule="exact"/>
        <w:rPr>
          <w:rFonts w:ascii="Arial" w:cs="Arial" w:eastAsia="Arial" w:hAnsi="Arial"/>
          <w:sz w:val="21"/>
          <w:szCs w:val="21"/>
          <w:color w:val="auto"/>
        </w:rPr>
      </w:pPr>
    </w:p>
    <w:p>
      <w:pPr>
        <w:jc w:val="both"/>
        <w:ind w:left="640" w:hanging="316"/>
        <w:spacing w:after="0" w:line="239" w:lineRule="auto"/>
        <w:tabs>
          <w:tab w:leader="none" w:pos="635"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Implementing business process-level controls across all significant accounts and information technology general controls across all relevant systems. This includes providing training for control owners that will present expectations as it relates to the control design, execution and monitoring of such controls, including enhancements to the documentation to evidence the execution of the controls; and</w:t>
      </w:r>
    </w:p>
    <w:p>
      <w:pPr>
        <w:spacing w:after="0" w:line="23" w:lineRule="exact"/>
        <w:rPr>
          <w:rFonts w:ascii="Arial" w:cs="Arial" w:eastAsia="Arial" w:hAnsi="Arial"/>
          <w:sz w:val="21"/>
          <w:szCs w:val="21"/>
          <w:color w:val="auto"/>
        </w:rPr>
      </w:pPr>
    </w:p>
    <w:p>
      <w:pPr>
        <w:ind w:left="640" w:hanging="316"/>
        <w:spacing w:after="0" w:line="237" w:lineRule="auto"/>
        <w:tabs>
          <w:tab w:leader="none" w:pos="635"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Implementing improvements to our ERP system to enhance the accuracy of our financial records, enable the enforcement of systematic segregation of duties, and to improve our information technology general controls environment.</w:t>
      </w:r>
    </w:p>
    <w:p>
      <w:pPr>
        <w:spacing w:after="0" w:line="16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controls. As we continue to evaluate, and work to improve our controls, management may determine that additional measures to address control deficiencies or modifications to the remediation plan are necessary.</w:t>
      </w:r>
    </w:p>
    <w:p>
      <w:pPr>
        <w:spacing w:after="0" w:line="14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While we have performed certain remediation activities to strengthen our controls to address the identified material weaknesses, control weaknesses are not considered remediated until new internal controls have been operational for a period of time, are tested, and management concludes that these controls are operating effectively. We will continue to monitor the effectiveness of our remediation measures in connection with our future assessments of the effectiveness of</w:t>
      </w:r>
    </w:p>
    <w:p>
      <w:pPr>
        <w:spacing w:after="0" w:line="39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3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internal control over financial reporting and disclosure controls and procedures, and we will make any changes to the design of our plan and take such other actions that we deem appropriate given the circumstances.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9"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that occurred during the three months ended June 30, 2022 covered by this Quarterly Report on Form 10-Q that has materially affected, or is reasonably likely to materially affect, our internal control over financial reporting, other than as described herein. We are continuing to take steps to remediate the material weaknesses in our internal control over financial reporting, as discussed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Inherent Limitation on the Effectiveness of Internal Control</w:t>
      </w:r>
    </w:p>
    <w:p>
      <w:pPr>
        <w:spacing w:after="0" w:line="19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management, including our Chief Executive Officer and Interim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3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3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9"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We, and our subsidiary, are currently not a party to, and our property is not currently the subject of, any material pending legal proceedings; however, we may become involved in various claims and legal actions arising in the ordinary course of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91"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i w:val="1"/>
          <w:iCs w:val="1"/>
          <w:color w:val="auto"/>
        </w:rPr>
        <w:t>You should carefully review and consider the following risk factors and the other information contained in this Quarterly Report on Form 10-Q before deciding whether to invest in our Class A common stock.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net revenue and future prospects. In such event, the trading price of our Class A common stock could decline, and you could lose all or part of your investment. We may face additional risks and uncertainties that are not presently known to us, or that we currently deem immaterial, which may also impair our business or financial condition. The following discussion should be read in conjunction with the unaudited condensed consolidated financial statements and notes thereto included herein.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79" w:lineRule="exact"/>
        <w:rPr>
          <w:sz w:val="20"/>
          <w:szCs w:val="20"/>
          <w:color w:val="auto"/>
        </w:rPr>
      </w:pPr>
    </w:p>
    <w:p>
      <w:pPr>
        <w:ind w:right="400" w:firstLine="318"/>
        <w:spacing w:after="0" w:line="274"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risks discussed at length below. These risks include, among others, the following:</w:t>
      </w:r>
    </w:p>
    <w:p>
      <w:pPr>
        <w:spacing w:after="0" w:line="84" w:lineRule="exact"/>
        <w:rPr>
          <w:sz w:val="20"/>
          <w:szCs w:val="20"/>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COVID-19 pandemic has affected and may further materially and adversely affect our business and financial results.</w:t>
      </w:r>
    </w:p>
    <w:p>
      <w:pPr>
        <w:spacing w:after="0" w:line="24" w:lineRule="exact"/>
        <w:rPr>
          <w:rFonts w:ascii="Times New Roman" w:cs="Times New Roman" w:eastAsia="Times New Roman" w:hAnsi="Times New Roman"/>
          <w:sz w:val="18"/>
          <w:szCs w:val="18"/>
          <w:color w:val="auto"/>
        </w:rPr>
      </w:pPr>
    </w:p>
    <w:p>
      <w:pPr>
        <w:ind w:left="640" w:hanging="316"/>
        <w:spacing w:after="0" w:line="251"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If we do not continue to innovate and provide products and services that are useful to users, we may not remain competitive, which could harm our business and operating results.</w:t>
      </w:r>
    </w:p>
    <w:p>
      <w:pPr>
        <w:spacing w:after="0" w:line="130"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payors, including managed care organizations, private health insurers and government health plans, do not provide adequate reimbursement for our tests, or seek to amend or renegotiate their fee reimbursement schedules, if we are unable to comply with their requirements for reimbursement, or if we are unable to respond to payor audits or resolve payor overpayment claims favorably our commercial success could be negatively affected.</w:t>
      </w:r>
    </w:p>
    <w:p>
      <w:pPr>
        <w:spacing w:after="0" w:line="12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with the development and commercialization of our databases and our health information and genomic platforms.</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federal and state laboratory licensing requirements or standards, we could lose the ability to perform our tests or experience disruptions to our business.</w:t>
      </w:r>
    </w:p>
    <w:p>
      <w:pPr>
        <w:spacing w:after="0" w:line="7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8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7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7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9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3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40" w:right="2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the development and commercialization of our enhanced or new tests or services could materially adversely affect our business, financial condition and results of operations.</w:t>
      </w:r>
    </w:p>
    <w:p>
      <w:pPr>
        <w:spacing w:after="0" w:line="7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9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could be subject to significant fluctuation, which could increase the volatility of our stock and warrant prices and cause losses to our stockholders.</w:t>
      </w:r>
    </w:p>
    <w:p>
      <w:pPr>
        <w:spacing w:after="0" w:line="7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to fund our existing operations, develop additional products and services, commercialize new products and services or expand our operations and may have difficulties raising capital depending on financial market conditions.</w:t>
      </w:r>
    </w:p>
    <w:p>
      <w:pPr>
        <w:spacing w:after="0" w:line="7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make significant investments in our continued research and development of new products and services, which may not be successful.</w:t>
      </w:r>
    </w:p>
    <w:p>
      <w:pPr>
        <w:spacing w:after="0" w:line="137"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 and we will incur increased costs and demands on management as a result of compliance with internal control requirements, which could harm our operating results.</w:t>
      </w:r>
    </w:p>
    <w:p>
      <w:pPr>
        <w:spacing w:after="0" w:line="8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laboratories to perform certain elements of our service offerings.</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Acquisition, OPKO became a substantial holder of shares of our Class A common stock and sales by OPKO into the market in the future could cause the market price of our Class A common stock to drop significantly, even if our business is doing well.</w:t>
      </w:r>
    </w:p>
    <w:p>
      <w:pPr>
        <w:spacing w:after="0" w:line="8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successful following the Acquisition depends upon our efforts to integrate Sema4’s and GeneDx’s businesses and operations.</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successful is further dependent upon the efforts of our key personnel, including the key personnel of GeneDx following the Acquisition. The loss of key personnel could negatively impact our operations and profitability our financial condition could suffer as a result.</w:t>
      </w:r>
    </w:p>
    <w:p>
      <w:pPr>
        <w:spacing w:after="0" w:line="7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in FDA enforcement discretion for LDTs could subject our operations to much more significant regulatory requirements.</w:t>
      </w:r>
    </w:p>
    <w:p>
      <w:pPr>
        <w:spacing w:after="0" w:line="13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HIPAA security, privacy and breach notification regulations may increase our costs.</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uncertainty related to healthcare reform, pricing, coverage and reimbursement, which could reduce our revenue.</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we will be able to satisfy the continued listing standards of Nasdaq going forward and if we fail to satisfy the continued listing requirements of Nasdaq, including the minimum closing bid price requirement, Nasdaq may take steps to delist our Class A common stock.</w:t>
      </w:r>
    </w:p>
    <w:p>
      <w:pPr>
        <w:spacing w:after="0" w:line="8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protect our proprietary products, processes, and technologies, including the confidentiality of our trade secrets, could harm our competitive position.</w:t>
      </w:r>
    </w:p>
    <w:p>
      <w:pPr>
        <w:spacing w:after="0" w:line="70" w:lineRule="exact"/>
        <w:rPr>
          <w:rFonts w:ascii="Times New Roman" w:cs="Times New Roman" w:eastAsia="Times New Roman" w:hAnsi="Times New Roman"/>
          <w:sz w:val="18"/>
          <w:szCs w:val="18"/>
          <w:color w:val="auto"/>
        </w:rPr>
      </w:pPr>
    </w:p>
    <w:p>
      <w:pPr>
        <w:ind w:left="640" w:hanging="316"/>
        <w:spacing w:after="0" w:line="304" w:lineRule="auto"/>
        <w:tabs>
          <w:tab w:leader="none" w:pos="63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48" w:lineRule="exact"/>
        <w:rPr>
          <w:rFonts w:ascii="Times New Roman" w:cs="Times New Roman" w:eastAsia="Times New Roman" w:hAnsi="Times New Roman"/>
          <w:sz w:val="17"/>
          <w:szCs w:val="17"/>
          <w:color w:val="auto"/>
        </w:rPr>
      </w:pPr>
    </w:p>
    <w:p>
      <w:pPr>
        <w:ind w:left="64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increased costs and demands on management as a result of compliance with laws and regulations applicable to public companies, which could harm our operating results.</w:t>
      </w:r>
    </w:p>
    <w:p>
      <w:pPr>
        <w:spacing w:after="0" w:line="3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3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Industry and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ongoing COVID-19 pandemic has affected and may further materially and adversely affect our business and financial results.</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ongoing COVID-19 pandemic, together with related precautionary measures in response to the initial outbreak and resurgences, materially disrupted our business during certain periods in 2020 and 2021 and may continue to disrupt our business for an unknown period of time. Since the initial outbreak, we experienced a significant impact to our 2020 and 2021 operating results, including our order volumes, revenues, margins, and cash utilization, among other measures and may experience further impacts in future periods depending on the evolution of the COVID-19 pandemic.</w:t>
      </w:r>
    </w:p>
    <w:p>
      <w:pPr>
        <w:spacing w:after="0" w:line="14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Throughout 2020 and 2021, both we and our partners also undertook a number of precautionary measures in response to the virus, including requiring employees to work remotely, restricting travel and limiting interactions in person, and we expect to adjust our precautionary measures at our various locations based on local recovery levels, vaccination rates and applicable governmental regulations. Our business could be negatively affected in the future if it takes excessive, ineffective or inadequate precautions.</w:t>
      </w:r>
    </w:p>
    <w:p>
      <w:pPr>
        <w:spacing w:after="0" w:line="14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ongoing COVID-19 pandemic has materially impacted our business in 2020 and 2021 and may continue to impact our business for an unknown period of time. Such impacts have included and may include the following:</w:t>
      </w:r>
    </w:p>
    <w:p>
      <w:pPr>
        <w:spacing w:after="0" w:line="137" w:lineRule="exact"/>
        <w:rPr>
          <w:sz w:val="20"/>
          <w:szCs w:val="20"/>
          <w:color w:val="auto"/>
        </w:rPr>
      </w:pPr>
    </w:p>
    <w:p>
      <w:pPr>
        <w:jc w:val="both"/>
        <w:ind w:left="640" w:hanging="316"/>
        <w:spacing w:after="0" w:line="259"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providers or patients have canceled or delayed scheduling, and for an extended period of time may continue to cancel or delay scheduling, standard wellness visits and other non-emergency appointments and procedures (including oncology and pregnancy-related screenings), contributing to a decline in orders for our products or services;</w:t>
      </w:r>
    </w:p>
    <w:p>
      <w:pPr>
        <w:spacing w:after="0" w:line="13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travel, commerce and shipping may prevent patients and pathologists from shipping samples to our clinical laboratories;</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Illnesses, quarantines, financial hardships, restrictions on travel, commerce and shipping, or other consequences of the pandemic, may disrupt our supply chain or other business relationships, and we or other parties may assert rights under force majeure clauses to excuse performance;</w:t>
      </w:r>
    </w:p>
    <w:p>
      <w:pPr>
        <w:spacing w:after="0" w:line="136"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and for an extended period of time may continue to experience, reduced volumes at our clinical laboratories and we may need to suspend operations at some or all of our clinical laboratories;</w:t>
      </w:r>
    </w:p>
    <w:p>
      <w:pPr>
        <w:spacing w:after="0" w:line="12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taken, and may take additional, cost cutting measures, which may hinder our efforts to commercialize our products or delay the development of future products and services. Further, we might not realize all of the cost savings we expect to achieve as a result of those efforts;</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partners have postponed or cancelled clinical studies, which may delay or prevent our launch of future products and services;</w:t>
      </w:r>
    </w:p>
    <w:p>
      <w:pPr>
        <w:spacing w:after="0" w:line="19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or all of our workforce, much of which continues to work remotely in an effort to reduce the spread of COVID-19, may be infected by the virus or otherwise distracted;</w:t>
      </w:r>
    </w:p>
    <w:p>
      <w:pPr>
        <w:spacing w:after="0" w:line="123"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factors, including infection from the virus, supply shortfalls, and inability to obtain or maintain equipment, could adversely affect our lab capacity and our ability to meet the demand for our testing services; and</w:t>
      </w:r>
    </w:p>
    <w:p>
      <w:pPr>
        <w:spacing w:after="0" w:line="123"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inaccurately estimate the duration or severity of the COVID-19 pandemic, which could cause us to misalign our staffing, spending, activities and precautionary measures with current or future market conditions.</w:t>
      </w:r>
    </w:p>
    <w:p>
      <w:pPr>
        <w:spacing w:after="0" w:line="13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Despite our efforts, the ultimate impact of the COVID-19 pandemic, or the impact of the emergence of new strains of the virus and any future resurgences of COVID-19 or variant strains, depends on factors beyond our knowledge or control, including availability and distribution of effective medical treatments and vaccines, the duration and severity of the pandemic, third-party actions taken to contain its spread and mitigate its public health effects and short- and long-term changes in the behaviors of medical professionals and patients resulting from the pandemic.</w:t>
      </w:r>
    </w:p>
    <w:p>
      <w:pPr>
        <w:spacing w:after="0" w:line="14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Additionally, the economic consequences of the COVID-19 pandemic have, and may continue to, adversely impacted financial markets, resulting in high share price volatility, reduced market liquidity, and substantial declines in the market prices of the securities of many publicly traded companies. Volatile or declining markets for equities could adversely affect our ability to raise capital in the future when needed through the sale of shares of Class A common stock or other equity or</w:t>
      </w:r>
    </w:p>
    <w:p>
      <w:pPr>
        <w:spacing w:after="0" w:line="39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3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equity-linked securities. If these market conditions persist when and if we need to raise capital, and if we are able to sell shares of our Class A common stock under then prevailing market conditions, we might have to accept lower prices for our shares and issue a larger number of shares than might have been the case under better market conditions, resulting in significant dilution of the interests of our stockholders.</w:t>
      </w:r>
    </w:p>
    <w:p>
      <w:pPr>
        <w:spacing w:after="0" w:line="147"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Due to the high degree of uncertainty regarding the implementation and impact of the CARES Act and other legislation related to COVID-19, there can be no assurance that we will be able to comply with the applicable terms and conditions of the CARES Act and retain such assistance.</w:t>
      </w:r>
    </w:p>
    <w:p>
      <w:pPr>
        <w:spacing w:after="0" w:line="1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to the net interest deduction limitations. The CARES Act and similar legislation intended to provide assistance related to the COVID-19 pandemic also authorized $175.0 billion in funding to be distributed by the U.S. Department of Health and Human Services (the “HHS”), to eligible health care providers. This funding, known as the Provider Relief Fund, is designated to fund eligible healthcare providers’ healthcare-related expenses or lost revenues attributable to COVID-19. On December 27, 2020, the Consolidated Appropriations Act, 2021 was signed into law, which adds $3.0 billion to the Provider Relief Fund. Payments from the Provider Relief Fund are subject to certain eligibility criteria, as well as reporting and auditing requirements, but do not need to be repaid to the U.S. government if recipients comply with the applicable terms and conditions.</w:t>
      </w:r>
    </w:p>
    <w:p>
      <w:pPr>
        <w:spacing w:after="0" w:line="14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2020, we received $5.4 million as part of the stimulus, comprised of $2.6 million received under the PRF and $2.8 million received under the ERC. In 2021, we received an additional $5.6 million under the PRF distribution. Funds provided under the 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Funds provided under the 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the eligibility requirements were met. However, subsequent to the filing of the application, our revenue was revised due to a change in estimate as a result of finalizing our accounting records, which impacted the applicable periods and calculations for determining eligibility, and may no longer meet the eligibility requirements. As such, we have deferred the recognition of the funds received under the ERC distribution and recorded the proceeds in other liabilities on the balance sheets as of June 30, 2022 and December 31, 2021.</w:t>
      </w:r>
    </w:p>
    <w:p>
      <w:pPr>
        <w:spacing w:after="0" w:line="16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Due to the high degree of uncertainty regarding the implementation of the CARES Act, the Consolidated Appropriations Act, 2021 and other stimulus legislation, and due to our revenue revisions, there can be no assurance that the terms and conditions of the PRF, ERC or other relief programs will not change or be interpreted in ways that affect our ability to comply with such terms and conditions in the future, which could affect our ability to retain such assistance. We will continue to monitor our compliance with the terms and conditions of the PRF, including demonstrating that the distributions received have been used for healthcare-related expenses or lost revenue attributable to COVID-19, and the ERC. If we are unable to comply with current or future terms and conditions, our ability to retain some or all of the distributions received may be impacted, and we may be subject to actions including payment recoupment, audits and inquiries by governmental authorities, and criminal, civil or administrative penalties.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companies or institutions may develop and market novel or improved technologies, which may make our technologies less competitive or obsolete.</w:t>
      </w:r>
    </w:p>
    <w:p>
      <w:pPr>
        <w:spacing w:after="0" w:line="19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operate in a rapidly evolving and highly competitive industry. There are a number of private and public companies that offer products or services or have announced that they are developing products or services that compete, or may one day compete, with our products or services. Some of our current and potential competitors possess greater brand recognition, financial and other resources and development capabilities than we do. As the fields of genomic analysis and health information become more widely known to the public, we anticipate that competition will further increase. We expect to compete with a broad range of organizations in the U.S. and other countries that are engaged in the development, production and commercialization of genetic screening products, including reproductive health and women’s health and</w:t>
      </w:r>
    </w:p>
    <w:p>
      <w:pPr>
        <w:spacing w:after="0" w:line="3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3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pediatrics and NICU screening products, health information services, and analytics, and data science services, and other diagnostic products. These competitors include:</w:t>
      </w:r>
    </w:p>
    <w:p>
      <w:pPr>
        <w:spacing w:after="0" w:line="137" w:lineRule="exact"/>
        <w:rPr>
          <w:sz w:val="20"/>
          <w:szCs w:val="20"/>
          <w:color w:val="auto"/>
        </w:rPr>
      </w:pPr>
    </w:p>
    <w:p>
      <w:pPr>
        <w:ind w:left="640" w:hanging="316"/>
        <w:spacing w:after="0" w:line="274"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offer clinical, research and data clinical services, molecular genetic testing and other clinical diagnostics, life science research and drug discovery services, data services and healthcare analytics, and consumer genetics products;</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academic and scientific institutions;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agencies; and</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and private research organizations.</w:t>
      </w:r>
    </w:p>
    <w:p>
      <w:pPr>
        <w:spacing w:after="0" w:line="177"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We may be unable to compete effectively against our competitors either because their products and services are superior or because they may have more expertise, experience, financial resources, or stronger business relationships. These competitors may have broader product lines and greater name recognition than we do. Furthermore, we must compete successfully in our existing markets, including reproductive health and women’s health and pediatrics and NICU, but also in any new markets we expand into. Even if we successfully develop new marketable products or services, our current and future competitors may develop products and services that are more commercially attractive than ours, and they may bring those products and services to market earlier or more effectively than we are able to. If we are unable to compete successfully against current or future competitors, we may be unable to increase market acceptance for and sales of our tests and services, which could prevent us from increasing or sustaining our revenues or achieving sustained profitability.</w:t>
      </w:r>
    </w:p>
    <w:p>
      <w:pPr>
        <w:spacing w:after="0" w:line="13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If we do not continue to innovate and provide products and services that are useful to users, we may not remain competitive, which could harm our business and operating results.</w:t>
      </w:r>
    </w:p>
    <w:p>
      <w:pPr>
        <w:spacing w:after="0" w:line="13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business environment is rapidly evolving and intensely competitive. Our businesses face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businesses evolve, the competitive pressure to innovate will encompass a wider range of products and services. We must continue to invest significant resources in research and development, including through acquisitions and collaborations, joint ventures and partnerships, in order to enhance our current diagnostics and health information and data science technologies, and existing and new products and services based off these technologies.</w:t>
      </w:r>
    </w:p>
    <w:p>
      <w:pPr>
        <w:spacing w:after="0" w:line="14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have many competitors in different industries. Our current and potential domestic and international competitors range from large and established companies to emerging start-ups in addition to academic and scientific institutions, and public and private research organizations. Some competitors have longer operating histories in various sectors. They can use their experience and resources in ways that could affect our competitive position, including by making acquisitions, continuing to invest heavily in research and development and in talent, initiating intellectual property claims (whether or not meritorious), and continuing to compete aggressively for our customers and partners in the market for health information and data science products and services. Our competitors may be able to innovate and provide products and services faster than we can or may foresee the need for products and services before we do.</w:t>
      </w:r>
    </w:p>
    <w:p>
      <w:pPr>
        <w:spacing w:after="0" w:line="14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operating results may also suffer if our products and services are not responsive to the needs of our customers and partners. As technologies continue to develop, our competitors may be able to offer products and services that are, or that are seen to be, substantially similar to or better than our current products and services. This may force us to compete in different ways and expend significant resources in order to remain competitive. If our competitors are more successful than us in developing compelling products and services for or in attracting and retaining customers or partners in the market for health information and data science products and services, our operating results could be harmed.</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If third-party payors, including managed care organizations, private health insurers and government health plans, do not provide adequate reimbursement for our tests, or seek to amend or renegotiate their fee reimbursement schedules, if we are unable to comply with their requirements for reimbursement, or if we are unable to respond to payor audits or resolve payor overpayment claims favorably, our commercial success could be negatively affected.</w:t>
      </w:r>
    </w:p>
    <w:p>
      <w:pPr>
        <w:spacing w:after="0" w:line="14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ability to increase the number of billable tests and our revenue therefrom will depend on our success in achieving reimbursement for our tests from third-party payors. Reimbursement by a payor may depend on a number of factors, including a payor’s determination that a test is appropriate, medically necessary, cost-effective and has received prior authorization. The commercial success of our current and future products, if approved, will depend on the extent to which</w:t>
      </w:r>
    </w:p>
    <w:p>
      <w:pPr>
        <w:spacing w:after="0" w:line="39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3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customers receive coverage and adequate reimbursement from third-party payors, including managed care organizations and government payors (e.g., Medicare and Medicaid).</w:t>
      </w:r>
    </w:p>
    <w:p>
      <w:pPr>
        <w:spacing w:after="0" w:line="13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Since each payor makes its own decision as to whether to establish a policy or enter into a contract to cover our tests, as well as the amount it will reimburse for a test, seeking these approvals is a time-consuming and costly process. In addition, the determination by a payor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United States, and the Centers for Medicare &amp; Medicaid Services (“CMS”) provides reimbursement for our multi-gene tests for hereditary breast and ovarian cancer-related disorders as well as other tests. We believe that establishing adequate reimbursement from Medicare is an important factor in gaining adoption from healthcare providers. Our claims for reimbursement from third-party payors may be denied upon submission, and we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15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 significant portion of the payments for our tests are paid or reimbursed under insurance programs with third-party payors. 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spacing w:after="0" w:line="14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Furthermore, in cases where we or our partners have established reimbursement rates with third-party payors, we face additional challenges in complying with their procedural requirements for reimbursement. These requirements often vary from payor to payor and are reassessed by third party payors on a regular basis, and we have needed additional time and resources to comply with them. We have also experienced, and may continue to experience, delays in or denials of coverage if we do not adequately comply with these requirements. Our third-party payors have also requested, and in the future may request, audits of the amounts paid to us. For example, we are currently engaged in discussions with one of our third-party payors regarding certain overpayments we allegedly received from the payor for services that the payor alleges are not covered by, or were not otherwise properly billed to, the payor. This payor has asserted that it will seek recovery or recoupment in relation to the alleged overpayments, if the matter cannot be settled. As a result of this matter and other potential settlements with payors, we have established certain liabilities and reversed certain of our previously recorded revenue. For more information regarding this matter, see Note 4, “Revenue Recognition” to our unaudited condensed consolidated financial statements included within this Quarterly Report. We have been required to repay certain amounts to payors as a result of such audits, and we could be adversely affected if we are required to repay other payors for alleged overpayments due to lack of compliance with their reimbursement policies as well as agree to lower contracted reimbursement rates in connection with resolving claims of alleged overpayments. In addition, we have experienced, and may continue to experience, delays in reimbursement when we transition to being an in-network provider with a payor.</w:t>
      </w:r>
    </w:p>
    <w:p>
      <w:pPr>
        <w:spacing w:after="0" w:line="16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experience with the development and commercialization of our databases and our health information and genomic platforms.</w:t>
      </w:r>
    </w:p>
    <w:p>
      <w:pPr>
        <w:spacing w:after="0" w:line="18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have limited experience with the development or commercialization of clinical or research products in connection with the databases we manage and to which we have access, including our Centrellis and Traversa platforms. Our partners’ usage of an advanced machine learning engine for therapeutic decision-making are at an early stage of development and usage under current and proposed collaborations, and we are continuing to develop new processes that may support the development of new therapeutics applications such as the delivery of personalized clinically actionable insights into clinical reports, clinical trial matching, real-world evidence trials, and clinical decision support, via an advanced programmable interface layer. Although our partners have invested significant financial resources to develop and utilize new technologies to support preclinical studies and other early research and development activities, and provide general and administrative support for these operations, our future success is dependent on our current and future partners’ ability to successfully derive actionable insights from the database and our platform, and our partners’ ability, where applicable, to obtain regulatory approval for new therapeutic solutions based off existing models or to obtain regulatory approval and</w:t>
      </w:r>
    </w:p>
    <w:p>
      <w:pPr>
        <w:spacing w:after="0" w:line="3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3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marketing for, and to successfully commercialize, new therapeutics. The use of our platform and the databases it manages and to which it has access for these purposes will require additional regulatory investments for Centrellis, such as “good practice” quality guidelines and regulations (“GxP”), and data quality and integrity controls.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Ethical, legal and social concerns related to the use of genomic medicine and health information analysis could reduce demand for our tests.</w:t>
      </w:r>
    </w:p>
    <w:p>
      <w:pPr>
        <w:spacing w:after="0" w:line="18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 consent for our use of their data. These and other ethical, legal and social concerns may limit market acceptance of our tests or services or reduce the potential markets for our tests, or services either of which could have an adverse effect on our business, research, financial condition or results of operations.</w:t>
      </w:r>
    </w:p>
    <w:p>
      <w:pPr>
        <w:spacing w:after="0" w:line="14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laboratory licensing requirements or standards, we could lose the ability to perform our tests or experience disruptions to our business.</w:t>
      </w:r>
    </w:p>
    <w:p>
      <w:pPr>
        <w:spacing w:after="0" w:line="13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are subject to Clinical Laboratory Improvement Amendments of 1988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certification is also required in order for us to be eligible to bill state and federal healthcare programs, as well as many private third-party payors, for our tests. We have current CLIA, CAP, and other certifications to conduct our tests at our laboratories in Connecticut. To renew these certifications, we are subject to survey and inspection on a regular basis and at the request of the certifying bodies. Moreover, CLIA inspectors may make random inspections of our clinical reference laboratories.</w:t>
      </w:r>
    </w:p>
    <w:p>
      <w:pPr>
        <w:spacing w:after="0" w:line="14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would also be required to maintain in-state licenses if we were to conduct testing in other states. Several states require the licensure of out-of-state laboratories that accept specimens from certain states.</w:t>
      </w:r>
    </w:p>
    <w:p>
      <w:pPr>
        <w:spacing w:after="0" w:line="12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addition to having laboratory licenses in New York, our clinical reference laboratories are approved on test-specific bases for the tests they run as laboratory-developed tests (“LDTs”), by the New York State Department of Health (“NYDOH”). Other states may adopt similar licensure requirements in the future, which may require us to modify, delay or stop our operations in such jurisdictions.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samples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6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Failure to comply with applicable clinical laboratory licensure requirements or standards may result in a range of enforcement actions, including license suspension, limitation, or revocation, directed plan of action, onsite monitoring, civil monetary penalties, criminal sanctions, and cancellation of the laboratory’s approval to receive Medicare and Medicaid payment for our services, as well as significant adverse publicity. Any sanction imposed under CLIA, its implementing regulations, or state or foreign laws or regulations governing clinical laboratory licensure, or our failure to renew our CLIA certifications,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4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College of American Pathologists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CAP accreditations for our laboratories. Failure to maintain CAP accreditation could have a material adverse effect on the sales of our tests and the results of our operations.</w:t>
      </w:r>
    </w:p>
    <w:p>
      <w:pPr>
        <w:spacing w:after="0" w:line="3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3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Risks Related to GeneDx’s Business and Operations</w:t>
      </w:r>
    </w:p>
    <w:p>
      <w:pPr>
        <w:spacing w:after="0" w:line="1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GeneDx needs to scale its infrastructure in advance of demand for its tests, and its failure to generate sufficient demand for its tests would have a negative impact on its business and its ability to attain profitability.</w:t>
      </w:r>
    </w:p>
    <w:p>
      <w:pPr>
        <w:spacing w:after="0" w:line="121"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GeneDx’s success depends in large part on its ability to extend its market position, to provide customers with high-quality test reports quickly and at a lower price than its competitors, and to achieve sufficient test volume to realize economies of scale. GeneDx’s overall test volumes grew from approximately 134 thousand to 169 thousand tests processed during the years ended December 31, 2020 and 2021. In addition, GeneDx regularly evaluates and refines its testing process, often significantly updating its workflows, including with respect to exome sequencing and whole genome sequencing. In order to execute GeneDx’s business model, it intends to continue to invest heavily in order to significantly scale its infrastructure, including GeneDx’s testing capacity, particularly, with respect to exome sequencing and whole genome sequencing to supplement its panel testing capabilities, and information systems, expand its commercial operations, customer service, billing and systems processes and enhance its internal quality assurance program. GeneDx expects that much of this growth will be in advance of demand for its tests. GeneDx’s and Sema4’s current and future expense levels are to a large extent fixed and are largely based on investment plans and estimates of future revenue. Because the timing and amount of revenue from GeneDx’s tests is difficult to forecast, when revenue does not meet expectations, GeneDx may not be able to adjust its spending promptly or reduce spending to levels commensurate with its revenue. Even if GeneDx successfully scales its infrastructure and operations, there can be no assurance that tests will increase at levels consistent with the growth of GeneDx’s infrastructure. If GeneDx fails to generate demand commensurate with this growth or if it fails to scale its infrastructure sufficiently in advance of demand to successfully meet such demand, its business, prospects, financial condition and results of operations could be adversely affected.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GeneDx is not able to continue to generate substantial demand of its tests, its commercial success will be negatively affected.</w:t>
      </w:r>
    </w:p>
    <w:p>
      <w:pPr>
        <w:spacing w:after="0" w:line="19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GeneDx’s business model assumes that it will be able to generate significant test volume, particularly with respect to exome sequencing and whole genome sequencing in addition to its panel testing offerings, and it may not succeed in continuing to drive adoption of its tests to achieve sufficient volumes. Inasmuch as detailed genetic data from exome and whole genome sequencing has only recently become available at relatively affordable prices, the continued pace and degree of clinical acceptance of the utility of such testing is uncertain. Specifically, it is uncertain how much genetic data will be accepted as necessary or useful, as well as how detailed that data should be, particularly since medical practitioners may have become accustomed to genetic testing that is specific to one or a few genes and may not embrace the utility of exome sequencing and whole genome sequencing. Given the substantial amount of additional information available from a broad-based testing panel such as GeneDx’s, there may be distrust as to the reliability of such information when compared with more limited and focused genetic tests. To generate further demand for GeneDx’s tests, GeneDx will need to continue to make clinicians aware of the benefits of its tests, including the price, the breadth of its testing options, and the benefits of having additional genetic data available from which to make treatment decisions. A lack of or delay in clinical acceptance of GeneDx’s exome sequencing and whole genome sequencing testing, or its legacy broad-based panels testing, would negatively impact sales and market acceptance of GeneDx’s tests and limit its revenue growth and potential profitability. Genetic testing is expensive and many potential customers may be sensitive to pricing. In addition, potential customers may not adopt GeneDx’s tests if adequate reimbursement is not available, or if GeneDx is not able to maintain low prices relative to its competitors.</w:t>
      </w:r>
    </w:p>
    <w:p>
      <w:pPr>
        <w:spacing w:after="0" w:line="1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If GeneDx is not able to generate demand for its tests at sufficient volume, or if it takes significantly more time to generate this demand than GeneDx anticipates, GeneDx’s business, prospects, financial condition and results of operations could be materially harmed.</w:t>
      </w:r>
    </w:p>
    <w:p>
      <w:pPr>
        <w:spacing w:after="0" w:line="12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GeneDx has devoted a portion of its resources to the development and commercialization of exome sequencing and whole genome sequencing, and to research and development activities related to such sequencing and the analysis thereof, including clinical and regulatory initiatives to obtain diagnostic clearance and marketing approval. The demand for these regulated products is relatively unproven, and GeneDx may not be successful in achieving market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awareness and demand for these products through our sales and marketing operations</w:t>
      </w:r>
      <w:r>
        <w:rPr>
          <w:rFonts w:ascii="Times New Roman" w:cs="Times New Roman" w:eastAsia="Times New Roman" w:hAnsi="Times New Roman"/>
          <w:sz w:val="21"/>
          <w:szCs w:val="21"/>
          <w:color w:val="008080"/>
        </w:rPr>
        <w:t>.</w:t>
      </w:r>
    </w:p>
    <w:p>
      <w:pPr>
        <w:spacing w:after="0" w:line="172"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GeneDx’s laboratories become inoperable due to disasters, health epidemics or for any other reasons, it will be unable to perform tests and its business will be harmed.</w:t>
      </w:r>
    </w:p>
    <w:p>
      <w:pPr>
        <w:spacing w:after="0" w:line="12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GeneDx performs all of its tests at its production facilities in Gaithersburg, Maryland. GeneDx’s laboratories and the equipment it uses to perform its tests would be costly to replace and could require substantial lead time to replace and</w:t>
      </w:r>
    </w:p>
    <w:p>
      <w:pPr>
        <w:spacing w:after="0" w:line="3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3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qualify for use. GeneDx’s laboratories may be harmed or rendered inoperable by natural or man-made disasters, including flooding, fire and power outages, or by health epidemics, which may render it difficult or impossible for GeneDx to perform its tests for some period of time. The inability to perform GeneDx’s tests or the backlog that could develop if its laboratories are inoperable for even a short period of time may result in the loss of customers or harm its reputation. Although GeneDx maintains insurance for damage to its property and the disruption of its business, this insurance may not be sufficient to cover all potential losses and may not continue to be available to GeneDx on acceptable terms, if at all.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Model</w:t>
      </w:r>
    </w:p>
    <w:p>
      <w:pPr>
        <w:spacing w:after="0" w:line="1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performance, including our research and development programs and laboratory operations, largely depends on our continuing ability to identify, hire, develop, motivate and retain highly skilled personnel for all areas of our organization, including software developers, geneticists, biostatisticians, bioinformaticians, data scientists, certified laboratory directors and technicians and other scientific and technical personnel to process and interpret our tests and related data. In addition, we may need to continue to expand our sales force with qualified and experienced personnel. Competition in our industry for qualified employees is intense, and we may not be able to attract or retain qualified personnel in the future due to the competition for qualified personnel among life science and technology businesses as well as universities and public and private research institutions, particularly in the New York City and the tri-state area. Further, we may be unable to obtain the necessary visas for foreign personnel to work in the United States. In addition, our compensation arrangements, such as our equity award programs, may not always be successful in attracting new employees and retaining and motivating our existing employees. If we are not able to attract and retain the necessary personnel to accomplish our business objectives, we may experience constraints that could adversely affect our ability to scale our business, support our research and development efforts and our clinical laboratories.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member or change in structure of our senior management team could adversely affect our business.</w:t>
      </w:r>
    </w:p>
    <w:p>
      <w:pPr>
        <w:spacing w:after="0" w:line="18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success depends in large part upon the skills, experience and performance of members of our executive management team and others in key leadership positions. The efforts of these persons will be critical to us as we continue to develop our technologies and test processes and focus on scaling our business. If we were to lose one or more key executives, including our Chief Executive Officer, Katherine Stueland, we may experience difficulties in competing effectively, developing our tests and technologies and implementing our business strategy. Only certain of our executives have employment contracts, and the majority of our employees are at-will, which means that either we or any employee may terminate their employment at any time or in the notice period set forth in an executive’s contract. In addition, we do not have long-term retention agreements in place with our executive officers. Furthermore, we compete against other leading companies in the diagnostics, health information, and data sciences markets for top talent. If such competitors offer better compensation or opportunities, there is no guarantee that we would be able to retain our key executives.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future growth effectively, which could make it difficult to execute our business strategy.</w:t>
      </w:r>
    </w:p>
    <w:p>
      <w:pPr>
        <w:spacing w:after="0" w:line="19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expected future growth could create a strain on our organizational, administrative and operational infrastructure, including data and laboratory operations, quality control, customer service, marketing and sales, and management. We may not be able to maintain the quality of or expected turnaround times for our products or services, or satisfy customer demand as it grows. We may need to continue expanding our sales force to facilitate our growth, and we may have difficulties locating, recruiting, training and retaining sales personnel. Our ability to manage our growth effectively will require us to continue to improve our operational, financial and management controls, as well as our reporting systems and procedures. As we grow, any failure of our controls or interruption of our facilities or systems could have a negative impact on our business and financial operations. We plan to develop and launch new versions of our Centrellis and Traversa platforms and our core diagnostic products, which will affect a broad range of business processes and functional areas. The time and resources required to implement these new systems is uncertain, and failure to complete these activities in a timely and efficient manner could adversely affect our operations. Future growth in our business could also make it difficult for it to maintain our corporate culture. If we are unable to manage our growth effectively, it may be difficult for us to execute our business strategy and our business could be harmed.</w:t>
      </w: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3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134"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Our success depends in large part on our ability to extend our market position, to provide customers with high-quality health reports and health information and data science services in a manner that differentiates us from our competitors, and to deploy technologies and achieve sufficient volumes to realize economies of scale. In order to execute our business model, we intend to continue to invest heavily in order to significantly scale our infrastructure, including our lab infrastructure and testing capacity and our information and computing systems, expand our commercial operations, customer service, billing and systems processes and enhance our internal quality assurance program. We will also need to enhance our capacity for data privacy management as we scale our infrastructure. We expect that much of this growth will be in advance of both demand for our products and services as well as our ability to diversify our offerings, including services related to Centrellis and Traversa and the databases we manage and to which we have access, and our ability to find appropriate partners through collaborations and acquisitions. Our current and future expense levels are to a large extent fixed and are largely based on our investment plans and our estimates of future revenue. Because the timing and amount of revenue from our products and services are difficult to forecast, when revenue does not meet our expectations, we may not be able to adjust our spending promptly or reduce our spending to levels commensurate with our revenue. Even if we are able to successfully scale our infrastructure and operations while successfully diversifying our offering, we cannot assure you that demand for our products and services, including our Centrellis platform, will increase at levels consistent with the growth of our infrastructure. If we fail to generate demand commensurate with this growth or if we fail to scale our infrastructure sufficiently in advance of demand to successfully meet such demand, our business, prospects, financial condition and results of operations could be adversely affected.</w:t>
      </w:r>
    </w:p>
    <w:p>
      <w:pPr>
        <w:spacing w:after="0" w:line="15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could expose us to business, regulatory, political, operational, financial and economic risks associated with doing business outside of the United States.</w:t>
      </w:r>
    </w:p>
    <w:p>
      <w:pPr>
        <w:spacing w:after="0" w:line="1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When cleared, authorized or approved, we and our collaborators may market, sell, and distribute our products and services outside of the United States, and our business would be subject to risks associated with doing business outside of the United States, including an increase in our expenses and diversion of our management’s attention from the development of future products and services. Accordingly, our business and financial results in the future could be adversely affected due to a variety of factors, including:</w:t>
      </w:r>
    </w:p>
    <w:p>
      <w:pPr>
        <w:spacing w:after="0" w:line="154" w:lineRule="exact"/>
        <w:rPr>
          <w:sz w:val="20"/>
          <w:szCs w:val="20"/>
          <w:color w:val="auto"/>
        </w:rPr>
      </w:pPr>
    </w:p>
    <w:p>
      <w:pPr>
        <w:jc w:val="both"/>
        <w:ind w:left="640" w:hanging="316"/>
        <w:spacing w:after="0" w:line="259"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security and data use regulations, tax laws, export and import restrictions, economic sanctions and embargoes, employment laws, anticorruption laws, regulatory requirements, reimbursement or payor regimes and other governmental;</w:t>
      </w:r>
    </w:p>
    <w:p>
      <w:pPr>
        <w:spacing w:after="0" w:line="13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approvals, permits and licenses;</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our collaborators or our distributors to obtain regulatory clearance, authorization or approval for the use of our products and services in various countries;</w:t>
      </w:r>
    </w:p>
    <w:p>
      <w:pPr>
        <w:spacing w:after="0" w:line="136"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relevant third-party patent rights;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intellectual property protection and enforcing our intellectual property;</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 including repatriating foreign earned profits;</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negotiating favorable reimbursement negotiations with governmental authorities;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samples, including infrastructure conditions and transportation delays;</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 if we are not able to conduct our clinical diagnostic services locally;</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products and services and exposure to foreign currency exchange rate fluctuations;</w:t>
      </w:r>
    </w:p>
    <w:p>
      <w:pPr>
        <w:spacing w:after="0" w:line="3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3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hanging="316"/>
        <w:spacing w:after="0" w:line="274"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regulations and license requirements that may restrict foreign investment in and operation of the internet, IT infrastructure, data centers and other sectors, and international transfers of data;</w:t>
      </w:r>
    </w:p>
    <w:p>
      <w:pPr>
        <w:spacing w:after="0" w:line="136"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and outbreak of disease;</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boycotts, curtailment of trade and other business restrictions; and</w:t>
      </w:r>
    </w:p>
    <w:p>
      <w:pPr>
        <w:spacing w:after="0" w:line="177"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distributors’ activities that may fall within the purview of the Foreign Corrupt Practices Act of 1977 (“FCPA”), its books and records provisions, or its anti-bribery provisions or laws similar to the FCPA in other jurisdictions in which we may in the future operate, such as the United Kingdom’s Bribery Act of 2010 and anti-bribery requirements of member states in the European Union (“EU”).</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Any of these factors could significantly harm our future international expansion and operations and, consequently, our revenue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U.S. or global economic conditions could adversely affect our business, financial condition or results of operations.</w:t>
      </w:r>
    </w:p>
    <w:p>
      <w:pPr>
        <w:spacing w:after="0" w:line="1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financial markets. A severe or prolonged economic downturn or increase in inflation rates could result in a variety of risks to our business, including weakened demand for our products and services and our ability to raise additional capital when needed on favorable terms, if at all. A weak declining or inflationary economy could strain our collaborators and suppliers,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spacing w:after="0" w:line="1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121"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We have sourced and will continue to source components of our diagnostic testing workflow, including sequencers and other laboratory equipment, reagents, lab supplies and other laboratory services and materials and related services, from third parties.</w:t>
      </w:r>
    </w:p>
    <w:p>
      <w:pPr>
        <w:spacing w:after="0" w:line="12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failure to maintain a continued supply of our sequencers and other laboratory equipment, reagents, lab supplies and other laboratory services and materials, along with the right to use certain hardware and software and related services, would adversely impact our business, financial condition, and results of operations. In particular, while we are seeking to validate our tests on additional sequencing platforms we have not, to date, validated a viable alternative sequencing platform on which our testing could be run in a commercially viable manner. These efforts will require significant resources, expenditures and time and attention of management, and there is no guarantee that we will be successful in implementing any such sequencing platforms in a commercially sustainable way. We also cannot guarantee that we will appropriately prioritize or select alternative sequencing platforms on which to focus our efforts, in particular given our limited product and research and development resources and various business initiatives, which could result in increased costs and delayed timelines or otherwise adversely impact our business and results of operations.</w:t>
      </w:r>
    </w:p>
    <w:p>
      <w:pPr>
        <w:spacing w:after="0" w:line="16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Because we rely on third-party manufacturers, we do not control the manufacture of these components, including whether such components will meet our quality control requirements, nor the ability of our suppliers to comply with applicable legal and regulatory requirements. In many cases, our suppliers are not contractually required to supply these components to the quality or performance standards that we require. If the supply of components we receive does not meet our quality control or performance standards, we may not be able to use the components, or if we use them not knowing that they are of inadequate quality, which occasionally occurs with respect to certain reagents, our tests may not work properly or at all, or may provide erroneous results, and we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our third-party manufacturers' facilities that cause a loss of manufacturing capacity would heighten the risks that it faces.</w:t>
      </w: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3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the event of any adverse developments with our sole suppliers, or if any of our sole suppliers modifies any of the components they supply to us, our ability to supply our products may be interrupted, and obtaining substitute components could be difficult or require us to re-design or re-validate our products. Our failure to maintain a continued supply of components, or a supply that meets our quality control requirements, or changes to or termination of our agreements or inability to renew our agreements with these parties or enter into new agreements with other suppliers could result in the loss of access to important components of our tests and impact our test performance or affect our ability to perform our tests in a timely manner or at all, which could impair, delay or suspend our commercialization activities. In the event that we transition to a new supplier from any of our sole suppliers, doing so could be time-consuming and expensive, may result in interruptions in our ability to supply our products to the market, could affect the performance of our tests or could require that we re-validate our affected tests using replacement equipment and supplies, which could delay the performance of our tests, impact diagnostic solutions and heath information derived from such tests, and result in increased costs. Any of these occurrences could have a material adverse effect on our business, financial condition and results of operations.</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3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currently rely upon third-party services for data storage and workflow management, including cloud storage solution providers, such as Amazon Web Services, or AWS, and Google Cloud Platform, or GCP. We rely on each of AWS and GCP features to complete several vital workflows in our health information and data science service delivery. To varying degrees some of those services are proprietary to how each platform performs in connection with our current usage of the services. Further, we have also built several proprietary workflows with our vendor and partner Command Health where we maintain versions of developed software on such platforms.</w:t>
      </w:r>
    </w:p>
    <w:p>
      <w:pPr>
        <w:spacing w:after="0" w:line="14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Nearly all of our data storage and analytics are conducted on, and the data and content we generate on our platforms are processed through, servers hosted by these providers, particularly AWS and GCP. We also rely on email service providers, bandwidth providers, internet service providers and mobile networks to deliver communications to patients, physicians and partners and to allow patients, physicians and our partners to access various offerings from our platforms.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AWS or GCP, and if such agreements are terminated, we may not be able to enter into similar relationships in the future on reasonable terms or at all.</w:t>
      </w:r>
    </w:p>
    <w:p>
      <w:pPr>
        <w:spacing w:after="0" w:line="160"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Any damage to, or failure of, our systems or the systems of our third-party data centers or our other third-party providers could result in interruptions to the availability or functionality of database and platforms. As a result, we could lose health information data and miss opportunities to acquire and retain patients, physicians and partners including health systems and pharmaceutical and biotech companies,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incur additional expense in arranging for new or redesigned facilities, technology, services and support. In addition, the failure of our third-party data centers or any other third-party providers to meet our capacity needs or any system failure as a result of reliance on third parties, including network, software or hardware failure, which causes a delay or interruption in our services and products, including our ability to handle existing or increased processing of data on our platforms, could have a material adverse effect on our business, revenues, operating results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and future products and services may never achieve significant commercial market acceptance.</w:t>
      </w:r>
    </w:p>
    <w:p>
      <w:pPr>
        <w:spacing w:after="0" w:line="18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success depends on the market’s confidence that we can provide data-driven research and diagnostic products and services that improve clinical outcomes, lower healthcare costs and enable better product development by Biopharma companies. Failure of our products and services, or those jointly developed with our collaborators, to perform as expected or to be updated to meet market demands could significantly impair our operating results and our reputation. We believe patients, health systems, clinicians, academic institutions and Biopharma companies are likely to be particularly sensitive to defects, errors, inaccuracies and delays with our products and services. Furthermore, inadequate performance of these products or services may result in lower confidence in our Centrellis platform in general.</w:t>
      </w:r>
    </w:p>
    <w:p>
      <w:pPr>
        <w:spacing w:after="0" w:line="3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3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We and our collaborators may not succeed in achieving significant commercial market acceptance for our current or future products and services due to a number of factors, including:</w:t>
      </w:r>
    </w:p>
    <w:p>
      <w:pPr>
        <w:spacing w:after="0" w:line="137" w:lineRule="exact"/>
        <w:rPr>
          <w:sz w:val="20"/>
          <w:szCs w:val="20"/>
          <w:color w:val="auto"/>
        </w:rPr>
      </w:pPr>
    </w:p>
    <w:p>
      <w:pPr>
        <w:jc w:val="both"/>
        <w:ind w:left="640" w:hanging="316"/>
        <w:spacing w:after="0" w:line="259"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the utility of our platforms including Centrellis and Traversa, and related products and services and their potential advantages over existing clinical artificial intelligence technology, life sciences research, clinical diagnostic and drug discovery technologies to academic institutions, Biopharma companies and the medical community;</w:t>
      </w:r>
    </w:p>
    <w:p>
      <w:pPr>
        <w:spacing w:after="0" w:line="13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that of our collaborators, to perform clinical trials or other research to gather adequate evidence and/or to secure and maintain FDA and other regulatory clearance authorization or approval for our products or products developed based off our platform;</w:t>
      </w:r>
    </w:p>
    <w:p>
      <w:pPr>
        <w:spacing w:after="0" w:line="12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by third-party payors to reimburse our products or services, the scope and extent of which will affect patients’ willingness or ability to pay for our products or services and will likely heavily influence physicians’ decisions to recommend our products or services;</w:t>
      </w:r>
    </w:p>
    <w:p>
      <w:pPr>
        <w:spacing w:after="0" w:line="136"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of our platforms and related products and services by academic institutions, clinicians, patients, key opinion leaders, advocacy groups and Biopharma companies; and</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product and services, and technological innovation and commercial growth.</w:t>
      </w:r>
    </w:p>
    <w:p>
      <w:pPr>
        <w:spacing w:after="0" w:line="177" w:lineRule="exact"/>
        <w:rPr>
          <w:sz w:val="20"/>
          <w:szCs w:val="20"/>
          <w:color w:val="auto"/>
        </w:rPr>
      </w:pPr>
    </w:p>
    <w:p>
      <w:pPr>
        <w:ind w:right="160" w:firstLine="318"/>
        <w:spacing w:after="0" w:line="251" w:lineRule="auto"/>
        <w:rPr>
          <w:sz w:val="20"/>
          <w:szCs w:val="20"/>
          <w:color w:val="auto"/>
        </w:rPr>
      </w:pPr>
      <w:r>
        <w:rPr>
          <w:rFonts w:ascii="Times New Roman" w:cs="Times New Roman" w:eastAsia="Times New Roman" w:hAnsi="Times New Roman"/>
          <w:sz w:val="18"/>
          <w:szCs w:val="18"/>
          <w:color w:val="auto"/>
        </w:rPr>
        <w:t>Additionally, our customers and collaborators, including the Mount Sinai Health System, which refer to together with its related entities as Mount Sinai, may decide to decrease or discontinue their use of our products and services due to changes in their research and development plans, failures in their clinical trials, financial constraints, the regulatory environment, negative publicity about our products and services, competing products or the reimbursement landscape, all of which are circumstances outside of our control. We may not be successful in addressing these or other factors that might affect the market acceptance of our products, services and technologies. Failure to achieve widespread market acceptance of our platform and related products and services would materially harm our business, financial condition and results of operations.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13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operate in rapidly changing and competitive industries and our projections are subject to the risks and assumptions made by our management with respect to these industries. Operating results are difficult to forecast as they generally depend on our assessment of the timing of adoption of our current and future products and services, which is uncertain. Furthermore, as we invest in the continued development of new businesses that have yet to achieve significant commercial success, whether because of competition or otherwise, we may not recover the often substantial up-front costs of developing and marketing those products and services or recover the opportunity cost of diverting management and financial resources away from other products or services. Additionally, our business may be affected by reductions in customer or partner demand as a result of a number of factors which may be difficult to predict. Similarly, our assumptions and expectations with respect to margins and the pricing of our products and services may not prove to be accurate as a result of competitive pressures or customer or partner demands. This may result in decreased revenue, and we may be unable to adopt measures in a timely manner to compensate for any unexpected shortfall in revenue. This inability could cause our operating results in a given quarter or year to be higher or lower than expected. Any failure to achieve our projected operating results could harm the trading price of our securities and our financial position.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estimated the sizes of the markets for our current and future products and services, and these markets may be smaller than we estimate.</w:t>
      </w:r>
    </w:p>
    <w:p>
      <w:pPr>
        <w:spacing w:after="0" w:line="195"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Our estimates of the annual addressable markets for our current products and services and those under development are based on a number of internal and third-party estimates, including, without limitation, the number of patients who have developed one or more of a broad range of cancers, the number of individuals who are at a higher risk for developing one or more of a broad range of cancers, the number of individuals who have developed or are at a higher risk of developing certain disorders, the number of individuals with certain infectious diseases. The estimates also depend on whether we or our collaborators are able to engage, diagnose or treat patients through or using our products and services, the number of potential clinical tests utilized per treatment course per patient, the ongoing engagement by patients, physicians and health systems on our platforms, and the assumed prices at which we can sell our current and future products and services for markets that have not been established. While we believe our assumptions and the data underlying our estimates are</w:t>
      </w:r>
    </w:p>
    <w:p>
      <w:pPr>
        <w:spacing w:after="0" w:line="38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3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reasonable, these assumptions and estimates may not be correct and the conditions supporting our assumptions or estimates may change at any time, thereby reducing the predictive accuracy of these underlying factors. As a result, our estimates of the annual addressable market for our current or future products and services may prove to be incorrect. If the actual number of patients who would benefit from our products or services, the price at which we can sell future products and services or the annual addressable market for our products or services is smaller than we have estimated, it may impair our sales growth and have an adverse impact on our business.</w:t>
      </w:r>
    </w:p>
    <w:p>
      <w:pPr>
        <w:spacing w:after="0" w:line="1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Uncertainty in the development and commercialization of our enhanced or new tests or services could materially adversely affect our business, financial condition and results of operations.</w:t>
      </w:r>
    </w:p>
    <w:p>
      <w:pPr>
        <w:spacing w:after="0" w:line="121"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Our success will depend in part on our ability to effectively introduce enhanced or new offerings. The focus of our research and development efforts has expanded beyond our current products and services, focused substantially on women’s health and oncology, as we are now also applying our expertise in processing and analyzing new areas, such as rare diseases. In recent years we have developed and/or launched several new products or enhanced versions of existing products, including products leveraging alternative sequencing technologies, and we expect to continue our efforts in all of these areas and more. The development and launch of enhanced or new tests requires the completion of certain clinical development and commercialization activities that are complex, costly, time-intensive and uncertain, and requires us to accurately anticipate patients', clinicians', payors' and other counterparties' attitudes and needs as well as emerging technology and industry trends. This process is conducted in various stages, and each stage presents the risk that we will not achieve our goals.</w:t>
      </w:r>
    </w:p>
    <w:p>
      <w:pPr>
        <w:spacing w:after="0" w:line="134"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We have relatively limited experience developing and commercializing products and services outside of the fields of reproductive health and women’s health and pediatrics and NICU diagnostics, and we may not be successful in our current or future efforts to do so. We also have limited experience forecasting our future financial performance from our new products and services, and our actual results may fall below our financial guidance or other projections, or the expectations of analysts or investors, which could cause the price of our Class A common stock and warrants to decline. We may experience research and development, regulatory, marketing and other difficulties that could delay or prevent our introduction of enhanced or new tests and result in increased costs and the diversion of management's attention and resources from other business matters, such as from our current product and service offerings, which currently represent the significant majority of our current revenues. For example, any tests that we may enhance or develop may not prove to be clinically effective in clinical trials or commercially, or may not meet our desired target product profile, be offered at acceptable cost and with the sensitivity, specificity and other test performance metrics necessary to address the relevant clinical need or commercial opportunity; our test performance in commercial experience may be inconsistent with our validation or other clinical data; we may not be successful in achieving market awareness and demand, whether through our own sales and marketing operations or through collaborative arrangements; healthcare providers may not order or use, or third-party payors may not reimburse for, any tests that we may enhance or develop; or we may otherwise have to abandon a test or service in which we have invested substantial resources. For example, we are subject to the risk that the biological characteristics of the genetic mutations we seek to target, and upon which our technologies rely, are uncertain and difficult to predict. We may also experience unforeseen difficulties when implementing updates to our processes.</w:t>
      </w:r>
    </w:p>
    <w:p>
      <w:pPr>
        <w:spacing w:after="0" w:line="15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cannot assure you that we can successfully complete the development of any new or enhanced product, or that we can establish or maintain the collaborative relationships that may be essential to our collaborators’ goals, including clinical development or commercialization efforts. For example, clinical development requires large numbers of patient specimens and, for certain products, may require large, prospective, and controlled clinical trials. We may not be able to identify and help enroll patients or collect a sufficient amount of appropriate health data in a timely manner; or we may experience delays during data analysis process due to slower than anticipated supplies of patient data, or due to changes in study design or inputs, or other unforeseen circumstances; or we or our collaborators may be unable to afford or manage the large-sized clinical trials that some of our planned future products may require. Further, the publication of clinical data in peer-reviewed journals is a crucial step in commercializing and obtaining reimbursement for certain diagnostic solutions such as the ones offered by us, and our inability to control when, if ever, results are published may delay or limit our ability to derive sufficient revenues from any diagnostic solution that is the subject of or component in a study. Peer-reviewed publications regarding our products may be limited by many factors, including delays in the completion of, poor design of, or lack of compelling data from, clinical studies, as well as delays in the review, acceptance and publication process. If our diagnostic solutions or the technology underlying our current and future diagnostic solutions do not receive sufficient favorable exposure in peer-reviewed publications, the rate of clinician adoption of our diagnostic solutions and positive reimbursement coverage determinations for our diagnostic solutions could be negatively affected.</w:t>
      </w:r>
    </w:p>
    <w:p>
      <w:pPr>
        <w:spacing w:after="0" w:line="1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addition, development of the data necessary to obtain regulatory clearance and approval of tests is time-consuming and carries with it the risk of not yielding the desired results. The performance achieved in published studies may not be</w:t>
      </w:r>
    </w:p>
    <w:p>
      <w:pPr>
        <w:spacing w:after="0" w:line="3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3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repeated in later studies that may be required to obtain premarket clearance or approval from the U.S. Food and Drug Administration (“FDA”). Limited results from earlier-stage verification studies may not predict results from studies in larger numbers of subjects drawn from more diverse populations over longer periods of time. Unfavorable results from ongoing preclinical and clinical studies may delay, limit or prevent regulatory approvals or clearances or commercialization of our product candidates, or could result in delays, modifications or abandonment of ongoing analytical or future clinical studies, or abandonment of a product development program, any of which could have a material adverse effect on our business, operating results or financial condition.</w:t>
      </w:r>
    </w:p>
    <w:p>
      <w:pPr>
        <w:spacing w:after="0" w:line="14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These and other factors beyond our control could result in delays or other difficulties in the research and development, approval, production, launch, marketing or distribution of enhanced or new tests and could adversely affect our competitive position and results of operations.</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Accessing, combining, curating, and analyzing health information, including longitudinal patient medical history data and genetic data, are core features of the Centrellis platform and key elements of our long term business model. The regulatory landscape around the storage, processing and deidentification of genetic data is evolving globally and greatly impacts the ability of us, our strategic partners and collaborators to process and use the data in connection with our products and services.</w:t>
      </w:r>
    </w:p>
    <w:p>
      <w:pPr>
        <w:spacing w:after="0" w:line="15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limited resources to conduct our health information services, data analysis, life sciences research, clinical diagnostics and drug discovery operations and have not yet fully established infrastructure for sales, marketing or distribution in connection with our products and services. Accordingly, we have entered into service and collaboration agreements under which our partners, including health systems, have provided, and may in the future provide, funding, data access, and other resources for developing and potentially commercializing our products and services. These collaborations may result in us incurring significant expenses in pursuit of potential products and services, and we may not be successful in identifying, developing or commercializing any potential products or services.</w:t>
      </w:r>
    </w:p>
    <w:p>
      <w:pPr>
        <w:spacing w:after="0" w:line="145"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Our future success depends in part on our ability to maintain and grow our existing relationships, including with Mount Sinai, and to establish new relationships. Many factors may impact the success of such collaborations, including our ability to perform our obligations, our collaborators’ satisfaction with our products and services, our collaborators’ performance of their obligations to us, our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Our ability to support such collaborations may also depend on factors outside of our control including the willingness of patients to engage with us and share their data, societal perspectives on privacy, and the willingness of health systems to establish collaborations, relationships and programs utilizing their data, all of which may impact the utility of these databases and the insights we will be able to generate from expanding datasets. In addition to reducing our revenue or delaying the development of our future products and services, the loss of one or more of these relationships may reduce our access to research, longitudinal patient health data, clinical trials or computing technologies that facilitate the collection and incorporation of new information into the databases we manage and to which we have access. All of the risks relating to product and service development, regulatory clearance, authorization or approval and commercialization described herein apply to us derivatively through the activities of our collaborators. We engage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our existing or potential collaborations can be a catalyst for adverse speculation about us, or our products or services, which can adversely affect our reputation and our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products and services do not perform as expected, we may not realize the expected benefits of such products and services.</w:t>
      </w:r>
    </w:p>
    <w:p>
      <w:pPr>
        <w:spacing w:after="0" w:line="19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success of our products depends on the market’s confidence that we can provide reliable products and services that enable high quality diagnostic testing and health information services with high sensitivity and specificity and short turnaround times. There is no guarantee that the accuracy and reproducibility we have demonstrated to date will continue as our product deliveries increase and our product and service portfolio expands.</w:t>
      </w: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3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we anticipate or result in longer than expected turnaround times. In addition, labs are required to validate their processes before using our products for clinical purposes. These validations are outside of our control. If our products do not perform, or are perceived to not have performed, as expected or favorably in it to competitive products, our operating results, reputation, and business will suffer, and we may also be subject to legal claims arising from product limitations, errors, or inaccuracies.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sales and development or other collaborations and commercial relationships are not successful and we are not able to offset the resulting impact through our own efforts or through agreements with new partners, our commercialization activities may be impaired and our financial results could be adversely affected.</w:t>
      </w:r>
    </w:p>
    <w:p>
      <w:pPr>
        <w:spacing w:after="0" w:line="134"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Part of our business strategy is to develop relationships with health systems, biopharma companies, and other partners to utilize our products and to provide access to data. Developing and commercializing products with third parties reduces our control over such development and commercialization efforts and subjects us to the various risks inherent in a joint effort with a third party, such as delays, operational issues, technical difficulties and other contingencies outside of our influence or control. The financial condition of these third parties could weaken, or they could terminate their relationship with us and/or stop sharing data or other information; reduce their marketing efforts relating to our products; develop and commercialize, or otherwise utilize competing products in addition to or in lieu of our tests; merge with or be acquired by a competitor of us or a company that chooses to de-prioritize the efforts to utilize our products or provide us with adequate data; or otherwise breach their agreements with us. Further, we must expend resources to operationalize our existing collaborations with our health system partners, which requires substantial effort in areas such as integrations for testing workflow, EMR, consents, marketing, and billing. To the extent, we are not successful at operationalizing existing collaborations with health partners, we may not be able to further improve or pursue new agreements with additional partners. Furthermore, our partners may misappropriate our trade secrets or use our proprietary information in such a way as to expose us to litigation and potential liability; and our compliance risk may increase to the extent that we are responsible for our partners' activities. Disagreements or disputes with our health systems and other partners, including disagreements over customers, proprietary or other rights or our or their compliance with financial or other contractual obligations, might cause delays or impair the development or commercialization of our products, services, and technologies, lead to additional responsibilities for us with respect to new products, services and technologies, or result in litigation or arbitration, any of which would divert management attention and resources and be time-consuming and expensive. As is typical for companies in our industry, it is continually evaluating and pursuing various strategic or commercial relationships, some of which may involve the sale and issuance of our Class A common stock, which could result in additional dilution of the percentage ownership of our stockholders and could cause the price of our Class A common stock and warrants to decline.</w:t>
      </w:r>
    </w:p>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If our relationships are not successful, our ability to develop and improve of products, services and technologies, and to successfully execute our commercial strategy regarding such products, services and technologies, could be compromised.</w:t>
      </w:r>
    </w:p>
    <w:p>
      <w:pPr>
        <w:spacing w:after="0" w:line="13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deploy and maintain effective sales, marketing and medical affairs capabilities, we will have difficulty achieving market awareness and selling our products and services.</w:t>
      </w:r>
    </w:p>
    <w:p>
      <w:pPr>
        <w:spacing w:after="0" w:line="121"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To achieve commercial success for our tests and our future products and services, we must continue to develop and grow our sales, marketing and medical affairs organizations to effectively explain to healthcare providers the reliability, effectiveness and benefits of our current and future products and services as compared to alternatives. We may not be able to successfully manage our dispersed or inside sales forces or our sales force may not be effective. Because of the competition for their services, we may be unable to hire, partner with or retain additional qualified sales representatives or marketing or medical affairs personnel, either as our employees or independent contractors or through independent sales or other third-party organizations. Market competition for commercial, marketing and medical affairs talent is significant, and we may not be able to hire or retain such talent on commercially reasonable terms, if at all.</w:t>
      </w:r>
    </w:p>
    <w:p>
      <w:pPr>
        <w:spacing w:after="0" w:line="130"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Establishing and maintaining sales, marketing and medical affairs capabilities will be expensive and time-consuming. Our expenses associated with maintaining our sales force may be disproportionate to the revenues we may be able to generate on sales of the certain tests or any future products or services.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never become profitable.</w:t>
      </w: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3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Sema4 has incurred losses since Sema4 was formed and we expect to continue to generate significant operating losses for the foreseeable future. As of June 30, 2022 and December 31, 2021, we have an accumulated deficit of approximately $738.1 million and $575.4 million, respectively. We expect to continue investing significantly toward development and commercialization of our health information technology and other products and services. If our revenue does not grow significantly, we will not be profitable. We cannot be certain that the revenue from the sale of any products or services based on our technologies will be sufficient to make us profitable.</w:t>
      </w:r>
    </w:p>
    <w:p>
      <w:pPr>
        <w:spacing w:after="0" w:line="1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could be subject to significant fluctuation, which could increase the volatility of our stock and warrant prices and cause losses to our stockholders.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revenues and results of operations may fluctuate significantly, depending on a variety of factors, including the following:</w:t>
      </w:r>
    </w:p>
    <w:p>
      <w:pPr>
        <w:spacing w:after="0" w:line="177" w:lineRule="exact"/>
        <w:rPr>
          <w:sz w:val="20"/>
          <w:szCs w:val="20"/>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marketing and selling, and changes in demand for, our tests, and the level of reimbursement and collection obtained for such tests;</w:t>
      </w:r>
    </w:p>
    <w:p>
      <w:pPr>
        <w:spacing w:after="0" w:line="19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and environmental variations affecting healthcare provider recommendations for our tests and patient compliance with healthcare provider recommendations, including without limitation holidays, weather events, and circumstances such as the outbreak of coronavirus or influenza that may limit patient access to medical practices for diagnostic tests and preventive services;</w:t>
      </w:r>
    </w:p>
    <w:p>
      <w:pPr>
        <w:spacing w:after="0" w:line="13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collecting payments from third-party payors, patients and collaborative partners, variation in the timing of these payments and recognition of these payments as revenues;</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tests, including potential changes in CMS or other reimbursement rates;</w:t>
      </w:r>
    </w:p>
    <w:p>
      <w:pPr>
        <w:spacing w:after="0" w:line="19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circumstances affecting our ability to provide our tests, including weather events, supply shortages, or regulatory or other circumstances that adversely affect our ability to manufacture our tests or process tests in our clinical laboratories;</w:t>
      </w:r>
    </w:p>
    <w:p>
      <w:pPr>
        <w:spacing w:after="0" w:line="12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circumstances affecting our ability to provide health information and data science services to biopharma partners, including software or hardware failures, insufficient capacity, regulatory changes or other circumstances that adversely affect the ability of us to deliver these services;</w:t>
      </w:r>
    </w:p>
    <w:p>
      <w:pPr>
        <w:spacing w:after="0" w:line="12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amount and timing of our selling and marketing costs and our ability to manage costs and expenses and effectively implement our business;</w:t>
      </w:r>
    </w:p>
    <w:p>
      <w:pPr>
        <w:spacing w:after="0" w:line="136"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activities, including the timing of clinical trials; and</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use, and commercialize data in a changing regulatory environment at a time when the public is growing increasingly concerned about privacy.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growth rate could decline over time, and it may experience downward pressure on our operating margins in the future.</w:t>
      </w:r>
    </w:p>
    <w:p>
      <w:pPr>
        <w:spacing w:after="0" w:line="19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revenue growth rate could decline over time as a result of a number of factors, including increasing competition and the continued expansion of our business into a variety of new fields. Changes in geographic mix and product and service mix and an increasing competition for tests may also affect our revenue growth rate. We may also experience a decline in our revenue growth rate as our revenues increase to higher levels, if there is a decrease in the rate of adoption of our products, services, and technologies, among other factors.</w:t>
      </w:r>
    </w:p>
    <w:p>
      <w:pPr>
        <w:spacing w:after="0" w:line="14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addition to a decline in our revenue growth rate, we may also experience downward pressure on our gross operating margins resulting from a variety of factors, such as the continued expansion of our business into new fields, including new products and services, as well as significant investments in new areas, all of which may have margins lower than those that we generate from testing. We may also experience downward pressure on our gross operating margins from increasing competition and increased costs for many aspects of our business. We may also pay increased fees to our partners as well as increased acquisition costs. We may also face an increase in infrastructure costs, supporting other businesses. Additionally, our expenditures to promote new products and services or to distribute certain products and services or increased investment in our innovation efforts across our Centrellis platform may affect our operating margins.</w:t>
      </w:r>
    </w:p>
    <w:p>
      <w:pPr>
        <w:spacing w:after="0" w:line="3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3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Due to these factors and the evolving nature of our business, our historical projected revenue growth rate and historical gross operating margins may not be indicative of our future performance.</w:t>
      </w:r>
    </w:p>
    <w:p>
      <w:pPr>
        <w:spacing w:after="0" w:line="13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existing operations, develop additional products and services, commercialize new products and services or expand our operations.</w:t>
      </w:r>
    </w:p>
    <w:p>
      <w:pPr>
        <w:spacing w:after="0" w:line="121"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Sema4 has incurred net losses and negative cash flows from operations since its inception, including net losses of $245.4 million, $241.3 million and $29.7 million for the years ended December 31, 2021, 2020 and 2019, respectively. The net loss was $162.6 million for the six months ended June 30, 2022. As of June 30, 2022, we had an accumulated deficit of $738.1 million. We expect to continue to generate significant operating losses for the foreseeable future, and we may therefore also seek to sell common or preferred equity or convertible debt securities, enter into a credit facility or another form of third-party funding or seek other debt financing. For example, we may file with the SEC a shelf registration statement, which if declared effective by the SEC may permit us to sell from time to time additional shares of our Class A common stock or other securities in one or more offerings in amounts, at prices and on the terms that we will determine at the time of offering, although we do not intend to issue shares of our Class A common stock at current market prices.</w:t>
      </w:r>
    </w:p>
    <w:p>
      <w:pPr>
        <w:spacing w:after="0" w:line="134"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We may also consider raising additional capital in the future to expand our business, to pursue strategic investments, to take advantage of financing opportunities or for other reasons, including to:</w:t>
      </w:r>
    </w:p>
    <w:p>
      <w:pPr>
        <w:spacing w:after="0" w:line="137" w:lineRule="exact"/>
        <w:rPr>
          <w:sz w:val="20"/>
          <w:szCs w:val="20"/>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 to drive market adoption of our current and future products and services;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development efforts for our current and future products and services;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products and services into other disease indications and clinical applications;</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 or invest in technologies;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or assets; and</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 and general and administrative expenses.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77" w:lineRule="exact"/>
        <w:rPr>
          <w:sz w:val="20"/>
          <w:szCs w:val="20"/>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revenue growth;</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establishing payor coverage and reimbursement arrangements with commercial third-party payors and government payors;</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laboratory operations and offerings, including our sales and marketing efforts;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the sales and marketing activities associated with, establishing adoption of our Centrellis solution;</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research and development activities associated with, products and services in research and early development;</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product and market developments;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international expansion; and</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of and delays in product development as a result of any regulatory oversight applicable to our products and services.</w:t>
      </w:r>
    </w:p>
    <w:p>
      <w:pPr>
        <w:spacing w:after="0" w:line="19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dilution to our stockholders could result. Any preferred equity securities issued also could provide for rights, preferences or privileges senior to those of holders of our Class A common stock.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w:t>
      </w:r>
    </w:p>
    <w:p>
      <w:pPr>
        <w:spacing w:after="0" w:line="3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3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make significant investments in our continued research and development of new products and services, which may not be successful.</w:t>
      </w:r>
    </w:p>
    <w:p>
      <w:pPr>
        <w:spacing w:after="0" w:line="19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seeking to leverage and deploy our Centrellis and Traversa platforms to develop a pipeline of future disease-specific research, diagnostic and therapeutic products and services. For example, we are attempting to extend current products into additional indications and sample types, and we are developing our population health program, and our pharmacogenomics solutions with a view toward advancing the development of tests designed to identify genetic variants for drug response that are associated with medically actionable and clinically relevant data to make more informed treatment decisions. We expect to incur significant expenses to advance these development efforts, but they may not be successful.</w:t>
      </w:r>
    </w:p>
    <w:p>
      <w:pPr>
        <w:spacing w:after="0" w:line="14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Developing new products and services is a speculative and risky endeavor. Products or services that initially show promise may fail to achieve the desired results or may not achieve acceptable levels of analytical accuracy or clinical utility. We may need to alter our products in development and repeat analysis or clinical studies before we identify a potentially successful product or service. Product development is expensive, may take years to complete and can have uncertain outcomes. Failure can occur at any stage of the development. If, after development, a product or service appears successful, we or our collaborators may, depending on the nature of the product or service, still need to obtain FDA and other regulatory clearances, authorizations or approvals before we can market it. In the case of clinical products, the FDA’s clearance, authorization or approval pathways are likely to involve significant time, as well as additional research, development and clinical study expenditures. The FDA may not clear, authorize or approve any future product or service we develop. Even if we develop a product or service that receives regulatory clearance, authorization or approval, or succeeds in initial product testing, we or our collaborators would need to commit substantial resources to commercialize, sell and market it before it could be profitable, and the product or service may never be commercially successful. Additionally, development of any product or service may be disrupted or made less viable by the development of competing products or services.</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New potential products and services may fail at any stage of development or recalled after commercialization and if we determine that any of our current or future products or services are unlikely to succeed, we may abandon them without any return on our investment. If we are unsuccessful in developing additional products or services, our potential for growth may be impaired.</w:t>
      </w:r>
    </w:p>
    <w:p>
      <w:pPr>
        <w:spacing w:after="0" w:line="1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13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the course of preparing Legacy Sema4’s financial statements for 2020, 2019 and 2018, we identified material weaknesses in our internal control over financial reporting as of December 31, 2020, which could, if not remediated, result in material misstatements in our financial statements. These material weaknesses had not been fully remediated as of June 30, 2022. In addition, during 2021, management identified a misclassification related to certain costs included within cost of services for the years ended December 31, 2021, 2020 and 2019.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spacing w:after="0" w:line="150" w:lineRule="exact"/>
        <w:rPr>
          <w:sz w:val="20"/>
          <w:szCs w:val="20"/>
          <w:color w:val="auto"/>
        </w:rPr>
      </w:pPr>
    </w:p>
    <w:p>
      <w:pPr>
        <w:ind w:left="640" w:hanging="316"/>
        <w:spacing w:after="0" w:line="274" w:lineRule="auto"/>
        <w:tabs>
          <w:tab w:leader="none" w:pos="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accounting policies, processes and controls to analyze, account for and report our revenue arrangements in accordance with ASC 606, Revenue from Contracts with Customers, and ASC 605, Revenue Recognition.</w:t>
      </w:r>
    </w:p>
    <w:p>
      <w:pPr>
        <w:spacing w:after="0" w:line="83"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formal accounting policies, procedures and controls to achieve complete, accurate and timely financial accounting, reporting and disclosures, including controls over the preparation and review of account reconciliations and journal entries; the accounting for cost capitalization policies in accordance with ASC 330, Inventory, and ASC 350-40, Intangibles – Goodwill and Other – Internal-Use Software; and the application of ASC 840, Leases.</w:t>
      </w:r>
    </w:p>
    <w:p>
      <w:pPr>
        <w:spacing w:after="0" w:line="8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not developed and effectively communicated to our employees our accounting policies and procedures, which resulted in inconsistent practices. Since these entity level programs have a pervasive effect across the organization, management has determined that these circumstances constitute a material weakness.</w:t>
      </w: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3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40" w:hanging="316"/>
        <w:spacing w:after="0" w:line="274"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operating systems lacked controls over access, and program change management that are needed to ensure access to financial data is adequately restricted to appropriate personnel.</w:t>
      </w:r>
    </w:p>
    <w:p>
      <w:pPr>
        <w:spacing w:after="0" w:line="70"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 accounting policies, processes and controls related to complex transactions necessary for an effective financial reporting process.</w:t>
      </w:r>
    </w:p>
    <w:p>
      <w:pPr>
        <w:spacing w:after="0" w:line="159" w:lineRule="exact"/>
        <w:rPr>
          <w:sz w:val="20"/>
          <w:szCs w:val="20"/>
          <w:color w:val="auto"/>
        </w:rPr>
      </w:pPr>
    </w:p>
    <w:p>
      <w:pPr>
        <w:jc w:val="both"/>
        <w:ind w:firstLine="318"/>
        <w:spacing w:after="0" w:line="272" w:lineRule="auto"/>
        <w:rPr>
          <w:sz w:val="20"/>
          <w:szCs w:val="20"/>
          <w:color w:val="auto"/>
        </w:rPr>
      </w:pPr>
      <w:r>
        <w:rPr>
          <w:rFonts w:ascii="Times New Roman" w:cs="Times New Roman" w:eastAsia="Times New Roman" w:hAnsi="Times New Roman"/>
          <w:sz w:val="17"/>
          <w:szCs w:val="17"/>
          <w:color w:val="auto"/>
        </w:rPr>
        <w:t>Our management is in the process of implementing a remediation plan that is expected to include policies and procedures to support internal control over financial reporting for a public company as well as supplementing the accounting and finance function with robust technical accounting and financial reporting experience and training. However, we cannot guarantee that the steps we have taken or may subsequently take have been or will be sufficient to remediate the material weaknesses or ensure that our internal controls are effective. For a discussion of our remediation plan and actions, see “Item 4. Controls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Procedures.” However, as noted above, as of June 30, 2022, the material weaknesses have not yet been fully remediated.</w:t>
      </w:r>
    </w:p>
    <w:p>
      <w:pPr>
        <w:spacing w:after="0" w:line="17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Furthermore, as a public company, we are required to comply with certain rules and requirements related to our disclosure controls and procedures and our internal control over financial reporting. Any failure to develop or maintain effective controls as a public company, any deficiencies found in the technology system we use to support our controls, or any difficulties encountered in their implementation or improvement, could harm our operating results or cause us to fail to meet our reporting obligations and may result in a restatement of our financial statements for prior periods. For more information, see “</w:t>
      </w:r>
      <w:r>
        <w:rPr>
          <w:rFonts w:ascii="Times New Roman" w:cs="Times New Roman" w:eastAsia="Times New Roman" w:hAnsi="Times New Roman"/>
          <w:sz w:val="18"/>
          <w:szCs w:val="18"/>
          <w:i w:val="1"/>
          <w:iCs w:val="1"/>
          <w:color w:val="auto"/>
        </w:rPr>
        <w:t>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Being a Public Company—Our internal controls over financial reporting may not be effective and our independent registered public accounting firm may not be able to certify as to their effectiveness, which could have a significant and adverse effect on our business and reputation.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 forwards and certain other tax attributes may be limited.</w:t>
      </w:r>
    </w:p>
    <w:p>
      <w:pPr>
        <w:spacing w:after="0" w:line="1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At December 31, 2021, our total gross deferred tax assets were $160.5 million. Due to our lack of earnings history, future deductible temporary differences related to compensation and uncertainties surrounding our ability to generate future taxable income, our net deferred tax assets have been fully offset by a valuation allowance. The deferred tax assets are primarily comprised of federal and state tax net operating losses and tax credit carryforwards, stock-based compensation and other tax deductible temporary differences.</w:t>
      </w:r>
    </w:p>
    <w:p>
      <w:pPr>
        <w:spacing w:after="0" w:line="141"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Furthermore, under Section 382 of the Internal Revenue Code of 1986, as amended (“Internal Revenue Code“), if a corporation undergoes an “ownership change,” the corporation’s ability to use its pre-change net operating loss carryforwards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Our existing NOLs and tax credit carryovers may be subject to limitations arising from previous ownership changes, and if we undergo one or more ownership changes in connection with completed acquisitions, including the business combination with CMLS or the Acquisition, or future transactions in our stock, our ability to utilize NOLs and tax credit carryovers could be further limited by Section 382 of the Internal Revenue Code. As a result, if we earn future taxable income, our ability to use our pre-change net operating loss and tax credit carryforwards to offset U.S. federal taxable income may be subject to limitations, which could potentially result in increased future tax liability to us.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Key Relationships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third-party laboratories to perform certain elements of our service offerings.</w:t>
      </w:r>
    </w:p>
    <w:p>
      <w:pPr>
        <w:spacing w:after="0" w:line="1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 limited but meaningful portion of our genomic analysis services is performed by third-party laboratories and service providers, while the remaining portion is performed in our laboratories. The third-party laboratories are subject to contractual obligations to perform these services for us, but are not otherwise under our control. We therefore do not control the capacity and quality control efforts of these third-party laboratories other than through our ability to enforce contractual obligations on volume and quality systems, and we have no control over such laboratories’ compliance with applicable legal and regulatory requirements. We also have no control over the timeliness of such laboratories’</w:t>
      </w:r>
    </w:p>
    <w:p>
      <w:pPr>
        <w:spacing w:after="0" w:line="3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3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performance of their obligations to us, and the third-party laboratories that we have contracted with have in the past had, and occasionally continue to have, issues with delivering results to us or resolving issues with us within the time frames we expected or established in our contracts with them, which sometimes results in longer than expected turnaround times for, or negatively impacts the performance of, these tests and services. In the event of any adverse developments with these third-party laboratories or their ability to perform their obligations in a timely manner and in accordance with the standards that we and our customers expect, our ability to service customers may be delayed, interrupted or otherwise adversely affected, which could result in a loss of customers and harm to our reputation. Furthermore, when these issues arise, we have had to expend time, management’s attention and other resources to address and remedy such issues.</w:t>
      </w:r>
    </w:p>
    <w:p>
      <w:pPr>
        <w:spacing w:after="0" w:line="160"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may not have sufficient alternative backup if one or more of the third-party laboratories that we contract with are unable to satisfy their obligations to us with sufficient performance, quality and timeliness, including as a result of the ongoing COVID-19 pandemic. Any natural or other disaster, acts of war or terrorism, shipping embargoes, labor unrest, political instability, outbreaks of disease or similar events at one or more of these third-party laboratories’ facilities that causes a loss of capacity would heighten the risks that we face. Changes to or termination of agreements or inability to renew agreements with these third-party laboratories or enter into new agreements with other laboratories that are able to perform such portions of our service offerings could impair, delay or suspend our efforts to market and sell these services. In addition, certain third-party payors, including some state Medicaid payors, that we are under contract with may take the position that sending out testing to third-party laboratories and billing for such tests is contrary to the terms of its provider agreement and may refuse to pay us for the testing. If any of these events occur, our business, financial condition and results of operations could suffer. Further, some state laws impose anti-markup restrictions that prevent an entity from realizing a profit margin on outsourced testing. If we are unable to markup outsourced testing, our revenues and operating margins may suffer.</w:t>
      </w:r>
    </w:p>
    <w:p>
      <w:pPr>
        <w:spacing w:after="0" w:line="14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rely on Mount Sinai, a related party, and its clinicians for a portion of our test volume in connection with our diagnostic solutions and for data programs, and we have entered into certain other arrangements with Mount Sinai.</w:t>
      </w:r>
    </w:p>
    <w:p>
      <w:pPr>
        <w:spacing w:after="0" w:line="1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rely on Mount Sinai, which is a related party, and its clinicians for a portion of our test volumes in connection with our diagnostic solutions and for substantially all of the de-identified clinical records in our databases. In addition, we sublease certain facilities from Mount Sinai, we provide certain research and data services to Mount Sinai, and we and Mount Sinai have entered into certain collaborative and commercial arrangements. Certain of our employees perform duties for or on behalf of Mount Sinai. Furthermore, we may in the future enter into other contracts for services or other engagements with Mount Sinai.</w:t>
      </w:r>
    </w:p>
    <w:p>
      <w:pPr>
        <w:spacing w:after="0" w:line="15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Mount Sinai is primarily made up of not-for-profit hospitals, a medical and graduate school and employed clinicians. The charitable missions of the Mount Sinai entities include patient care, teaching and research. As such, the Mount Sinai entities are required to deal with us strictly on an arms-length, fair market value basis, and the interests of Mount Sinai may not necessarily be aligned with our interests or those of our other stockholders.</w:t>
      </w:r>
    </w:p>
    <w:p>
      <w:pPr>
        <w:spacing w:after="0" w:line="13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subject to risks as a result of our reliance on Mount Sinai, and if our transactions and relationship with Mount Sinai were to cease, our business could be disrupted and it could have a material adverse effect on our business, research, financial condition and results of operations.</w:t>
      </w:r>
    </w:p>
    <w:p>
      <w:pPr>
        <w:spacing w:after="0" w:line="1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Icahn School of Medicine at Mount Sinai, or ISMMS is one of our significant stockholders. ISMMS may choose to dispose of some or all of the shares of our Class A common stock held by it. Any disposal of shares of Class A common stock by ISMMS, or the perception that these sales could occur, could cause the market price of our stock or warrants to decline.</w:t>
      </w:r>
    </w:p>
    <w:p>
      <w:pPr>
        <w:spacing w:after="0" w:line="14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rely on commercial courier delivery services to transport samples to our facilities in a timely and cost-efficient manner and if these delivery services are disrupted, our business could be harmed.</w:t>
      </w:r>
    </w:p>
    <w:p>
      <w:pPr>
        <w:spacing w:after="0" w:line="1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core business depends on our ability to quickly and reliably deliver test results to our customers. We typically receive blood, saliva, or tissue samples for analysis at our laboratory facilities within days of collection from the patient. Disruptions and errors in these delivery service and accessioning errors and breaches, whether due to error by the courier service, labor disruptions, bad weather, natural disaster, terrorist acts or threats, outbreaks of disease or for other reasons,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Acquisitions and Other Strategic Transactions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3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As a result of the Acquisition, OPKO became a substantial holder of shares of our Class A common stock and sales by OPKO into the market in the future could cause the market price of our Class A common stock to drop significantly, even if our business is doing well.</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a result of the Acquisition, OPKO became the owner of 80 million shares of Class A common stock as of the Closing Date. OPKO is subject to transfer restrictions and requirements to dispose of its shares in marketed sales processes under the shareholder agreements that were entered into in connection with the Acquisition, but those restrictions and requirements are finite and subject to exceptions.</w:t>
      </w:r>
    </w:p>
    <w:p>
      <w:pPr>
        <w:spacing w:after="0" w:line="13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If the shares held by OPKO or the other holders party such shareholder agreements are sold, or if it is perceived that they will be sold in the public market, the trading price of our Class A common stock could decline.</w:t>
      </w:r>
    </w:p>
    <w:p>
      <w:pPr>
        <w:spacing w:after="0" w:line="120"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ability to be successful is dependent following the Acquisition depends upon our efforts to integrate Sema4’s and GeneDx’s business and operations, and the anticipated benefits of the Acquisition may not be realized fully or at all or may take longer to realize than expected.</w:t>
      </w:r>
    </w:p>
    <w:p>
      <w:pPr>
        <w:spacing w:after="0" w:line="13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Acquisition involves the integration of two companies that have previously operated independently. Prior to the announcement, we and GeneDx did not conduct any integration planning for the two companies, and our ability to do so prior to consummation of the Acquisition was limited by applicable law. Following the closing of the Acquisition, we are devoting significant management attention and resources to integrating the two businesses. Delays in this process could adversely affect the combined company’s business, financial results, financial condition and stock price. Even if we are able to integrate the two companies’ business operations successfully, there can be no assurance that this integration will result in the realization of the full benefits of synergies, cost savings, innovation and operational efficiencies that we expected from this integration or that these benefits will be achieved within the anticipated time frame.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be successful is further dependent upon the efforts of our key personnel, including the key personnel of GeneDx following the Acquisition.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personnel could negatively impact our operations and profitability our financial condition could suffer as a result.</w:t>
      </w:r>
    </w:p>
    <w:p>
      <w:pPr>
        <w:spacing w:after="0" w:line="15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ability to be successful is dependent upon the efforts of our key personnel, including the key personnel of GeneDx (who became our employees as of the closing of the Acquisition. Although our key personnel are expected to continue remain with the Company in their current roles, it is possible that we will lose some key personnel, the loss of which could negatively impact the operations and profitability of our business.</w:t>
      </w:r>
    </w:p>
    <w:p>
      <w:pPr>
        <w:spacing w:after="0" w:line="15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GeneDx’s success depends to a significant degree upon the continued contributions of senior management, certain of whom would be difficult to replace. Departure by certain of GeneDx’s officers could have a material adverse effect on GeneDx’s business, financial condition, or operating results. The services of such personnel may not continue to be available to us.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transaction and transition costs in connection with the Acquisition.</w:t>
      </w:r>
    </w:p>
    <w:p>
      <w:pPr>
        <w:spacing w:after="0" w:line="1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incurred significant, non-recurring costs in connection with consummating the Acquisition. Furthermore, we expect to incur additional significant, non-recurring costs in connection with the integration of the businesses of our company and GeneDx. We may also incur additional costs to retain key employees.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Acquisition’s benefits do not meet the expectations of investors, stockholders or financial analysts, the market price of our securities may decline.</w:t>
      </w:r>
    </w:p>
    <w:p>
      <w:pPr>
        <w:spacing w:after="0" w:line="1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If the benefits of the Acquisition do not meet the expectations of investors or securities analysts, the market price of our securities may decline. For additional factors that may affect the trading price of our securities see “</w:t>
      </w:r>
      <w:r>
        <w:rPr>
          <w:rFonts w:ascii="Times New Roman" w:cs="Times New Roman" w:eastAsia="Times New Roman" w:hAnsi="Times New Roman"/>
          <w:sz w:val="18"/>
          <w:szCs w:val="18"/>
          <w:i w:val="1"/>
          <w:iCs w:val="1"/>
          <w:color w:val="auto"/>
        </w:rPr>
        <w:t>—Risks Related to Being a Public Company—If we do not meet the expectations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investors, stockholders or financial analysts, the market price of our securities may decline</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been the target of transaction related lawsuits as result of the Acquisition, which could result in substantial costs, and we have also assumed GeneDx’s risks arising from various legal proceedings.</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the Acquisition, two lawsuits were filed in federal courts against us and our directors. The complaints assert claims under Section 14(a) and Section 20(a) of the Exchange Act, and Rule 14a-19 promulgated thereunder, generally allege that the proxy statement we mailed to our stockholders in connection with the approval of</w:t>
      </w: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3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matters related to the Acquisition misrepresented and/or omitted certain purportedly material information, and seek a variety of equitable and injunctive relief. In addition, five purported stockholders of our company have sent us demand letters making similar allegations about the proxy statement and demanding we provide supplemental disclosures. Although we believe that these allegations, claims and demands are without merit, we cannot predict the outcome of these legal proceedings, or whether additional stockholders will file lawsuits.</w:t>
      </w:r>
    </w:p>
    <w:p>
      <w:pPr>
        <w:spacing w:after="0" w:line="15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as of the Closing, we assumed GeneDx’s risks arising from legal proceedings. Furthermore, following the Closing of the Acquisition, the strategies or motivations of a party or parties with respect to actual or potential litigation against us may change. We cannot predict with certainty the eventual outcome of GeneDx’s pending or future legal proceedings and the ultimate outcome of such matters could be material to our results of operations, cash flows and financial condition.</w:t>
      </w:r>
    </w:p>
    <w:p>
      <w:pPr>
        <w:spacing w:after="0" w:line="14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Finally, the Acquisition may result in post-transaction disputes with OPKO or the other counterparties to the Acquisition Merger Agreement and the related agreements regarding a number of matters, including any post-closing adjustments to the Cash Consideration, the occurrence or non-occurrence of any Milestone Event (as defined in the Acquisition Merger Agreement for the Acquisition) or payment of any Milestone Payment (as defined in the Acquisition Merger Agreement) or any liabilities for which we or OPKO believes it was indemnified under the Acquisition Merger Agreement.</w:t>
      </w:r>
    </w:p>
    <w:p>
      <w:pPr>
        <w:spacing w:after="0" w:line="13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to grow our business through additional acquisitions of complementary products or technologies and we may from time to time dispose of businesses or assets, and the failure to manage these acquisitions or dispositions, or the failure to integrate acquired businesses with our existing business, could have a material adverse effect on our business, financial condition and operating results.</w:t>
      </w:r>
    </w:p>
    <w:p>
      <w:pPr>
        <w:spacing w:after="0" w:line="1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From time to time, we may consider additional opportunities to acquire other products or technologies that may enhance our product platform or technology, expand the breadth of our markets or customer base, or advance our business strategies. In addition, we plan to exit our somatic tumor testing business, which may involve a divestiture of this business, and we may consider disposing other assets or businesses in the future.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Potential acquisitions involve numerous risks, including:</w:t>
      </w:r>
    </w:p>
    <w:p>
      <w:pPr>
        <w:spacing w:after="0" w:line="124" w:lineRule="exact"/>
        <w:rPr>
          <w:sz w:val="20"/>
          <w:szCs w:val="20"/>
          <w:color w:val="auto"/>
        </w:rPr>
      </w:pPr>
    </w:p>
    <w:p>
      <w:pPr>
        <w:ind w:left="1280" w:hanging="638"/>
        <w:spacing w:after="0"/>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assimilating the acquired products or technologies;</w:t>
      </w:r>
    </w:p>
    <w:p>
      <w:pPr>
        <w:spacing w:after="0" w:line="137"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maintaining uniform standards, procedures, controls and policies;</w:t>
      </w:r>
    </w:p>
    <w:p>
      <w:pPr>
        <w:spacing w:after="0" w:line="124"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associated with acquisitions;</w:t>
      </w:r>
    </w:p>
    <w:p>
      <w:pPr>
        <w:spacing w:after="0" w:line="124"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existing business;</w:t>
      </w:r>
    </w:p>
    <w:p>
      <w:pPr>
        <w:spacing w:after="0" w:line="137"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new markets in which we have limited or no experience; and</w:t>
      </w:r>
    </w:p>
    <w:p>
      <w:pPr>
        <w:spacing w:after="0" w:line="124"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legal and accounting costs relating to the acquisitions or compliance with regulatory matters.</w:t>
      </w:r>
    </w:p>
    <w:p>
      <w:pPr>
        <w:spacing w:after="0" w:line="17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do not know if we will be able to identify any other acquisitions we deem suitable, whether we will be able to successfully complete any acquisitions on favorable terms or at all, or whether we will be able to successfully integrate any acquired products or technologies. Our potential inability to integrate any acquired products or technologies effectively may adversely affect our business, operating results and financial condition.</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xml:space="preserve">Dispositions may similarly involve </w:t>
      </w:r>
      <w:r>
        <w:rPr>
          <w:rFonts w:ascii="Times New Roman" w:cs="Times New Roman" w:eastAsia="Times New Roman" w:hAnsi="Times New Roman"/>
          <w:sz w:val="17"/>
          <w:szCs w:val="17"/>
          <w:color w:val="212529"/>
        </w:rPr>
        <w:t>risks associated with the potential disruption of our ongoing business and distraction of our management team, and the</w:t>
      </w:r>
    </w:p>
    <w:p>
      <w:pPr>
        <w:spacing w:after="0" w:line="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 xml:space="preserve">anticipated benefits and cost savings of these transactions may not be realized fully, or at all, or take longer to realize than anticipated. In addition, dispositions </w:t>
      </w:r>
      <w:r>
        <w:rPr>
          <w:rFonts w:ascii="Times New Roman" w:cs="Times New Roman" w:eastAsia="Times New Roman" w:hAnsi="Times New Roman"/>
          <w:sz w:val="18"/>
          <w:szCs w:val="18"/>
          <w:color w:val="000000"/>
        </w:rPr>
        <w:t>may involve our continued financial involvement in a divested business, such as through continuing equity ownership, transition service agreements, guarantees, indemnities or other current or contingent financial obligations. Under these arrangements, performance by the acquired or divested business, or other conditions outside our control, could affect our future financial results.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Regulatory and Compliance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increased compliance risks as a result of our rapid growth, including our dependence on our sales, marketing and billing efforts.</w:t>
      </w:r>
    </w:p>
    <w:p>
      <w:pPr>
        <w:spacing w:after="0" w:line="19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had to expand our training and compliance efforts in line with our increasing reliance on personnel in our sales, marketing and billing functions, and our expansion of these functions in line with the overall growth in our business.</w:t>
      </w:r>
    </w:p>
    <w:p>
      <w:pPr>
        <w:spacing w:after="0" w:line="3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3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continue to monitor our personnel, but we have in the past experienced, and may in the future experience, situations in which employees fail to strictly adhere to our policies. In addition, sales and marketing activities in the healthcare space are subject to various rules and regulations. Moreover, our billing and marketing messaging can be complex and nuanced, and there may be errors or misunderstandings in our employees' communication of such messaging. Furthermore, we utilize text messaging, email, phone calls and other similar methods to communicate with patients who are existing or potential users of our products for various business purposes. These activities subject us to laws and regulations relating to communications with consumers, such as the CAN-SPAM Act and the Telephone Consumer Protection Act, violations of which could subject us to claims by consumers, who may seek actual or statutory damages, which could be material in the aggregate. As we continue to scale up our sales and marketing efforts in line with the growth in our business, in particular our increased pace of product launches as well as further geographical expansion, we face an increased need to continuously monitor and improve our policies, processes and procedures to maintain compliance with a growing number and variety of laws and regulations, including with respect to consumer marketing. To the extent that there is any violation, whether actual, perceived or alleged, of our policies or applicable laws and regulations, we may incur additional training and compliance costs, may receive inquiries from third-party payors or other third parties, or be held liable or otherwise responsible for such acts of non-compliance. Any of the foregoing could adversely affect our cash flow and financial condition.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use hazardous materials in a manner that causes injury, we could be liable for resulting damages.</w:t>
      </w:r>
    </w:p>
    <w:p>
      <w:pPr>
        <w:spacing w:after="0" w:line="18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activities currently require the use of hazardous chemicals and biological material.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compliance with these laws and regulations may become significant, and our failure to comply may result in substantial fines or other consequences, and either could negatively affect our operating results.</w:t>
      </w:r>
    </w:p>
    <w:p>
      <w:pPr>
        <w:spacing w:after="0" w:line="14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and our partners will have to maintain compliance with FDA requirements for research, products and services and failure to maintain compliance with FDA requirements may prevent or delay the marketing of our products and services.</w:t>
      </w:r>
    </w:p>
    <w:p>
      <w:pPr>
        <w:spacing w:after="0" w:line="13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Even if we have obtained marketing authorization, we will have to comply with the scope of that clearance, authorization or approval. Failure to secure and to comply with clearance, authorization or approval or the additional, extensive and ongoing post-marketing obligations imposed by the FDA or other regulatory requirements of other regulatory agencies could result in unanticipated compliance expenditures, a range of administrative enforcement actions, injunctions and criminal prosecution. FDA post-market obligations include, among other things, compliance with the FDA QSR, establishing registration and device listings, labeling requirements, reporting of certain adverse events and malfunctions, and reporting of certain recalls. In addition, circumstances may arise that cause us to recall equipment used in connection with our research, products and services. Such recalls could have an adverse effect on our ability to provide those products and services, which in turn would adversely affect our financial condition. our collaborators will also be required to maintain FDA clearance, authorization or approval for the products and services that we jointly develop. Any failure by us or our collaborators to maintain such clearance, authorization or approval could impair or cause a delay in our ability to profit from these collaborations.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changes in FDA enforcement discretion for LDTs could subject our operations to much more significant regulatory requirements.</w:t>
      </w:r>
    </w:p>
    <w:p>
      <w:pPr>
        <w:spacing w:after="0" w:line="18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We currently offer a laboratory-develop test (“LDT”), version of certain tests. The FDA has a policy of enforcement discretion with respect to LDTs, whereby the FDA does not actively enforce its medical device regulatory requirements for such tests. However, 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the enforcement of FDA regulatory requirements. The FDA Commissioner and the Director of the Center for Devices and Radiological Health (“CDRH”), have expressed significant concerns regarding disparities between some LDTs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that have been reviewed, cleared, authorized or approved by the FDA. If the FDA were to determine that certain tests offered by us as LDTs are not within the policy for LDTs for any reason, including new rules, policies or guidance, or due to</w:t>
      </w: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3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changes in statute, our tests may become subject to extensive FDA requirements or our business may otherwise be adversely affected. If the FDA were to disagree with our LDT status or modify our approach to regulating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or approval of a PMA. Furthermore, pending legislative proposals, if passed,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or at all. In addition, if the FDA inspects our laboratory in relation to the marketing of any FDA-authorized test, any enforcement action the FDA takes might not be limited to the FDA-authorized test carried by us and could encompass our other testing services.</w:t>
      </w:r>
    </w:p>
    <w:p>
      <w:pPr>
        <w:spacing w:after="0" w:line="167"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Recently, the FDA has also taken a more active role in certain diagnostic areas, including the oversight of pharmacogenetic (“PGx”), and COVID-19 tests. In 2019, the FDA contacted several laboratories to demand changes to PGx test reports and marketing materials. In February 2020, the FDA issued a statement indicating that it continues to have concerns about the claims that certain clinical laboratories make with respect to their PGx tests, and published tables that list PGx associations for which the FDA has determined that the data support therapeutic management recommendations, a potential impact on safety or response, or a potential impact on pharmacokinetic properties only, respectively. To date, however, the FDA has not provided any general guidance on the types of claims or other characteristics that will cause a PGx test to fall outside FDA’s enforcement discretion. As such, the extent to which the FDA will allow any laboratory to offer PGx tests in their current form without meeting FDA regulatory requirements for medical devices is unclear at this time.</w:t>
      </w:r>
    </w:p>
    <w:p>
      <w:pPr>
        <w:spacing w:after="0" w:line="1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spacing w:after="0" w:line="13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Before we begin to manufacture, label and market additional clinical diagnostic products for commercial diagnostic use in the United States, we may be required to obtain either clearance, marketing authorization or approval from the FDA, unless an exemption applies or the FDA exercises its enforcement discretion and refrains from enforcing its requirements. For example, the FDA currently has a policy of refraining from enforcing its medical device requirements with respect to LDTs, which the FDA considers to be a type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test that is designed, manufactured and used within a single properly licensed laboratory.</w:t>
      </w:r>
    </w:p>
    <w:p>
      <w:pPr>
        <w:spacing w:after="0" w:line="15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The process of obtaining PMA is much more rigorous, costly, lengthy and uncertain than the 510(k) clearance process. In the PMA approval process, the FDA must determine that a proposed device is safe and effective for its intended use based, in part, on extensive data, including, but not limited to, technical, preclinical, clinical trial, manufacturing and labeling data. Conversely, in the 510(k) clearance process, the FDA must determine that a proposed device is “substantially equivalent” to a legally marketed “predicate” device in order for the product to be cleared for marketing. To be “substantially equivalent,” the proposed device must have the same intended use as the predicate device, and either have the same technological characteristics or if it has different technological characteristics as the predicate device, the proposed device must be as safe and effective as, and not raise different questions of safety or effectiveness than, the predicate device. Clinical data is sometimes required to support substantial equivalence. For lower-risk devices that would otherwise automatically be placed into Class III, which require a PMA because no predicate device is available and the devices do not fall within an existing 510(k)-exempt classification, an applicant may submit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to down classify the device into Class II or Class I, which would not require a PMA. In the </w:t>
      </w:r>
      <w:r>
        <w:rPr>
          <w:rFonts w:ascii="Times New Roman" w:cs="Times New Roman" w:eastAsia="Times New Roman" w:hAnsi="Times New Roman"/>
          <w:sz w:val="18"/>
          <w:szCs w:val="18"/>
          <w:i w:val="1"/>
          <w:iCs w:val="1"/>
          <w:color w:val="auto"/>
        </w:rPr>
        <w:t xml:space="preserve">de novo </w:t>
      </w:r>
      <w:r>
        <w:rPr>
          <w:rFonts w:ascii="Times New Roman" w:cs="Times New Roman" w:eastAsia="Times New Roman" w:hAnsi="Times New Roman"/>
          <w:sz w:val="18"/>
          <w:szCs w:val="18"/>
          <w:color w:val="auto"/>
        </w:rPr>
        <w:t>process, the FDA must determine that general and special controls are sufficient to provide reasonable assurance of the safety and effectiveness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device, which is low to moderate risk and has no predicate. In other words, the applicant must justify the “down-classification” to Class I or II for a new product type that would otherwise automatically be placed into Class III, but is lower risk. Clinical data may be required. For laboratory tests for which FDA clearance, authorization or approval is required, the FDA may also require data to support analytical and clinical validity.</w:t>
      </w:r>
    </w:p>
    <w:p>
      <w:pPr>
        <w:spacing w:after="0" w:line="14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 xml:space="preserve">The 510(k),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and PMA processes can be expensive and lengthy and require the payment of significant fees, unless an exemption applies. The FDA’s 510(k) clearance pathway usually takes from three to nine months from submission, but it can take longer for a novel type of product. The FDA’s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novo </w:t>
      </w:r>
      <w:r>
        <w:rPr>
          <w:rFonts w:ascii="Times New Roman" w:cs="Times New Roman" w:eastAsia="Times New Roman" w:hAnsi="Times New Roman"/>
          <w:sz w:val="18"/>
          <w:szCs w:val="18"/>
          <w:color w:val="auto"/>
        </w:rPr>
        <w:t>classification pathway usually takes from six to 12 months, but for many applicants can take up to 18 months or more.</w:t>
      </w:r>
    </w:p>
    <w:p>
      <w:pPr>
        <w:spacing w:after="0" w:line="38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3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process of obtaining a PMA generally takes from one to three years, or even longer, from the time the PMA is submitted to the FDA until an approval is obtained. Any delay or failure to obtain necessary regulatory clearances, authorizations or approvals would have a material adverse effect on our business, financial condition and prospects.</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FDA can delay, limit or deny clearance, authorization or approval of a device for many reasons, including:</w:t>
      </w:r>
    </w:p>
    <w:p>
      <w:pPr>
        <w:spacing w:after="0" w:line="177" w:lineRule="exact"/>
        <w:rPr>
          <w:sz w:val="20"/>
          <w:szCs w:val="20"/>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demonstrate to the satisfaction of the FDA that the products are safe or effective for their intended uses;</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conduct or implementation of the clinical trials or the analysis or interpretation of data from preclinical studies, analytical studies or clinical trials;</w:t>
      </w:r>
    </w:p>
    <w:p>
      <w:pPr>
        <w:spacing w:after="0" w:line="136"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clinical trials;</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preclinical studies, analytical studies and clinical trials may be insufficient to support clearance, authorization or approval, where required;</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demonstrate that the clinical and other benefits of the device outweigh the risks;</w:t>
      </w:r>
    </w:p>
    <w:p>
      <w:pPr>
        <w:spacing w:after="0" w:line="19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committee, if convened by the FDA, may recommend against approval of a PMA or other application or may recommend that the FDA require, as a condition of approval, additional preclinical studies or clinical trials, limitations on approved labeling or distribution and use restrictions, or even if an advisory committee makes a favorable recommendation, the FDA may still not approve the product;</w:t>
      </w:r>
    </w:p>
    <w:p>
      <w:pPr>
        <w:spacing w:after="0" w:line="13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identify deficiencies in our marketing application;</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identify deficiencies in our or our collaborators’ manufacturing processes, facilities or analytical methods;</w:t>
      </w:r>
    </w:p>
    <w:p>
      <w:pPr>
        <w:spacing w:after="0" w:line="19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policies or regulations of the FDA or applicable foreign regulatory bodies to change significantly in a manner rendering clinical data or regulatory filings insufficient for clearance, authorization or approval; and</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foreign regulatory authorities may audit clinical trial data and conclude that the data is not sufficiently reliable to support a PMA.</w:t>
      </w:r>
    </w:p>
    <w:p>
      <w:pPr>
        <w:spacing w:after="0" w:line="17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There are numerous FDA personnel assigned to review different aspects of marketing submissions, which can present uncertainties based on their ability to exercise judgment and discretion during the review process. During the course of review, the FDA may request or require additional data and information, and the development and provision of these data and information may be time-consuming and expensive. The process of obtaining regulatory clearances, authorizations or approvals to market a medical device can be costly and time-consuming, and we may not be able to obtain these clearances, authorizations or approvals on a timely basis, or at all for our products in development. If we are unable to obtain clearance, authorization or approval for any products for which it plans to seek clearance, authorization or approval, our business may be harmed.</w:t>
      </w:r>
    </w:p>
    <w:p>
      <w:pPr>
        <w:spacing w:after="0" w:line="1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products with FDA marketing authorization may require new FDA clearances, authorizations or approvals, or may require it to cease marketing or recall the modified clinical diagnostic products or future clinical products until clearances are obtained.</w:t>
      </w:r>
    </w:p>
    <w:p>
      <w:pPr>
        <w:spacing w:after="0" w:line="1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Any modification to a 510(k)-cleared device that significantly affects its safety or effectiveness, or that constitutes a major change in its intended use, could require a new 510(k) clearance, a new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authorization or approval of a PMA. The FDA requires every manufacturer to make this determination in the first instance, but the FDA may review any manufacturer’s decision. The FDA may not agree with our decisions regarding whether new clearances, authorizations or approvals are necessary.</w:t>
      </w:r>
    </w:p>
    <w:p>
      <w:pPr>
        <w:spacing w:after="0" w:line="14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any product approved pursuant to a PMA, we would be required to seek supplemental approval for many types of modifications to the approved product. The FDA requires manufacturers in the first instance to determine whether a PMA supplement or other regulatory filing is needed or whether the change may be reported via the PMA Annual Report, but may disagree with a company’s assessment.</w:t>
      </w:r>
    </w:p>
    <w:p>
      <w:pPr>
        <w:spacing w:after="0" w:line="15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If the FDA disagrees with our determination, which it may not review until we submit an annual report or the FDA conducts an inspection or other inquiry, and requires us to seek new clearances, authorizations or approvals for</w:t>
      </w:r>
    </w:p>
    <w:p>
      <w:pPr>
        <w:spacing w:after="0" w:line="3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3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modifications to our previously cleared, authorized or approved clinical diagnostic products for which we have concluded new clearances, authorizations or approvals are unnecessary, we may be required to cease marketing or distribution of these clinical diagnostic products or to recall the modified products until we obtain clearance, authorization or approval. We may also be subject to enforcement action, including, among other things, significant regulatory fines or penalties.</w:t>
      </w:r>
    </w:p>
    <w:p>
      <w:pPr>
        <w:spacing w:after="0" w:line="15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In addition, for example, we plan to match our test reports for certain indications to identified mutations with FDA-approved targeted therapies or relevant clinical trials of targeted therapies. If a patient or physician who orders a test using one of our products is unable to obtain, or be reimbursed for the use of, targeted therapies because they are not indicated in the FDA-approved label for treatment, the patient is unable to enroll in an identified clinical trial due to the enrollment criteria of the trial, or some other reason, the ordering physician may conclude the test report does not contain actionable information. If physicians do not believe our products consistently generate actionable information about their patients’ disease or condition, they may be less likely to use our products.</w:t>
      </w:r>
    </w:p>
    <w:p>
      <w:pPr>
        <w:spacing w:after="0" w:line="12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Furthermore, we cannot provide assurance that customers will always use these products in the manner in which they are intended. Any intentional or unintentional misuse of these products by customers could lead to substantial civil and criminal monetary and non-monetary penalties, and could result in significant legal and investigatory fees.</w:t>
      </w:r>
    </w:p>
    <w:p>
      <w:pPr>
        <w:spacing w:after="0" w:line="13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various complex laws and regulations applicable to clinical diagnostics. We could be subject to significant fines and penalties if we or our partners fail to comply with these laws and regulations.</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a provider of clinical diagnostic products and services, we and our partners are subject to extensive and frequently changing federal, state, local and foreign laws and regulations governing various aspects of our business.</w:t>
      </w:r>
    </w:p>
    <w:p>
      <w:pPr>
        <w:spacing w:after="0" w:line="12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particular, the clinical laboratory and healthcare industry is subject to significant governmental certification and licensing regulations, as well as federal, state and foreign laws regarding:</w:t>
      </w:r>
    </w:p>
    <w:p>
      <w:pPr>
        <w:spacing w:after="0" w:line="124" w:lineRule="exact"/>
        <w:rPr>
          <w:sz w:val="20"/>
          <w:szCs w:val="20"/>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ordering and billing practices;</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sales and pricing practices;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information privacy and security, including HIPAA and comparable state laws;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anti-markup legislation;</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and abuse; and</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protection.</w:t>
      </w:r>
    </w:p>
    <w:p>
      <w:pPr>
        <w:spacing w:after="0" w:line="19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are also required to comply with FDA regulations, including with respect to our labeling and promotion activities. In addition, advertising and marketing of our clinical products are subject to regulation by the Federal Trade Commission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our business. Most states also have similar regulatory and enforcement authority for devices. Additionally, most foreign countries have authorities comparable to the FDA and processes for obtaining marketing approvals. Obtaining and maintaining these approvals, and complying with all laws and regulations, may subject us to similar risks and delays as those we could experience under FDA, FTC and state regulation. We incur various costs in complying and overseeing compliance with these laws and regulations. The growth of our business and sales organization, the acquisition of additional businesses or products and services and our expansion outside of the U.S. may increase the potential of violating these laws, regulations or our internal policies and procedures.</w:t>
      </w:r>
    </w:p>
    <w:p>
      <w:pPr>
        <w:spacing w:after="0" w:line="15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Healthcare policy has been a subject of extensive discussion in the executive and legislative branches of the federal and many state governments and healthcare laws and regulations are subject to change. Development of the existing commercialization strategy for our tests and planned development of products in our pipeline has been based on existing healthcare policies. We cannot predict what additional changes, if any, will be proposed or adopted or the effect that such proposals or adoption may have on our business, financial condition and results of operations.</w:t>
      </w:r>
    </w:p>
    <w:p>
      <w:pPr>
        <w:spacing w:after="0" w:line="14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If we or our partners, fail to comply with these laws and regulations, it could incur significant fines and penalties and our reputation and prospects could suffer. Additionally, any such partners could be forced to cease offering our products</w:t>
      </w:r>
    </w:p>
    <w:p>
      <w:pPr>
        <w:spacing w:after="0" w:line="3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3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services in certain jurisdictions, which could materially disrupt our business. An adverse outcome could include us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our business, financial condition and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the HIPAA security, privacy and breach notification regulations may increase our costs.</w:t>
      </w:r>
    </w:p>
    <w:p>
      <w:pPr>
        <w:spacing w:after="0" w:line="1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HIPAA privacy, security and breach notification regulations, including the expanded requirements under HITECH, establish comprehensive federal standards with respect to the uses and disclosures of protected health information (“PHI”), by health plans, healthcare providers and healthcare clearinghouses, in addition to setting standards to protect the confidentiality, integrity and security of PHI. The regulations establish a complex regulatory framework on a variety of subjects, including:</w:t>
      </w:r>
    </w:p>
    <w:p>
      <w:pPr>
        <w:spacing w:after="0" w:line="141" w:lineRule="exact"/>
        <w:rPr>
          <w:sz w:val="20"/>
          <w:szCs w:val="20"/>
          <w:color w:val="auto"/>
        </w:rPr>
      </w:pPr>
    </w:p>
    <w:p>
      <w:pPr>
        <w:ind w:left="640" w:hanging="316"/>
        <w:spacing w:after="0" w:line="274" w:lineRule="auto"/>
        <w:tabs>
          <w:tab w:leader="none" w:pos="6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under which uses and disclosures of PHI are permitted or required without a specific authorization by the patient, including but not limited to treatment purposes, activities to obtain payments for our services, and our healthcare operations activities;</w:t>
      </w:r>
    </w:p>
    <w:p>
      <w:pPr>
        <w:spacing w:after="0" w:line="136"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patient’s rights to access, amend and receive an accounting of certain disclosures of PHI;</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notify individuals if there is a breach of their PHI;</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contents of notices of privacy practices for PHI;</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technical and physical safeguards required of entities that use or receive PHI;</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deidentification of PHI; and</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of computing systems maintaining electronic PHI.</w:t>
      </w:r>
    </w:p>
    <w:p>
      <w:pPr>
        <w:spacing w:after="0" w:line="19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implemented practices intended to meet the requirements of the HIPAA privacy, security and breach notification regulations, as required by law. We are required to comply with federal privacy, security and breach notification regulations as well as varying state privacy, security and breach notification laws and regulations, which may be more stringent than federal HIPAA requirements. In addition, for healthcare data transfers from other countries relating to citizens and/or residents of those countries, we must comply with the laws of those countries. The federal privacy regulations under HIPAA restrict our ability to use or disclose patient identifiable data, without patient authorization, for purposes other than payment, treatment, healthcare operations and certain other specified disclosures such as public health and governmental oversight of the healthcare industry.</w:t>
      </w:r>
    </w:p>
    <w:p>
      <w:pPr>
        <w:spacing w:after="0" w:line="14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HIPAA provides for significant fines and other penalties for wrongful use or disclosure of PHI, including potential civil and criminal fines and penalties.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Unauthorized persons may be able to gain access to PHI stored in such third-parties computer networks. Any wrongful use or disclosure of PHI by us or such third-parties, including disclosure due to data theft or unauthorized access to us or our third-parties computer networks, could subject it to fines or penalties that could adversely affect our business and results of operations. Although the HIPAA statute and regulations do not expressly provide for a private right of damages, we could also be liable for damages under state laws to private parties for the wrongful use or disclosure of confidential health information or other private personal information.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activities may subject it to risks under federal and state laws prohibiting ‘kickbacks’ and false or fraudulent claims.</w:t>
      </w:r>
    </w:p>
    <w:p>
      <w:pPr>
        <w:spacing w:after="0" w:line="19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 federal law commonly known as the Medicare/Medicaid anti-kickback law, and several similar state laws, which prohibit payments intended to induce healthcare providers or others either to refer patients or to acquire or arrange for or recommend the acquisition of healthcare products or services. While the federal law applies only to referrals, products or services for which payment may be made by a federal healthcare program, state laws often</w:t>
      </w:r>
    </w:p>
    <w:p>
      <w:pPr>
        <w:spacing w:after="0" w:line="3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34"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apply regardless of whether federal funds may be involved. These laws constrain the sales, marketing and other promotional activities of manufacturers of medical devices and providers of laboratory services by limiting the kinds of financial arrangements, including sales programs, that may be used with hospitals, healthcare providers, laboratories and other potential purchasers or prescribers of medical devices and laboratory services. Other federal and state laws generally prohibit individuals or entities from knowingly presenting, or causing to be presented, claims for payment from Medicare, Medicaid, or other third-party payors that are false or fraudulent, or are for items or services that were not provided as claimed.</w:t>
      </w:r>
    </w:p>
    <w:p>
      <w:pPr>
        <w:spacing w:after="0" w:line="159"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In 2018, Congress passed the Eliminating Kickbacks in Recovery Act (“EKRA”), as part of the Substance Use-Disorder Prevention that Promotes Opioid Recovery and Treatment for Patients and Communities Act. Similar to the Medicare/Medicaid anti-kickback law,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Medicare/Medicaid anti-kickback law,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Medicare/Medicaid anti-kickback law includes certain exceptions that are widely relied upon in the healthcare industry, including compensating employees on a percentage basis, not all of those same exceptions apply under EKRA. EKRA expressly does not protect employee compensation that varies by the number of individuals referred to a laboratory, the number of tests performed by a laboratory, or the amount billed to or received from a health benefit program from individuals referred to a laboratory. Because EKRA is a relatively new law, there is no agency guidance and only one court has addressed the application of EKRA. That case was decided by the United States District Court of Hawaii and involved a lawsuit between a laboratory and an employee. The Court ruled that the commission-based compensation provisions of the laboratory employee’s contract did not violate EKRA. Although this may be a favorable interpretation of EKRA for laboratory compensation structures, we cannot be assured that courts in our jurisdiction will reach the same conclusion or that the decision will not be overturned if there is an appeal. Because EKRA is a relatively new law, there is no agency guidance or court precedent to indicate how and to what extent it will be applied and enforced. We cannot assure you that our relationships with healthcare providers, hospitals, customers, our own sales representatives, or any other party will not be subject to scrutiny or will survive regulatory challenge under EKRA.</w:t>
      </w:r>
    </w:p>
    <w:p>
      <w:pPr>
        <w:spacing w:after="0" w:line="15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Additionally, to avoid liability under federal false claims laws, we or our partners must carefully and accurately code claims for reimbursement, proactively monitor the accuracy and appropriateness of claims and payments received, diligently investigate any credible information indicating that we or our partners may have received an overpayment, and promptly return any overpayments. Medicare payments are subject to audit, including through the Comprehensive Error Rate Testing (“CERT”), program, and payments may be recouped by CMS if it is determined that they were improperly made. Currently, a small percentage of our revenues are generated by payments from Medicare. The federal anti-kickback statute and certain state-level false claims laws prescribe civil and criminal penalties (including fines) for noncompliance that can be substantial. In addition, various states have enacted false claim laws analogous to the federal laws that apply where a claim is submitted to any third-party payor and not only a governmental payor program. While we continually strive to comply with these complex requirements, interpretations of the applicability of these laws to marketing and billing practices are constantly evolving and even an unsuccessful challenge could cause adverse publicity and be costly to respond to, and thus could harm our business and prospects.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p>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harmed by the loss, suspension or other restriction on a license, certification or accreditation, or by the imposition of a fine or penalties, under CLIA, our implementing regulations or other state, federal and foreign laws and regulations affecting licensure or certification, or by future changes in these laws or regulations.</w:t>
      </w:r>
    </w:p>
    <w:p>
      <w:pPr>
        <w:spacing w:after="0" w:line="14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laboratory research and clinical diagnostic testing services. For example, as a condition of our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 CMS-approved accreditation organization, such as CAP. Sanctions for failure to comply with CLIA requirements,</w:t>
      </w:r>
    </w:p>
    <w:p>
      <w:pPr>
        <w:spacing w:after="0" w:line="38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34"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we are subject to regulation under certain state laws and regulations governing laboratory licensure. Some states have enacted laboratory licensure and compliance laws that are more stringent than CLIA. Changes in state licensure laws that affect our ability to offer and provide research and diagnostic products and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15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w:t>
      </w:r>
    </w:p>
    <w:p>
      <w:pPr>
        <w:spacing w:after="0" w:line="12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never obtain approval in the EU or in any other foreign country for any of our products or services and, even if we do, we or our partners and collaborators may never be able to commercialize them in another jurisdiction, which would limit our ability to realize their full market potential.</w:t>
      </w:r>
    </w:p>
    <w:p>
      <w:pPr>
        <w:spacing w:after="0" w:line="1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order to eventually market any of our current or future products and services in any particular foreign jurisdiction, we must establish compliance with numerous and varying regulatory requirements on a jurisdiction-by-jurisdiction basis regarding quality, safety, performance, privacy and efficacy. In addition, clinical trials or clinical investigations conducted in one 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spacing w:after="0" w:line="15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Seeking foreign regulatory clearance, authorization or approval could result in difficulties and costs for us and our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our products and services in those countries. The foreign regulatory clearance, authorization or approval process involves all of the risks and uncertainties associated with FDA clearance, authorization or approval. We currently have limited experience in obtaining regulatory clearance, authorization or approval in international markets.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and services will be unrealized.</w:t>
      </w:r>
    </w:p>
    <w:p>
      <w:pPr>
        <w:spacing w:after="0" w:line="14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currently include, among others:</w:t>
      </w:r>
    </w:p>
    <w:p>
      <w:pPr>
        <w:spacing w:after="0" w:line="137" w:lineRule="exact"/>
        <w:rPr>
          <w:sz w:val="20"/>
          <w:szCs w:val="20"/>
          <w:color w:val="auto"/>
        </w:rPr>
      </w:pPr>
    </w:p>
    <w:p>
      <w:pPr>
        <w:ind w:left="64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establishes comprehensive federal standards with respect to the privacy and security of protected health information and requirements for the use of certain standardized electronic transactions;</w:t>
      </w:r>
    </w:p>
    <w:p>
      <w:pPr>
        <w:spacing w:after="0" w:line="123" w:lineRule="exact"/>
        <w:rPr>
          <w:rFonts w:ascii="Times New Roman" w:cs="Times New Roman" w:eastAsia="Times New Roman" w:hAnsi="Times New Roman"/>
          <w:sz w:val="18"/>
          <w:szCs w:val="18"/>
          <w:color w:val="auto"/>
        </w:rPr>
      </w:pPr>
    </w:p>
    <w:p>
      <w:pPr>
        <w:ind w:left="640" w:hanging="316"/>
        <w:spacing w:after="0" w:line="304" w:lineRule="auto"/>
        <w:tabs>
          <w:tab w:leader="none" w:pos="63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spacing w:after="0" w:line="101" w:lineRule="exact"/>
        <w:rPr>
          <w:rFonts w:ascii="Times New Roman" w:cs="Times New Roman" w:eastAsia="Times New Roman" w:hAnsi="Times New Roman"/>
          <w:sz w:val="17"/>
          <w:szCs w:val="17"/>
          <w:color w:val="auto"/>
        </w:rPr>
      </w:pPr>
    </w:p>
    <w:p>
      <w:pPr>
        <w:jc w:val="both"/>
        <w:ind w:left="640" w:hanging="316"/>
        <w:spacing w:after="0" w:line="259"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Data Protection Regulation (“GDPR”), which imposes strict privacy and security requirements on controllers and processors of European personal data, including enhanced protections for “special categories” of personal data, including sensitive information such as health and genetic information of data subjects;</w:t>
      </w:r>
    </w:p>
    <w:p>
      <w:pPr>
        <w:spacing w:after="0" w:line="15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CCPA, which, among other things, regulates how subject businesses may collect, use, disclose and/or sell the personal information of consumers who reside in California, affords rights to consumers that they may exercise against businesses that collect their information, and requires implementation of reasonable security measures to safeguard personal information of California consumers;</w:t>
      </w:r>
    </w:p>
    <w:p>
      <w:pPr>
        <w:spacing w:after="0" w:line="138"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knowingly and willfully offering, paying, soliciting or receiving remuneration, directly or indirectly, overtly or covertly, in cash or in kind, to induce or in return for the</w:t>
      </w:r>
    </w:p>
    <w:p>
      <w:pPr>
        <w:spacing w:after="0" w:line="3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3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8"/>
          <w:szCs w:val="18"/>
          <w:color w:val="auto"/>
        </w:rPr>
        <w:t>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facility, item or service for which payment may be made, in whole or in part, under a federal healthcare program;</w:t>
      </w:r>
    </w:p>
    <w:p>
      <w:pPr>
        <w:spacing w:after="0" w:line="151" w:lineRule="exact"/>
        <w:rPr>
          <w:sz w:val="20"/>
          <w:szCs w:val="20"/>
          <w:color w:val="auto"/>
        </w:rPr>
      </w:pPr>
    </w:p>
    <w:p>
      <w:pPr>
        <w:ind w:left="640" w:hanging="316"/>
        <w:spacing w:after="0" w:line="274" w:lineRule="auto"/>
        <w:tabs>
          <w:tab w:leader="none" w:pos="6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EKRA, which prohibits payments for referrals to recovery homes, clinical treatment facilities, and laboratories and reaches beyond federal health care programs, to include private insurance;</w:t>
      </w:r>
    </w:p>
    <w:p>
      <w:pPr>
        <w:spacing w:after="0" w:line="123"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spacing w:after="0" w:line="14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 which imposes liability on any person or entity that, among other things, knowingly presents, or causes to be presented, a false or fraudulent claim for payment to the federal government;</w:t>
      </w:r>
    </w:p>
    <w:p>
      <w:pPr>
        <w:spacing w:after="0" w:line="136"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3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spacing w:after="0" w:line="13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payor, including private insurers;</w:t>
      </w:r>
    </w:p>
    <w:p>
      <w:pPr>
        <w:spacing w:after="0" w:line="15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21st Century Cures Act information blocking prohibition, which prohibits covered actors from engaging in certain practices that are likely to interfere with the access, exchange, or use of electronic health information;</w:t>
      </w:r>
    </w:p>
    <w:p>
      <w:pPr>
        <w:spacing w:after="0" w:line="123"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dentists, optometrists, podiatrists and chiropractors) and teaching hospitals as well as ownership and investment interests held by physicians and their immediate family members.</w:t>
      </w:r>
    </w:p>
    <w:p>
      <w:pPr>
        <w:spacing w:after="0" w:line="14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2022, applicable manufacturers also will be required to report such information regarding its relationships with physician assistants, nurse practitioners, clinical nurse specialists, certified registered nurse anesthetists and certified nurse midwives during the previous year;</w:t>
      </w:r>
    </w:p>
    <w:p>
      <w:pPr>
        <w:spacing w:after="0" w:line="136"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limit or prohibit the provision of certain payments and other transfers of value to certain covered healthcare providers;</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reassignment of Medicare claims, which, subject to certain exceptions, precludes the reassignment of Medicare claims to any other party;</w:t>
      </w:r>
    </w:p>
    <w:p>
      <w:pPr>
        <w:spacing w:after="0" w:line="123" w:lineRule="exact"/>
        <w:rPr>
          <w:rFonts w:ascii="Times New Roman" w:cs="Times New Roman" w:eastAsia="Times New Roman" w:hAnsi="Times New Roman"/>
          <w:sz w:val="18"/>
          <w:szCs w:val="18"/>
          <w:color w:val="auto"/>
        </w:rPr>
      </w:pPr>
    </w:p>
    <w:p>
      <w:pPr>
        <w:ind w:left="640" w:right="20" w:hanging="316"/>
        <w:spacing w:after="0" w:line="304" w:lineRule="auto"/>
        <w:tabs>
          <w:tab w:leader="none" w:pos="63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payors;</w:t>
      </w:r>
    </w:p>
    <w:p>
      <w:pPr>
        <w:spacing w:after="0" w:line="114"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that may apply to us in the countries in which we operate or may operate in the future; and</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relate to maintaining accurate information and control over activities that may fall within the purview of the U.S. Foreign Corrupt Practices Act, its books and records provisions, or anti-bribery provisions.</w:t>
      </w:r>
    </w:p>
    <w:p>
      <w:pPr>
        <w:spacing w:after="0" w:line="3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34"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We have adopted policies and procedures designed to comply with these laws and regulations. In the ordinary course of our business, we conduct internal reviews of our compliance with these laws. Our compliance may also be subject to governmental review. The growth of our business and our expansion outside of the United States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and curtailment or cessation of our operations, which may impact existing contracts with key payors, collaborators, health systems, and commercial partners. Any of the foregoing consequences could seriously harm our business and our financial results.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uncertainty related to healthcare reform, pricing, coverage and reimbursement and other regulatory changes, which could reduce our revenue.</w:t>
      </w:r>
    </w:p>
    <w:p>
      <w:pPr>
        <w:spacing w:after="0" w:line="181"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Healthcare reform laws, including the Patient Protection and Affordable Care Act (“ACA”), and the Protecting Access to Medicare Act of 2014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 services. The ACA has also been the subject of various legal challenges and in December 2018, a federal district court in Texas found that the ACA’s “individual mandate” was unconstitutional such that the whole of the ACA is invalid. The decision was appealed, and in December 2019, the Fifth Circuit Court of Appeals affirmed certain portions of the district court’s decision but remanded to the district court to determine if any portions of the ACA may still be valid. If the plaintiffs in this case, or in any other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particularly newly developed technologies, or other products or tests we may develop in the future. We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us, which may adversely affect our business, financial condition and results of operations.</w:t>
      </w:r>
    </w:p>
    <w:p>
      <w:pPr>
        <w:spacing w:after="0" w:line="15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payor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 federal payors that provide reimbursement for our tests may suspend, revoke or discontinue coverage at any time, may require co-payments from patients, or may reduce the reimbursement rates payable to us. Any such action could have a negative impact on our revenues.</w:t>
      </w:r>
    </w:p>
    <w:p>
      <w:pPr>
        <w:spacing w:after="0" w:line="16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Coverage of our screening products that we may develop may also depend, in whole or in part, on whether payors determine, or courts and/or regulatory authorities determine, coverage is required under applicable federal or state laws mandating coverage of certain cancer screening services.</w:t>
      </w:r>
    </w:p>
    <w:p>
      <w:pPr>
        <w:spacing w:after="0" w:line="1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Several states have laws mandating coverage for preventive services, such as certain cancer screening services, applicable to certain health insurers. However, not all of these laws apply to our current tests and not all of these laws presently mandate coverage for patients within the certain age ranges. We and payors may disagree about how these</w:t>
      </w: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3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mandates apply to our tests and we may find the mandates difficult to enforce. Further, if the ACA is repealed, replaced or overturned, or even if it is not, states may decide to modify their laws, which may include repeal of those coverage mandates that we believe currently apply to our oncology tests.</w:t>
      </w:r>
    </w:p>
    <w:p>
      <w:pPr>
        <w:spacing w:after="0" w:line="135"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Further, in June 2022, the U.S. Supreme Court in </w:t>
      </w:r>
      <w:r>
        <w:rPr>
          <w:rFonts w:ascii="Times New Roman" w:cs="Times New Roman" w:eastAsia="Times New Roman" w:hAnsi="Times New Roman"/>
          <w:sz w:val="18"/>
          <w:szCs w:val="18"/>
          <w:i w:val="1"/>
          <w:iCs w:val="1"/>
          <w:color w:val="auto"/>
        </w:rPr>
        <w:t>Dobbs v. Jackson Women's Health Organization</w:t>
      </w:r>
      <w:r>
        <w:rPr>
          <w:rFonts w:ascii="Times New Roman" w:cs="Times New Roman" w:eastAsia="Times New Roman" w:hAnsi="Times New Roman"/>
          <w:sz w:val="18"/>
          <w:szCs w:val="18"/>
          <w:color w:val="auto"/>
        </w:rPr>
        <w:t xml:space="preserve"> reversed </w:t>
      </w:r>
      <w:r>
        <w:rPr>
          <w:rFonts w:ascii="Times New Roman" w:cs="Times New Roman" w:eastAsia="Times New Roman" w:hAnsi="Times New Roman"/>
          <w:sz w:val="18"/>
          <w:szCs w:val="18"/>
          <w:i w:val="1"/>
          <w:iCs w:val="1"/>
          <w:color w:val="auto"/>
        </w:rPr>
        <w:t>Roe v. Wade</w:t>
      </w:r>
      <w:r>
        <w:rPr>
          <w:rFonts w:ascii="Times New Roman" w:cs="Times New Roman" w:eastAsia="Times New Roman" w:hAnsi="Times New Roman"/>
          <w:sz w:val="18"/>
          <w:szCs w:val="18"/>
          <w:color w:val="auto"/>
        </w:rPr>
        <w:t xml:space="preserve"> by holding that there is no constitutional right to abortion. Consequently, certain states have recently enacted or proposed restrictive abortion laws that may also implicate our reproductive health and women’s health screening products, which may decrease the demand for or coverage of our reproductive health and women’s health screening products. We cannot predict the timing or impact of any future rulemaking, court decisions or other changes in the law, or in how such laws, once enacted, would be interpreted and enforced.</w:t>
      </w:r>
    </w:p>
    <w:p>
      <w:pPr>
        <w:spacing w:after="0" w:line="14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Outside of the U.S., we would largely depend on public or government-controlled payors for coverage of our oncology tests. As compared to many more routine diagnostic tests, our oncology tests are more complicated, expensive and are performed in a central, specialized lab. In order to accommodate the unique characteristics of our diagnostic products, public payors in certain non-U.S. markets have designed reimbursement frameworks specifically for each test type. These payors could decide to modify or discontinue these special frameworks, potentially leading to lower reimbursement prices or the impossibility of providing the test in the market. These changes could also impose additional administrative burdens on us, if it were to ever sell our tests in foreign jurisdictions, including complex public tendering procedures, or on ordering physicians, which could adversely affect the number of payors covering the test or the number of orders placed. Public payors could condition reimbursement of our tests upon performance of our tests locally or, even in laboratories owned or operated by the payors. Any such change would adversely affect our ability to continue to serve those patients through our labs. We may develop future oncologic tests that could be performed locally by laboratory partners and in hospitals around the world, however those developments efforts may be unsuccessful and any such tests that we may develop may not be approved by regulators or accepted by payors or patients.</w:t>
      </w:r>
    </w:p>
    <w:p>
      <w:pPr>
        <w:spacing w:after="0" w:line="14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Product and professional liability suits against us could result in expensive and time-consuming litigation, payment of substantial damages and increases in our insurance rates.</w:t>
      </w:r>
    </w:p>
    <w:p>
      <w:pPr>
        <w:spacing w:after="0" w:line="13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sale and use of our solutions, products and services could lead to product or professional liability claims, including class action lawsuits. We may also be subject to liability for errors in the test results including health information it provides to healthcare providers or patients or for a misunderstanding of, or inappropriate reliance upon, the information it provides. Claims could also arise out of clinical studies we may conduct or any of our other activities. A product or professional liability claim could result in substantial damages, be costly and time consuming to defend, and cause material harm to our business, reputation or financial condition. We cannot assure you that our liability insurance would protect our assets from the financial impact of defending a product or professional liability claim. Any claim brought against us, with or without merit, could increase our liability insurance rates or prevent it from securing insurance coverage in the future.</w:t>
      </w:r>
    </w:p>
    <w:p>
      <w:pPr>
        <w:spacing w:after="0" w:line="143"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Errors, defects, or mistakes in our products or services, and operations could harm our reputation, decrease market acceptance of our products or services.</w:t>
      </w:r>
    </w:p>
    <w:p>
      <w:pPr>
        <w:spacing w:after="0" w:line="1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are creating new products and services, many of which are initially based on largely untested technologies. As all of our products and services progress, we or others may determine that it made product or service-level 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our processes may initially result in unanticipated issues that reduce the efficiency or increase variability. In particular, sequencing, which is a key component of these processes, could be inefficient with higher than expected variability thereby increasing total sequencing costs and reducing the number of samples we can process in a given time period. Therefore, inefficient or variable processes can cause variability in our operating results and damage our reputation.</w:t>
      </w:r>
    </w:p>
    <w:p>
      <w:pPr>
        <w:spacing w:after="0" w:line="16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addition, our laboratory operations could result in any number of errors or defects. Our quality assurance system may fail to prevent it from inadvertent problems with samples, sample quality, lab processes including sequencing, software, data upload or analysis, raw materials, reagent manufacturing, assay quality or design, or other components or processes. In addition, our assays may have quality or design errors, and we may have inadequate procedures or instrumentation to process samples, assemble our proprietary primer mixes and commercial materials, upload and analyze data, or otherwise conduct our laboratory operations. If we provide products or services with undiscovered errors to our customers, our clinical diagnostics may falsely indicate a patient has a disease or genetic variant, fail to assess a patient’s risk of getting a disease or having a child with a disease, or fail to detect disease or variant in a patient who requires or</w:t>
      </w:r>
    </w:p>
    <w:p>
      <w:pPr>
        <w:spacing w:after="0" w:line="3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34"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could benefit from treatment or intervention. We believe our customers are likely to be particularly sensitive to product and service defects, errors and delays, including if our products and services fail to indicate the presence of residual disease with high accuracy from clinical specimens or if we fail to list or inaccurately indicate the presence or absence of disease in our test report or analysis. In drug discovery, such errors may interfere with our collaborators’ clinical studies or result in adverse safety or efficacy profiles for their products in development. This may harm our customers’ businesses and may cause it to incur significant costs, divert the attention of key personnel, encourage regulatory enforcement action against it, create a significant customer relations problem for us and cause our reputation to suffer. We may also be subject to warranty and liability claims for damages related to errors or defects in our products or services. Any of these developments could harm our business and operating results.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increasingly complex taxation rules and practices, which may affect how we conduct our business and our results of operations.</w:t>
      </w:r>
    </w:p>
    <w:p>
      <w:pPr>
        <w:spacing w:after="0" w:line="18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As our business grows, we are required to comply with increasingly complex taxation rules and practices. We are subject to tax in multiple U.S. tax jurisdictions and may be subject to foreign tax jurisdictions in the future. The development of our tax strategies requires additional expertise and may impact how we conduct our business. Our future effective tax rates could be unfavorably affected by changes in, or interpretations of, tax rules and regulations in the jurisdictions in which we do business or by changes in the valuation of our deferred tax assets and liabilities. Furthermore, we provide for certain tax liabilities that involve significant judgment. We are and may be subject to the examination of our tax returns by federal, state and foreign tax authorities. If our tax strategies are ineffective or it is not in compliance with domestic and international tax laws, as applicable, our financial position, operating results and cash flows could be adversely affected.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Trade Secrets</w:t>
      </w:r>
    </w:p>
    <w:p>
      <w:pPr>
        <w:spacing w:after="0" w:line="1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inability to effectively protect our proprietary products, processes, and technologies, including the confidentiality of our trade secrets, could harm our competitive position.</w:t>
      </w:r>
    </w:p>
    <w:p>
      <w:pPr>
        <w:spacing w:after="0" w:line="1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currently rely upon trade secret protection and copyright, as well as non-disclosure agreements and invention assignment agreements with our employees, consultants and third parties, and to a limited extent patent protection, to protect our confidential and proprietary information. Although our competitors have utilized and are expected to continue utilizing similar methods and have aggregated and are expected to continue to aggregate similar databases of genetic testing information, our success will depend upon our ability to develop proprietary methods and databases and to defend any advantages afforded by our methods and databases relative to our competitors. If we do not protect our intellectual property adequately, competitors may be able to use our methods and databases and thereby erode any competitive advantages we may have.</w:t>
      </w:r>
    </w:p>
    <w:p>
      <w:pPr>
        <w:spacing w:after="0" w:line="14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will be able to protect our proprietary rights from unauthorized use by third parties only to the extent that our proprietary technologies are covered by valid and enforceable patents or are effectively maintained as trade secrets. In this regard, we have applied, and we intend to continue applying, for patents covering such aspects of our technologies as it deems appropriate. However, we expect that potential patent coverage we may obtain will not be sufficient to prevent substantial competition. In this regard, we believe it is probable that others will independently develop similar or alternative technologies or design around those technologies for which we may obtain patent protection. In addition, any patent applications we file may be challenged and may not result in issued patents or may be invalidated or narrowed in scope after they are issued. Questions as to inventorship or ownership may also arise. Any finding that our patents or applications are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we lose, we may lose some of our intellectual property rights. Furthermore, these lawsuits may divert the attention of our management and technical personnel.</w:t>
      </w:r>
    </w:p>
    <w:p>
      <w:pPr>
        <w:spacing w:after="0" w:line="16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expect to rely substantially upon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and confidential information by entering into confidentiality agreements with employees and consultants. There can be no assurance that any confidentiality agreements that we have with our employees and consultants will provide meaningful protection for our trade secrets and confidential information or will provide adequate remedies in the event of unauthorized use or disclosure of such information. Accordingly, there also can be no assurance</w:t>
      </w:r>
    </w:p>
    <w:p>
      <w:pPr>
        <w:spacing w:after="0" w:line="3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3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that our trade secrets will not otherwise become known or be independently developed by competitors.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inability to effectively protect our proprietary technologies under certain jurisdictions and legal regimes could harm our competitive position.</w:t>
      </w:r>
    </w:p>
    <w:p>
      <w:pPr>
        <w:spacing w:after="0" w:line="181"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Our success and ability to compete in certain jurisdictions and under certain legal regimes depend to a large extent on our ability to develop proprietary products and technologies and to maintain adequate protection of our intellectual property in the United States and other countries; this becomes increasingly important as we expand our operations and enter into strategic collaborations with partners to develop and commercialize products. The laws of some foreign countries do not protect proprietary rights to the same extent as the laws of the United States, and we may encounter difficulties in establishing and enforcing its proprietary rights outside of the United States. In addition, the proprietary positions of companies developing and commercializing tools for molecular diagnostics, including our own, generally are uncertain and involve complex legal and factual questions. This uncertainty may materially affect our ability to defend or obtain patents or to address the patents and patent applications owned or controlled by our collaborators and licensors.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Any of these factors could adversely affect our ability to obtain commercially relevant or competitively advantageous patent protection for our products.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patent regulations or standards are modified, such changes could have a negative impact on our business.</w:t>
      </w:r>
    </w:p>
    <w:p>
      <w:pPr>
        <w:spacing w:after="0" w:line="1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From time to time, the U.S. Supreme Court, other federal courts, the U.S. Congress or the USPTO may change the standards of patentability and validity of patents within the cancer screening and diagnostics space, and any such changes could have a negative impact on our business.</w:t>
      </w:r>
    </w:p>
    <w:p>
      <w:pPr>
        <w:spacing w:after="0" w:line="12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There have been several cases involving “gene patents” and diagnostic claims that have been considered by the U.S. Supreme Court. In March 2012, the Supreme Court </w:t>
      </w:r>
      <w:r>
        <w:rPr>
          <w:rFonts w:ascii="Times New Roman" w:cs="Times New Roman" w:eastAsia="Times New Roman" w:hAnsi="Times New Roman"/>
          <w:sz w:val="18"/>
          <w:szCs w:val="18"/>
          <w:i w:val="1"/>
          <w:iCs w:val="1"/>
          <w:color w:val="auto"/>
        </w:rPr>
        <w:t>in Mayo Collaborative Services v. Prometheus Laboratories, Inc,</w:t>
      </w:r>
      <w:r>
        <w:rPr>
          <w:rFonts w:ascii="Times New Roman" w:cs="Times New Roman" w:eastAsia="Times New Roman" w:hAnsi="Times New Roman"/>
          <w:sz w:val="18"/>
          <w:szCs w:val="18"/>
          <w:color w:val="auto"/>
        </w:rPr>
        <w:t xml:space="preserve"> found a patented diagnostic method claim unpatentable because the relationship between a metabolite concentration and optimized dosage was a patent-ineligible “law of nature.” In June 2013, the Supreme Court ruled in </w:t>
      </w:r>
      <w:r>
        <w:rPr>
          <w:rFonts w:ascii="Times New Roman" w:cs="Times New Roman" w:eastAsia="Times New Roman" w:hAnsi="Times New Roman"/>
          <w:sz w:val="18"/>
          <w:szCs w:val="18"/>
          <w:i w:val="1"/>
          <w:iCs w:val="1"/>
          <w:color w:val="auto"/>
        </w:rPr>
        <w:t xml:space="preserve">ACLU v. Myriad Genetics, Inc, </w:t>
      </w:r>
      <w:r>
        <w:rPr>
          <w:rFonts w:ascii="Times New Roman" w:cs="Times New Roman" w:eastAsia="Times New Roman" w:hAnsi="Times New Roman"/>
          <w:sz w:val="18"/>
          <w:szCs w:val="18"/>
          <w:color w:val="auto"/>
        </w:rPr>
        <w:t>that an isolated genomic DNA sequence is not patent eligible while cDNA is eligible. The</w:t>
      </w:r>
      <w:r>
        <w:rPr>
          <w:rFonts w:ascii="Times New Roman" w:cs="Times New Roman" w:eastAsia="Times New Roman" w:hAnsi="Times New Roman"/>
          <w:sz w:val="18"/>
          <w:szCs w:val="18"/>
          <w:i w:val="1"/>
          <w:iCs w:val="1"/>
          <w:color w:val="auto"/>
        </w:rPr>
        <w:t xml:space="preserve"> Prometheus and Myriad </w:t>
      </w:r>
      <w:r>
        <w:rPr>
          <w:rFonts w:ascii="Times New Roman" w:cs="Times New Roman" w:eastAsia="Times New Roman" w:hAnsi="Times New Roman"/>
          <w:sz w:val="18"/>
          <w:szCs w:val="18"/>
          <w:color w:val="auto"/>
        </w:rPr>
        <w:t>decisions,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subsequent case law, affect the legal concept of subject matter eligibility by seemingly narrowing the scope of the statute defining patentable inventions.</w:t>
      </w:r>
    </w:p>
    <w:p>
      <w:pPr>
        <w:spacing w:after="0" w:line="15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In December 2014 and again in 2019, the USPTO published revised guidelines for patent examiners to apply when examining process claims for patent eligibility in view of several recent Supreme Court decisions, including </w:t>
      </w:r>
      <w:r>
        <w:rPr>
          <w:rFonts w:ascii="Times New Roman" w:cs="Times New Roman" w:eastAsia="Times New Roman" w:hAnsi="Times New Roman"/>
          <w:sz w:val="18"/>
          <w:szCs w:val="18"/>
          <w:i w:val="1"/>
          <w:iCs w:val="1"/>
          <w:color w:val="auto"/>
        </w:rPr>
        <w:t>Mayo, Association for Molecular Pathology v. Myriad Genetics, Inc.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Alice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 Pty. Ltd. v. CLS Bank International</w:t>
      </w:r>
      <w:r>
        <w:rPr>
          <w:rFonts w:ascii="Times New Roman" w:cs="Times New Roman" w:eastAsia="Times New Roman" w:hAnsi="Times New Roman"/>
          <w:sz w:val="18"/>
          <w:szCs w:val="18"/>
          <w:color w:val="auto"/>
        </w:rPr>
        <w:t>, and others. The guidance indicates that claims directed to a law of nature, a natural phenomenon, 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abstract idea that do not meet the eligibility requirements should be rejected as non-statutory, patent ineligible subject matter. While these guidelines may be subject to review and modification by the USPTO over time, we cannot assure you that our intellectual property strategy or patent portfolio will not be negatively impacted by the decisions described above, rulings in other cases or changes in guidance or procedures issued by the USPTO.</w:t>
      </w:r>
    </w:p>
    <w:p>
      <w:pPr>
        <w:spacing w:after="0" w:line="14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Additional substantive changes to patent law, whether new or associated with the America Invents Act — which substantially revised the U.S. patent system — may affect our ability to obtain, enforce or defend our patents. Accordingly, it is not clear what, if any, impact these substantive changes will ultimately have on the cost of prosecuting our patent applications, our ability to obtain patents based on our discoveries and our ability to enforce or defend our issued patents, all of which could have a material adverse effect on our business.</w:t>
      </w:r>
    </w:p>
    <w:p>
      <w:pPr>
        <w:spacing w:after="0" w:line="13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adequately protect our trade secrets and other proprietary information, including the databases we manage and to which we have access, the value of our technology and products could be significantly diminished.</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rely on trade secret and proprietary know-how protection for our confidential and proprietary information and have taken security measures to protect this information. These measures, however, may not provide adequate protection. For example, we have a policy of requiring our consultants, advisors and collaborators, including, for example, our strategic collaborators with whom we seek to develop and commercialize products, to enter into confidentiality agreements and our employees to enter into invention, non-disclosure and in certain cases non-compete agreements. However, breaches of our</w:t>
      </w:r>
    </w:p>
    <w:p>
      <w:pPr>
        <w:spacing w:after="0" w:line="37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3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physical or electronic security systems, or breaches caused by our employees who failing to abide by their confidentiality obligations during or upon termination of their employment with us, could compromise these protection efforts. Any action we take to enforce our rights may be time-consuming, expensive, and possibly unsuccessful. Even if successful, the resulting remedy may not adequately compensate us for the harm caused by the breach. These risks are heightened in countries where laws or law enforcement practices may not protect proprietary rights as fully as in the United States or Europe. Any unauthorized use or disclosure of, or access to, our trade secrets, know-how or other proprietary information, whether accidentally or through willful misconduct, could have a material adverse effect on our programs and our strategy, and on our ability to compete effectively.</w:t>
      </w:r>
    </w:p>
    <w:p>
      <w:pPr>
        <w:spacing w:after="0" w:line="1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1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Failure to maintain our trademark registrations, or to obtain new trademark registrations in the future, could limit our ability to protect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our trademark rights and prevent infringement, we may be required to file trademark claims against third parties or initiate trademark opposition proceedings. This can be expensive and time-consuming, and possibly unsuccessful. our registered or unregistered trademarks or trade names may be challenged, infringed, circumvented, declared generic or determined to infringe on other marks.</w:t>
      </w:r>
    </w:p>
    <w:p>
      <w:pPr>
        <w:spacing w:after="0" w:line="14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pending trademark applications in the United States and in other foreign jurisdictions where we may file may not be successful. Even if these applications result in registered trademarks, third parties may challenge these trademarks in the future. Over the long term, if we are unable to establish name recognition based on our trademarks and trade names, then we may not be able to compete effectively, and our business may be adversely affected.</w:t>
      </w:r>
    </w:p>
    <w:p>
      <w:pPr>
        <w:spacing w:after="0" w:line="14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Litigation or other proceedings resulting from either third-party claims of patent infringement, or asserting infringement by third parties of our technology, could be costly, time-consuming, and could limit our ability to commercialize our products or services.</w:t>
      </w:r>
    </w:p>
    <w:p>
      <w:pPr>
        <w:spacing w:after="0" w:line="1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 substantial litigation and other proceedings regarding patent and other intellectual property rights in the genetic diagnostics industry. Third parties, including our competitors, have asserted and may in the future assert that we are infringing their intellectual property rights. We may also become subject to and/or initiate future intellectual property litigation as our product portfolio and the level of competition in our industry grow.</w:t>
      </w:r>
    </w:p>
    <w:p>
      <w:pPr>
        <w:spacing w:after="0" w:line="14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Because the U.S. Patent &amp; Trademark Office (“USPTO”), maintains patent applications in secrecy until a patent application publishes or the patent is issued, we have no way of knowing if others may have filed patent applications covering technologies used by it or our partners. Additionally, there may be third-party patents, patent applications and other intellectual property relevant to our technologies that may block or compete with our technologies. From time-to-time we have received correspondence from third parties alleging to hold intellectual property rights that could block our development or commercialization of products. While none of these inquiries to date have had any material effect on it, we may receive inquiries in the future that could have a material effect on our business. Even if third-party claims are without merit, defending a lawsuit may result in substantial expense to us and may divert the attention of management and key personnel. In addition, we cannot provide assurance that it would prevail in any such suits to the extent necessary to conduct our business according to our strategic plan or that the damages or other remedies, if any, awarded against it would not be substantial. Claims of intellectual property infringement may require that we, or our strategic partners, enter into unsustainably high royalty or license agreements with third parties that may only be available on unacceptable terms, if at all. In addition, we could experience delays in product introductions or sales growth while we attempt to develop non-infringing alternatives. These claims could also result in injunctions against the further development and commercial sale of services or products containing our technologies, which would have a material adverse effect on our business, financial condition and results of operations.</w:t>
      </w:r>
    </w:p>
    <w:p>
      <w:pPr>
        <w:spacing w:after="0" w:line="14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Further, patents and patent applications owned by us may become the subject of interference proceedings in the USPTO to determine priority of invention, which could result in substantial cost to us as well as a possible adverse decision as to the priority of invention of the patent or patent application involved. An adverse decision in an interference proceeding may result in the loss of rights under a patent or patent application subject to such a proceeding. We cannot predict whether, or offer any assurance that, the patent infringement claims may initiate in the future will be successful. We are and may become subject to counterclaims by patent infringement defendants. Our patents may be declared invalid or</w:t>
      </w:r>
    </w:p>
    <w:p>
      <w:pPr>
        <w:spacing w:after="0" w:line="3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3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unenforceable, or narrowed in scope. Even if we prevail in an infringement action, we cannot assure you that it would be adequately compensated for the harm to our business. If we are unable to enjoin third-party infringement, our revenues may be adversely impacted and we may lose market share; and such third-party product may continue to exist in the market, but fail to meet our regulatory or safety standards, thereby causing irreparable harm to our reputation as a provider of quality products, which in turn could result in loss of market share and have a material adverse effect on our business, financial condition and our results of operations.</w:t>
      </w:r>
    </w:p>
    <w:p>
      <w:pPr>
        <w:spacing w:after="0" w:line="15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and other entities with whom we do business require us to defend or indemnify these parties to the extent they become involved in patent infringement claims, including the types of 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14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use of open-source software could subject our business to possible litigation or cause us to subject our platform to unwanted open-source license conditions that could negatively impact our sales.</w:t>
      </w:r>
    </w:p>
    <w:p>
      <w:pPr>
        <w:spacing w:after="0" w:line="1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 limited but meaningful portion of our platforms and products incorporate open-source software, and we will incorporate open-source software into other offerings or products in the future. Such open-source software is generally licensed by its authors or other third parties under open-source licenses. There is little legal precedent governing the interpretation of certain terms of these licenses, and therefore the potential impact of these terms on our business is unknown and may result in unanticipated obligations regarding our products and technologies. If an author or other third party that distributes such open-source software were to allege that we had not complied with the conditions of one or more of these licenses, we could be required to incur significant legal expenses defending against such allegations. In addition, if we combine our proprietary software with open-source software in a certain manner, under some open-source licenses, we could be required to release the source code of our proprietary software, which could substantially help our competitors develop products that are similar to or better than our products.</w:t>
      </w:r>
    </w:p>
    <w:p>
      <w:pPr>
        <w:spacing w:after="0" w:line="16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rely on strategic collaborative and licensing arrangements with third parties to develop critical intellectual property. We may not be able to successfully establish and maintain such intellectual property.</w:t>
      </w:r>
    </w:p>
    <w:p>
      <w:pPr>
        <w:spacing w:after="0" w:line="1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development and commercialization of our products and services rely, directly or indirectly, upon strategic collaborations and licensing agreements with third parties. Such arrangements provide us with intellectual property and other business rights crucial to our product development and commercialization. We have incorporated licensed technology into our tests. Our dependence on licensing, collaboration and other similar agreements with third parties may subject it to a number of risks. There can be no assurance that any current contractual arrangements between us and third parties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spacing w:after="0" w:line="15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expect to continue and expand our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we agree to work exclusively with one collaborator in a given area, our opportunities to collaborate with other entities could be limited. Potential collaborators or licensors may reject collaborations with it based upon their assessment of our financial, regulatory or intellectual property position or other factors. Even if we successfully establish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our collaborators will continue to be successful and, as a result, we may expend considerable time and resources developing products or services that will not ultimately be commercialized.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Cybersecurity, Privacy and Information Technology</w:t>
      </w:r>
    </w:p>
    <w:p>
      <w:pPr>
        <w:spacing w:after="0" w:line="1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Interruption, interference with, or failure of our information technology and communications systems could hurt our ability to effectively provide our products and services, which could harm our reputation, financial condition, and operating results.</w:t>
      </w:r>
    </w:p>
    <w:p>
      <w:pPr>
        <w:spacing w:after="0" w:line="37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3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availability of our products and services and fulfillment of our customer contracts depend on the continuing operation of our information technology and communications systems. Our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our systems. Some of our data centers are located in areas with a high risk of major earthquakes or other natural disasters. Our data centers are also subject to break-ins, sabotage, and intentional acts of vandalism, and, in some cases, to potential disruptions resulting from problems experienced by facility operators. Some of our systems are not fully redundant, and disaster recovery planning cannot account for all eventualities.</w:t>
      </w:r>
    </w:p>
    <w:p>
      <w:pPr>
        <w:spacing w:after="0" w:line="1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occurrence of a natural disaster, closure of a facility, or other unanticipated problems at our data centers could result in lengthy interruptions in our service. In addition, our products and services are highly technical and complex and may contain errors or vulnerabilities, which could result in interruptions in or failure of our services or systems.</w:t>
      </w:r>
    </w:p>
    <w:p>
      <w:pPr>
        <w:spacing w:after="0" w:line="13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1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PHI, personally identifiable information, genetic information, credit card information, intellectual property and proprietary business information owned or controlled by us or our customers, payors and other parties. We manage and maintain our applications and data utilizing a combination of on-site systems, managed data center systems and cloud-based systems. We also communicate PHI and other sensitive patient data through our various customer tools and platforms.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We face a number of risks relative to protecting this critical information, including loss of access risk, inappropriate disclosure, inappropriate modification, and the risk 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spacing w:after="0" w:line="16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are vital to our operations and business strategy, and we devote significant resources to protecting such information. 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or other disruptions. Any such breach or interruption could compromise our networks and the information stored therein could be accessed by unauthorized parties, altered, publicly disclosed, lost or stolen.</w:t>
      </w:r>
    </w:p>
    <w:p>
      <w:pPr>
        <w:spacing w:after="0" w:line="14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Further, some of our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payors or patients,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Should we actually violate, or be perceived to have violated, any privacy promises our business makes to patients or consumers, it could be subject to a complaint from an affected individual or interested privacy regulator, such as the FTC, a state Attorney General, an EU Member State Data Protection Authority, or a data protection authority in another international jurisdiction. This risk is heightened given the sensitivity of the data we collect.</w:t>
      </w:r>
    </w:p>
    <w:p>
      <w:pPr>
        <w:spacing w:after="0" w:line="148"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w:t>
      </w:r>
    </w:p>
    <w:p>
      <w:pPr>
        <w:spacing w:after="0" w:line="37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3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 Penalties for unfair or deceptive acts or practices under the FTC Act or state Unfair and Deceptive Acts and Practices (“UDAP”), statutes may also vary significantly.</w:t>
      </w:r>
    </w:p>
    <w:p>
      <w:pPr>
        <w:spacing w:after="0" w:line="15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took effect on May 25, 2018.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 million euros or 4% of an organization’s annual global revenue, whichever is greater.</w:t>
      </w:r>
    </w:p>
    <w:p>
      <w:pPr>
        <w:spacing w:after="0" w:line="15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Further, the United Kingdom’s decision to leave the EU, often referred to as Brexit, has created uncertainty with regard to data protection regulation in the United Kingdom. The relationship between the United Kingdom and the EU remains uncertain, for example how data transfers between the United Kingdom and the EU and other jurisdictions will be treated and the role of the United Kingdom’s supervisory authority. For example, on June 28, 2021, the European Commission adopted the adequacy decision (the “UK Adequacy Decision”) in the wake of a non-binding vote by the European Parliament against the then-draft UK Adequacy Decision the month prior. Consequently, personal data can continue to flow from the EEA to the United Kingdom without the need for appropriate safeguards. The UK Adequacy Decision includes a “sunset clause”, rendering the decision valid for four years only, after which it will be reviewed by the European Commission and renewed only if the European Commission considers that the United Kingdom continues to ensure an adequate level of data protection. The European Commission also stated that it would intervene at any point within the four years if the United Kingdom deviates from the level of protection presently in place. If this adequacy decision reversed by the European Commission, it would require that companies implement protection measures such as the standard contractual clauses for data transfers between the EU and the United Kingdom.</w:t>
      </w:r>
    </w:p>
    <w:p>
      <w:pPr>
        <w:spacing w:after="0" w:line="153"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(“CPRA”), that is scheduled to go into effect on January 1, 2023. The CPRA would, among other things, amend the CCPA to give California residents the ability to limit the use of their sensitive information, provide for penalties for CPRA violations concerning California residents under the age of 16, and establish a new California Privacy Protection Agency to implement and enforce the law. Other jurisdictions in the United States are beginning to propose laws similar to CCPA. Some observers have noted that the CCPA could mark the</w:t>
      </w:r>
    </w:p>
    <w:p>
      <w:pPr>
        <w:spacing w:after="0" w:line="200" w:lineRule="exact"/>
        <w:rPr>
          <w:sz w:val="20"/>
          <w:szCs w:val="20"/>
          <w:color w:val="auto"/>
        </w:rPr>
      </w:pPr>
    </w:p>
    <w:p>
      <w:pPr>
        <w:spacing w:after="0" w:line="2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34"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beginning of a trend toward more stringent privacy legislation, which could increase our potential liability and adversely affect our business, results of operations, and financial condition.</w:t>
      </w:r>
    </w:p>
    <w:p>
      <w:pPr>
        <w:spacing w:after="0" w:line="13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It is possible the GDPR, CCPA and other emerging United States and international data protection laws may be interpreted and applied in manner that is inconsistent with our practices. If so, this could result in government-imposed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Complying with these various laws and regulations could cause us to incur substantial costs or require it to change our business practices and compliance procedures in a manner adverse to our business. We can provide no assurance that it is or will remain in compliance with diverse privacy and data security requirements in all of the jurisdictions in which we do business. Failure to comply with privacy and data security requirements could result in a variety of consequences, or damage to our reputation, any of which could have a material adverse effect on our business.</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Data privacy and security concerns relating to our technology and our practices could damage our reputation, subject it to significant legal and financial exposure,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4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w:t>
      </w:r>
    </w:p>
    <w:p>
      <w:pPr>
        <w:spacing w:after="0" w:line="15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products and services involve the storage and transmission of protected health information and other personal information, proprietary information, and bugs, theft, misuse, defects, vulnerabilities in our products and services, and security breaches expose it to a risk of loss of this information, improper use and disclosure of such information, litigation, and other potential liability. Systems and control failures, security breaches, failure to comply with our privacy policies, and/or inadvertent disclosure of user data could result in government and legal exposure, seriously harm our reputation and brand and, therefore, our business, and impair our ability to attract and retain users or customers. We expect to continue to expend significant resources to maintain security protections that shield against bugs, theft, misuse, or security vulnerabilities or breaches.</w:t>
      </w:r>
    </w:p>
    <w:p>
      <w:pPr>
        <w:spacing w:after="0" w:line="14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experience cyber-attacks and other attempts to gain unauthorized access to our systems on a regular basis. We may experience future security issues, whether due to employee error or malfeasance or system errors or vulnerabilities in our or other parties’ systems, which could result in significant legal and financial exposure. Government inquiries and enforcement actions, litigation, and adverse press coverage could harm our business. We may be unable to anticipate or detect attacks or vulnerabilities or implement adequate preventative measures. Attacks and security issues could also compromise trade secrets and other sensitive information, harming our business.</w:t>
      </w:r>
    </w:p>
    <w:p>
      <w:pPr>
        <w:spacing w:after="0" w:line="1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While we have dedicated significant resources to privacy and security incident response capabilities, including dedicated worldwide incident response teams, our response process may not be adequate, may fail to accurately assess the severity of an incident, may not respond quickly enough, or may fail to sufficiently remediate an incident. As a result, we may suffer significant legal, reputational, or financial exposure, which could harm our business, financial condition, and operating results.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depend on our scientific computing and information technology and management systems and any failure of these systems could harm our business.</w:t>
      </w:r>
    </w:p>
    <w:p>
      <w:pPr>
        <w:spacing w:after="0" w:line="19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depend on scientific computing and information technology and management systems, including third-party cloud computing infrastructure, operating systems and artificial intelligence platforms, for significant elements of our operations, including our laboratory information management system, clinical database, analytical platform, laboratory workflow tools, customer and collaborator reporting and related functions. We also depend on our proprietary workflow software to support new product and service launches and regulatory compliance.</w:t>
      </w:r>
    </w:p>
    <w:p>
      <w:pPr>
        <w:spacing w:after="0" w:line="14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use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3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have installed, and expects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we have installed, and intends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billing and collections provider depends upon technology and telecommunications systems provided by outside vendors.</w:t>
      </w:r>
    </w:p>
    <w:p>
      <w:pPr>
        <w:spacing w:after="0" w:line="16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these systems or those used by our collaborators or subcontractors could prevent it from conducting our comprehensive screening analysis, clinical diagnostics and drug discovery, preparing and providing reports to researchers, clinicians and our collaborators, billing payors, handling physician inquiries, conducting research and development activities and managing the administrative aspects of our business. Any disruption or loss of information technology or telecommunications systems on which critical aspects of our operations depend could have an adverse effect on our business and our reputation, and we may be unable to regain or repair our reputation in the future.</w:t>
      </w:r>
    </w:p>
    <w:p>
      <w:pPr>
        <w:spacing w:after="0" w:line="14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ability to transfer data stored outside of the United States could be limited by international regulations or other action by foreign governments, which could adversely affect our business.</w:t>
      </w:r>
    </w:p>
    <w:p>
      <w:pPr>
        <w:spacing w:after="0" w:line="1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Some of the data we process in the ordinary course of our business may be stored outside of the United States. In order to process such data, we may need to transfer them to countries other than those where they are stored. Should a foreign government adopt a regulation restricting the international transfer of such data, we may not be able to process them, which could adversely impact our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1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1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including costs associated with public company reporting requirements. In addition, the Sarbanes-Oxley Act of 2002 (the “Sarbanes-Oxley Act”) as well as rules implemented by the SEC and the Nasdaq Stock Market (“Nasdaq”) impose a number of requirements on public companies, including with respect to corporate governance practices. The SEC and other regulators have continued to adopt new rules and regulations and make additional changes to existing regulations that require the company’s compliance. In addition, the Dodd-Frank Wall Street Reform and Consumer Protection Act (the “Dodd-Frank Act”), enacted in 2010, includes significant corporate governance and executive-compensation-related provisions. Our management and other personnel will need to devote a substantial amount of time to these compliance and disclosure obligations. If these requirements divert the attention of our management and personnel from other aspects of our business concerns, they could have a material adverse effect on our business, financial condition and results of operations. Moreover, these rules and regulations applicable to public companies substantially could increase our legal, accounting and financial compliance costs, require that we hire additional personnel and make some activities more time consuming and costly.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continue, which would adversely affect the liquidity and price of our securities.</w:t>
      </w:r>
    </w:p>
    <w:p>
      <w:pPr>
        <w:spacing w:after="0" w:line="181"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price of our securities may fluctuate significantly due to general market and economic conditions. An active trading market for our securities may not be sustained. In addition, the price of our securities can vary due to general economic conditions and forecasts, our general business condition and the release of our financial reports. You may be unable to sell your securities when desired or at an acceptable price unless an active trading market can be sustained.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meet the expectations of investors, stockholders or financial analysts, the market price of our securities may decline.</w:t>
      </w: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3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If we do not meet the expectations of investors or securities analysts, the market price of our securities may decline. In addition, fluctuations in the price of our securities could contribute to the loss of all or part of your investment. If an active market for our securities does not continue,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177" w:lineRule="exact"/>
        <w:rPr>
          <w:sz w:val="20"/>
          <w:szCs w:val="20"/>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 new products, acquisitions, strategic alliances, significant agreements by us or competitors;</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falling below our financial guidance or other projections or failing to meet the expectation of securities analysts or investors in a particular period;</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new and enhanced products on a timely basis;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the Acquisition disrupts our current plans and operations or affects our ability to retain or recruit key employees;</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Acquisition diverting management’s or employees’ attention from ongoing business operations;</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Acquisition on our business relationships (including, without limitation customers, strategic partners, collaborators and suppliers), operating results and business generally;</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costs, fees, expenses and charges related to the Acquisition;</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Class A common stock available for public sale;</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or management;</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Class A common stock by our directors, officers or significant stockholders or the perception that such sales could occur;</w:t>
      </w:r>
    </w:p>
    <w:p>
      <w:pPr>
        <w:spacing w:after="0" w:line="136"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market stand-off or contractual lock-up agreements;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described herein;</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3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hanging="316"/>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the Nasdaq;</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or other laws or regulations;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 and</w:t>
      </w:r>
    </w:p>
    <w:p>
      <w:pPr>
        <w:spacing w:after="0" w:line="190"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inflation and interest rates, fuel prices, international currency fluctuations and acts of war or terrorism.</w:t>
      </w:r>
    </w:p>
    <w:p>
      <w:pPr>
        <w:spacing w:after="0" w:line="12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4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4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about us, our business, or our market, or if they change their recommendations regarding our Class A common stock adversely, then the price and trading volume of our Class A common stock could decline.</w:t>
      </w:r>
    </w:p>
    <w:p>
      <w:pPr>
        <w:spacing w:after="0" w:line="1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trading market for our Class A common stock is influenced by the research and reports that industry or securities analysts publish about us, our business, our market, or our competitors. If any of the analysts who cover us change their recommendation regarding our stock adversely, or provide more favorable relative recommendations about our competitors, the price of our Class A common stock would likely decline. If any analyst who covers us were to cease coverage of us or fail to regularly publish reports on us, we could lose visibility in the financial markets, which could cause our stock price or trading volume to decline.</w:t>
      </w:r>
    </w:p>
    <w:p>
      <w:pPr>
        <w:spacing w:after="0" w:line="14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3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Charter and Restated Bylaws, as well as provisions of Delaware law, could impair a takeover attempt.</w:t>
      </w:r>
    </w:p>
    <w:p>
      <w:pPr>
        <w:spacing w:after="0" w:line="1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(which we refer to as our “Charter”)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spacing w:after="0" w:line="154" w:lineRule="exact"/>
        <w:rPr>
          <w:sz w:val="20"/>
          <w:szCs w:val="20"/>
          <w:color w:val="auto"/>
        </w:rPr>
      </w:pPr>
    </w:p>
    <w:p>
      <w:pPr>
        <w:ind w:left="640" w:hanging="316"/>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the Board;</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directors may only be removed from the Board for cause;</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34"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hanging="316"/>
        <w:spacing w:after="0" w:line="274" w:lineRule="auto"/>
        <w:tabs>
          <w:tab w:leader="none" w:pos="6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136"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23"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stockholders calling a special meeting and the requirement that a meeting of stockholders may only be called by a majority of the board, our chairman of the board or our chief executive officer and may not be called by any other person, which may delay the ability of our stockholders to force consideration of a proposal or to take action, including the removal of directors;</w:t>
      </w:r>
    </w:p>
    <w:p>
      <w:pPr>
        <w:spacing w:after="0" w:line="13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changes or amendments to certain provisions of our Charter must be approved by holders of at least two-thirds of our Class A common stock; and</w:t>
      </w:r>
    </w:p>
    <w:p>
      <w:pPr>
        <w:spacing w:after="0" w:line="136"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3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As a result, our stockholders may not have access to certain information they deem important. We will remain an emerging growth company until the earliest of (i) the last day of the fiscal year: (a) following September 1, 2025, the fifth anniversary of the initial public offering of CMLS; (b) in which we have total annual gross revenue of at least $1.07 billion; or (c) in which we are deemed to be a large accelerated filer, which means the market value of our Class A common stock that is held by non-affiliates exceeds $700.0 million as of the prior June 30th, and (ii) the date on which we have issued more than $1.0 billion in non-convertible debt during the prior three-year period.</w:t>
      </w:r>
    </w:p>
    <w:p>
      <w:pPr>
        <w:spacing w:after="0" w:line="16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(i) the market value of our Class A common stock held by non-affiliates exceeds $250 million as of the prior June 30, or (ii) our annual revenues exceeded $100 million during such completed fiscal year and the market value of our Class A common stock held by non-affiliates exceeds $700 million as of the prior June 30.</w:t>
      </w:r>
    </w:p>
    <w:p>
      <w:pPr>
        <w:spacing w:after="0" w:line="146"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We cannot predict if investors will find our Class A common stock less attractive because we rely on these exemptions. If some investors find our Class A common stock less attractive as a result, there may be a less active trading market for our Class A common stock and our stock price may be more volatile.</w:t>
      </w:r>
    </w:p>
    <w:p>
      <w:pPr>
        <w:spacing w:after="0" w:line="35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34"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13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a public company, we are required to comply with the SEC’s rules implementing Sections 302 and 404 of Sarbanes-Oxley Act, which require management to certify financial and other information in our quarterly and annual reports and provide an annual management report on the effectiveness of internal control over financial reporting. To comply with the requirements of being a public company, we are required to provide management’s assessment on internal controls, and we may need to undertake various actions, such as implementing additional internal controls and procedures and hiring additional accounting or internal audit staff.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company are documented, designed or operating.</w:t>
      </w:r>
    </w:p>
    <w:p>
      <w:pPr>
        <w:spacing w:after="0" w:line="150"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Testing and maintaining these controls can divert our management’s attention from other matters that are important to the operation of our business. If we identify material weaknesses in the internal control over financial reporting of the company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 reports and the market price of our Class A common stock could be negatively affected, and we could become subject to investigations by the SEC or other regulatory authorities, which could require additional financial and management resources.</w:t>
      </w:r>
    </w:p>
    <w:p>
      <w:pPr>
        <w:spacing w:after="0" w:line="126"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Charter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Charter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3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Charter provides that, subject to limited exceptions, the Court of Chancery of the State of Delaware and federal court within the State of Delaware will be exclusive forums for any:</w:t>
      </w:r>
    </w:p>
    <w:p>
      <w:pPr>
        <w:spacing w:after="0" w:line="124" w:lineRule="exact"/>
        <w:rPr>
          <w:sz w:val="20"/>
          <w:szCs w:val="20"/>
          <w:color w:val="auto"/>
        </w:rPr>
      </w:pPr>
    </w:p>
    <w:p>
      <w:pPr>
        <w:ind w:left="640" w:hanging="316"/>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our behalf;</w:t>
      </w:r>
    </w:p>
    <w:p>
      <w:pPr>
        <w:spacing w:after="0" w:line="19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of breach of a fiduciary duty owed by, or other wrongdoing by, any of our directors, officers, stockholders, employees or agents to us or our stockholders;</w:t>
      </w:r>
    </w:p>
    <w:p>
      <w:pPr>
        <w:spacing w:after="0" w:line="123"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against the us or any of our directors, officers, stockholders, employees or agents arising pursuant to any provision of the General Corporation Law, our Charter or our Restated Bylaws or as to which the General Corporation Law confers jurisdiction on the Court of Chancery of the State of Delaware:</w:t>
      </w:r>
    </w:p>
    <w:p>
      <w:pPr>
        <w:spacing w:after="0" w:line="13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to interpret, apply, enforce or determine the validity of our Charter or our Bylaws; or</w:t>
      </w:r>
    </w:p>
    <w:p>
      <w:pPr>
        <w:spacing w:after="0" w:line="19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 asserting a claim against us or any of our directors, officers, stockholders, employees or agents that is governed by the internal affairs doctrine.</w:t>
      </w:r>
    </w:p>
    <w:p>
      <w:pPr>
        <w:spacing w:after="0" w:line="12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This choice of forum provision does not apply to actions brought to enforce a duty or liability created under the Exchange Act or any other claim for which federal courts have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Any person or entity purchasing or otherwise acquiring or holding any interest in any of our securities shall be deemed to have notice of and consented to our exclusive forum provision in our Bylaws and the choice of forum provision in our Charter.</w:t>
      </w:r>
    </w:p>
    <w:p>
      <w:pPr>
        <w:spacing w:after="0" w:line="12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These provisions may limit a stockholder’s ability to bring a claim in a judicial forum that it finds favorable for disputes with us or any of our directors, officers, or other employees, which may discourage lawsuits with respect to such</w:t>
      </w:r>
    </w:p>
    <w:p>
      <w:pPr>
        <w:spacing w:after="0" w:line="3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134"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claims. Alternatively, if a court were to find the choice of forum provisions contained in our Charter to be inapplicable or unenforceable in an action, we may incur additional costs associated with resolving such action in other jurisdictions, which could harm our business, results of operations and financial condition.</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stockholders will not be deemed to have waived our compliance with the federal securities laws and the regulations promulgated thereunder.</w:t>
      </w:r>
    </w:p>
    <w:p>
      <w:pPr>
        <w:spacing w:after="0" w:line="17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choice of forum provision. These provisions may limit a stockholders’ ability to bring a claim, and may result in increased costs for a stockholder to bring a claim in a judicial forum of their choosing for disputes with us or our directors, officers, or other employees, which may discourage lawsuits against us and our directors, officers, and other employees.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Warrants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may amend the terms of the public warrants in a manner that may be adverse to holders with the approval by the holders of at least 50% of the then-outstanding public warrants. As a result, the exercise price of a holder’s public warrants could be increased, the exercise period could be shortened and the number of shares of our common stock purchasable upon exercise of a public warrant could be decreased, all without the approval of that warrant holder.</w:t>
      </w:r>
    </w:p>
    <w:p>
      <w:pPr>
        <w:spacing w:after="0" w:line="14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warrants into cash or stock, shorten the exercise period or decrease the number of shares of common stock purchasable upon exercise of a public warrant.</w:t>
      </w:r>
    </w:p>
    <w:p>
      <w:pPr>
        <w:spacing w:after="0" w:line="146"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public warrants prior to their exercise at a time that is disadvantageous to warrant holders, thereby making their public warrants worthless.</w:t>
      </w:r>
    </w:p>
    <w:p>
      <w:pPr>
        <w:spacing w:after="0" w:line="13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have the ability to redeem outstanding public warrants at any time after they become exercisable and prior to their expiration, at a price of $0.01 per public warrant; provided that the last reported sales price of our common stock equals or exceeds $18.00 per share (as adjusted for stock splits, stock dividends, reorganizations, recapitalizations and the like) for any 20 trading days within a 30 trading-day period ending on the third trading day prior to the date on which we give notice of such redemption to the warrant holders.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 sky laws of the state of residence in those states in which the warrants were offered by us.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 warrants are called for redemption, is likely to be substantially less than the market value of their public warrants. None of the private placement warrants will be redeemable by us so long as they are held by CMLS Holdings LLC, or the Former Sponsor, or its permitted transferees.</w:t>
      </w:r>
    </w:p>
    <w:p>
      <w:pPr>
        <w:spacing w:after="0" w:line="14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warrants are exercisable for our Class A common stock, which will increase the number of shares eligible for future resale in the public market and result in dilution to our stockholders.</w:t>
      </w:r>
    </w:p>
    <w:p>
      <w:pPr>
        <w:spacing w:after="0" w:line="1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June 30, 2022, our public warrants are exercisable for 14,758,305 shares of Class A common stock at $11.50 per share. Our private warrants are exercisable for 7,236,667 shares of Class A common stock at $11.50 per share. The additional shares of our Class A common stock issuable upon exercise of our warrants will result in dilution to the then existing holders of our Class A common stock and increase the number of shares eligible for resale in the public market. Sales of substantial numbers of such shares in the public market could adversely affect the market price of our Class A common stock.</w:t>
      </w:r>
    </w:p>
    <w:p>
      <w:pPr>
        <w:spacing w:after="0" w:line="39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40"/>
          </w:cols>
          <w:pgMar w:left="320" w:top="13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warrants are accounted for as liabilities and the changes in value of our warrants could have a material effect on our financial results.</w:t>
      </w:r>
    </w:p>
    <w:p>
      <w:pPr>
        <w:spacing w:after="0" w:line="19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Included on our balance sheet as of June 30, 2022 are derivative liabilities related to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4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Future resales of our Class A common stock could cause the market price of our Class A common stock to drop significantly, even if our business is doing well.</w:t>
      </w:r>
    </w:p>
    <w:p>
      <w:pPr>
        <w:spacing w:after="0" w:line="1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w:t>
      </w:r>
    </w:p>
    <w:p>
      <w:pPr>
        <w:spacing w:after="0" w:line="13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had outstanding 379,896,799 shares of Class A common stock as of June 30, 2022. We have filed a registration statement which registers the offer and sale from time to time by certain selling stockholders of up to 160,864,198 shares of our Class A common stock, although the 110,864,198 shares registered on behalf of OPKO pursuant to this registration statement will be subject to transfer restrictions pursuant to the shareholder agreements that were entered into in connection with the Acquisition. In addition, we have filed a separate registration statement that the registers the offer and sale from time to time by certain selling security holders of up to an additional 229,657,978 shares of our Class A common stock. To the extent shares are sold into the market pursuant to these effective registration statements, under Rule 144 under the Securities Act or otherwise, particularly in substantial quantities and including following the end of the transfer restrictions provided for in the shareholder agreements in the case of OPKO and the other holders party such shareholder agreements, the market price of our Class A common stock could decline.</w:t>
      </w:r>
    </w:p>
    <w:p>
      <w:pPr>
        <w:spacing w:after="0" w:line="14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the public warrants will ever be in the money, and they may expire worthless and the terms of our public warrants may be amended.</w:t>
      </w:r>
    </w:p>
    <w:p>
      <w:pPr>
        <w:spacing w:after="0" w:line="1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exercise price for the public warrants is $11.50 per share of Class A common stock. There is no guarantee that the public warrants will ever be in the money prior to their expiration, and as such, the public warrants may expire worthless.</w:t>
      </w:r>
    </w:p>
    <w:p>
      <w:pPr>
        <w:spacing w:after="0" w:line="13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we will be able to satisfy the continued listing standards of Nasdaq going forward and if we fail to satisfy the continued listing requirements of Nasdaq, including the minimum closing bid price requirement, Nasdaq may take steps to delist our Class A common stock.</w:t>
      </w:r>
    </w:p>
    <w:p>
      <w:pPr>
        <w:spacing w:after="0" w:line="1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the Nasdaq under the symbols “SMFR” and “SMFRW,” respectively. However, we cannot ensure that we will be able to satisfy the continued listing standards of Nasdaq, including the minimum closing bid price requirement, going forward. If we cannot satisfy the continued listing standards going forward, The Nasdaq Stock Market may commence delisting procedures against us, which could result in our Class A common stock or public warrants being removed from listing on Nasdaq. If either of our Class A common stock or public warrants were to be delisted, the liquidity of our Class A common stock or warrants could be adversely affected and the market price of our Class A common stock or warrants could decrease. Delisting could also adversely affect our securityholders’ ability to trade or obtain quotations on our securities because of lower trading volumes and transaction delays. These factors could contribute to lower prices and larger spreads in the bid and ask price for our securities. Investors may also not be able to resell their Class A common stock or warrants at or above the price they paid for such securities or at all.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79" w:lineRule="exact"/>
        <w:rPr>
          <w:sz w:val="20"/>
          <w:szCs w:val="20"/>
          <w:color w:val="auto"/>
        </w:rPr>
      </w:pPr>
    </w:p>
    <w:p>
      <w:pPr>
        <w:ind w:left="320" w:right="280"/>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2 related to the Acquisition PIPE Investment is contained in the Current Report on Form 8-K, filed with SEC on May 2, 2022.</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134"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w:t>
      </w:r>
      <w:r>
        <w:rPr>
          <w:rFonts w:ascii="Times New Roman" w:cs="Times New Roman" w:eastAsia="Times New Roman" w:hAnsi="Times New Roman"/>
          <w:sz w:val="18"/>
          <w:szCs w:val="18"/>
          <w:color w:val="auto"/>
        </w:rPr>
        <w:t>s</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Associated with Exit or Disposal Activities.</w:t>
      </w:r>
    </w:p>
    <w:p>
      <w:pPr>
        <w:spacing w:after="0" w:line="1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August 11, 2022, the Board of Directors approved a plan to exit the Company’s somatic tumor testing business, including the planned closure of its laboratory in Branford, CT, effective December 31, 2022. In connection with the plan, the Company is also eliminating approximately 250 positions, representing about 13% of its workforce, which, combined with the Company’s prior reductions in force during 2022, will result in the elimination of approximately 30% of the roles from the Legacy Sema4 business. As a result of this decision, the Company currently estimates the impact of these actions to result in between $8.5 million and ### of cash charges primarily related to severance packages offered to the employees impacted by the plan to be incurred primarily during the second half of the year. The amount of this expected charge is an estimate, and the amount and timing of actual charges may vary due to a variety of factors. The Company also expects to incur non-cash charges, which it is currently not able to be estimated.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Departure of Directors or Certain Officers.</w:t>
      </w:r>
    </w:p>
    <w:p>
      <w:pPr>
        <w:spacing w:after="0" w:line="232" w:lineRule="exact"/>
        <w:rPr>
          <w:sz w:val="20"/>
          <w:szCs w:val="20"/>
          <w:color w:val="auto"/>
        </w:rPr>
      </w:pPr>
    </w:p>
    <w:p>
      <w:pPr>
        <w:jc w:val="both"/>
        <w:ind w:right="260" w:firstLine="318"/>
        <w:spacing w:after="0" w:line="244" w:lineRule="auto"/>
        <w:rPr>
          <w:sz w:val="20"/>
          <w:szCs w:val="20"/>
          <w:color w:val="auto"/>
        </w:rPr>
      </w:pPr>
      <w:r>
        <w:rPr>
          <w:rFonts w:ascii="Times New Roman" w:cs="Times New Roman" w:eastAsia="Times New Roman" w:hAnsi="Times New Roman"/>
          <w:sz w:val="18"/>
          <w:szCs w:val="18"/>
          <w:color w:val="auto"/>
        </w:rPr>
        <w:t>On August 11, 2022, our Board of Directors approved, and on August 12, 2022, Eric Schadt, Ph.D., our President and Chief Research &amp; Development Officer, and we mutually agreed the terms under which Dr. Schadt will leave us to pursue other career opportunities. Dr. Schadt’s departure is not related to any disagreement with us.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Compensatory Arrangements with Certain Officers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Dr. Schadt’s departure, we and Dr. Schadt have entered into a Separation Agreement (the “Separation Agreement”), pursuant to which Dr. Schadt will receive severance in the form of 24-months of continued salary, 24 months of reimbursement of COBRA continuation benefits, and an extended exercise period for certain of his outstanding stock options, in exchange for a customary release of claims against us.</w:t>
      </w:r>
    </w:p>
    <w:p>
      <w:pPr>
        <w:spacing w:after="0" w:line="138" w:lineRule="exact"/>
        <w:rPr>
          <w:sz w:val="20"/>
          <w:szCs w:val="20"/>
          <w:color w:val="auto"/>
        </w:rPr>
      </w:pPr>
    </w:p>
    <w:p>
      <w:pPr>
        <w:ind w:right="200" w:firstLine="318"/>
        <w:spacing w:after="0" w:line="274" w:lineRule="auto"/>
        <w:rPr>
          <w:sz w:val="20"/>
          <w:szCs w:val="20"/>
          <w:color w:val="auto"/>
        </w:rPr>
      </w:pPr>
      <w:r>
        <w:rPr>
          <w:rFonts w:ascii="Times New Roman" w:cs="Times New Roman" w:eastAsia="Times New Roman" w:hAnsi="Times New Roman"/>
          <w:sz w:val="18"/>
          <w:szCs w:val="18"/>
          <w:color w:val="auto"/>
        </w:rPr>
        <w:t>The foregoing description of the Separation Agreement does not purport to be complete and is qualified in its entirety by reference to the full text of the Separation Agreement, a copy of which is attached as Exhibit 10.6 and is incorporated herein by reference.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Certain Officers.</w:t>
      </w:r>
    </w:p>
    <w:p>
      <w:pPr>
        <w:spacing w:after="0" w:line="232"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In connection with Dr. Schadt’s departure, on August 11, 2022, the Board of Directors approved the appointment of Katherine Stueland, our current Chief Executive Officer and a director, to also be our President, with such appointment to become effective as of August 15, 2022.</w:t>
      </w:r>
    </w:p>
    <w:p>
      <w:pPr>
        <w:spacing w:after="0" w:line="191"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Ms. Stueland’s biographical information is incorporated herein by reference as set forth in our definitive proxy statement filed with the SEC on March 31, 2022 (the “Proxy Statement”).</w:t>
      </w:r>
    </w:p>
    <w:p>
      <w:pPr>
        <w:spacing w:after="0" w:line="191"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The information regarding family relationships between Ms. Stueland and any our directors or executive officers required to reported pursuant to Item 401(d) of Regulation S-K, and relationships or related transactions between Ms. Stueland and us that are required to be reported pursuant to Item 404(a) of Regulation S-K, is incorporated herein by reference as set forth in the Proxy Statement and our Current Report on Form 8-K filed with the SEC on May 2,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Compensatory Arrangements with Certain Officers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34"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In connection with Dr. Schadt’s departure, we and Dr. Schadt have entered into a Separation Agreement (the “Separation Agreement”), pursuant to which Dr. Schadt will receive severance in the form of 24-months of continued salary, 24 months of reimbursement of COBRA continuation benefits, and an extended exercise period for certain of his outstanding stock options, in exchange for a customary release of claims against us.</w:t>
      </w:r>
    </w:p>
    <w:p>
      <w:pPr>
        <w:spacing w:after="0" w:line="203" w:lineRule="exact"/>
        <w:rPr>
          <w:sz w:val="20"/>
          <w:szCs w:val="20"/>
          <w:color w:val="auto"/>
        </w:rPr>
      </w:pPr>
    </w:p>
    <w:p>
      <w:pPr>
        <w:ind w:right="200" w:firstLine="318"/>
        <w:spacing w:after="0" w:line="258" w:lineRule="auto"/>
        <w:rPr>
          <w:sz w:val="20"/>
          <w:szCs w:val="20"/>
          <w:color w:val="auto"/>
        </w:rPr>
      </w:pPr>
      <w:r>
        <w:rPr>
          <w:rFonts w:ascii="Times New Roman" w:cs="Times New Roman" w:eastAsia="Times New Roman" w:hAnsi="Times New Roman"/>
          <w:sz w:val="18"/>
          <w:szCs w:val="18"/>
          <w:color w:val="auto"/>
        </w:rPr>
        <w:t>The foregoing description of the Separation Agreement does not purport to be complete and is qualified in its entirety by reference to the full text of the Separation Agreement, a copy of which is attached as Exhibit 10.6 and is incorporated herein by reference.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Events</w:t>
      </w:r>
    </w:p>
    <w:p>
      <w:pPr>
        <w:spacing w:after="0" w:line="232" w:lineRule="exact"/>
        <w:rPr>
          <w:sz w:val="20"/>
          <w:szCs w:val="20"/>
          <w:color w:val="auto"/>
        </w:rPr>
      </w:pPr>
    </w:p>
    <w:p>
      <w:pPr>
        <w:ind w:right="200" w:firstLine="318"/>
        <w:spacing w:after="0" w:line="236" w:lineRule="auto"/>
        <w:rPr>
          <w:sz w:val="20"/>
          <w:szCs w:val="20"/>
          <w:color w:val="auto"/>
        </w:rPr>
      </w:pPr>
      <w:r>
        <w:rPr>
          <w:rFonts w:ascii="Times New Roman" w:cs="Times New Roman" w:eastAsia="Times New Roman" w:hAnsi="Times New Roman"/>
          <w:sz w:val="18"/>
          <w:szCs w:val="18"/>
          <w:color w:val="auto"/>
        </w:rPr>
        <w:t>In addition to the management changes discussed above, Matthew Davis, formerly Head of AI &amp; Data at Invitae Corp. (NYSE: NVTA), is joining us as Chief Technology and Product Officer. Mr. Davis will work in close partnership with Chief Science Officer, Gustavo Stolovitzky, to drive scientific and product innovation to deliver on our data strategy for health systems and biopharma partners. Further, Daniel Clark, our general counsel, and Anthony Prentice, our Chief Product Officer, will be leaving us to pursue other career opportunities.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w:t>
      </w: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134"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180" w:type="dxa"/>
            <w:vAlign w:val="bottom"/>
            <w:tcBorders>
              <w:bottom w:val="single" w:sz="8" w:color="CCEEFF"/>
            </w:tcBorders>
          </w:tcPr>
          <w:p>
            <w:pPr>
              <w:spacing w:after="0"/>
              <w:rPr>
                <w:sz w:val="20"/>
                <w:szCs w:val="20"/>
                <w:color w:val="auto"/>
              </w:rPr>
            </w:pPr>
          </w:p>
        </w:tc>
        <w:tc>
          <w:tcPr>
            <w:tcW w:w="4060" w:type="dxa"/>
            <w:vAlign w:val="bottom"/>
            <w:tcBorders>
              <w:top w:val="single" w:sz="8" w:color="auto"/>
              <w:bottom w:val="single" w:sz="8" w:color="auto"/>
            </w:tcBorders>
            <w:gridSpan w:val="21"/>
          </w:tcPr>
          <w:p>
            <w:pPr>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160" w:type="dxa"/>
            <w:vAlign w:val="bottom"/>
            <w:tcBorders>
              <w:bottom w:val="single" w:sz="8" w:color="CCEEFF"/>
            </w:tcBorders>
          </w:tcPr>
          <w:p>
            <w:pPr>
              <w:spacing w:after="0"/>
              <w:rPr>
                <w:sz w:val="20"/>
                <w:szCs w:val="20"/>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6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6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10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Filed Herewith</w:t>
            </w: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3.1</w:t>
            </w:r>
          </w:p>
        </w:tc>
        <w:tc>
          <w:tcPr>
            <w:tcW w:w="180" w:type="dxa"/>
            <w:vAlign w:val="bottom"/>
            <w:tcBorders>
              <w:right w:val="single" w:sz="8" w:color="CCEEFF"/>
            </w:tcBorders>
            <w:shd w:val="clear" w:color="auto" w:fill="CCEEFF"/>
          </w:tcPr>
          <w:p>
            <w:pPr>
              <w:spacing w:after="0"/>
              <w:rPr>
                <w:sz w:val="14"/>
                <w:szCs w:val="14"/>
                <w:color w:val="auto"/>
              </w:rPr>
            </w:pPr>
          </w:p>
        </w:tc>
        <w:tc>
          <w:tcPr>
            <w:tcW w:w="4060" w:type="dxa"/>
            <w:vAlign w:val="bottom"/>
            <w:gridSpan w:val="21"/>
            <w:shd w:val="clear" w:color="auto" w:fill="CCEEFF"/>
          </w:tcPr>
          <w:p>
            <w:pPr>
              <w:spacing w:after="0" w:line="172" w:lineRule="exact"/>
              <w:rPr>
                <w:rFonts w:ascii="Times New Roman" w:cs="Times New Roman" w:eastAsia="Times New Roman" w:hAnsi="Times New Roman"/>
                <w:sz w:val="16"/>
                <w:szCs w:val="16"/>
                <w:color w:val="0000FF"/>
              </w:rPr>
            </w:pPr>
            <w:hyperlink r:id="rId34">
              <w:r>
                <w:rPr>
                  <w:rFonts w:ascii="Times New Roman" w:cs="Times New Roman" w:eastAsia="Times New Roman" w:hAnsi="Times New Roman"/>
                  <w:sz w:val="16"/>
                  <w:szCs w:val="16"/>
                  <w:color w:val="0000FF"/>
                </w:rPr>
                <w:t>Certificate of Amendment to the Third Amended and Restated</w:t>
              </w:r>
            </w:hyperlink>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rPr>
              <w:t>8-K</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3.1</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ind w:left="260"/>
              <w:spacing w:after="0" w:line="172" w:lineRule="exact"/>
              <w:rPr>
                <w:sz w:val="20"/>
                <w:szCs w:val="20"/>
                <w:color w:val="auto"/>
              </w:rPr>
            </w:pPr>
            <w:r>
              <w:rPr>
                <w:rFonts w:ascii="Times New Roman" w:cs="Times New Roman" w:eastAsia="Times New Roman" w:hAnsi="Times New Roman"/>
                <w:sz w:val="16"/>
                <w:szCs w:val="16"/>
                <w:color w:val="auto"/>
              </w:rPr>
              <w:t>05/02/2022</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8"/>
        </w:trPr>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3980" w:type="dxa"/>
            <w:vAlign w:val="bottom"/>
            <w:tcBorders>
              <w:top w:val="single" w:sz="8" w:color="0000FF"/>
            </w:tcBorders>
            <w:gridSpan w:val="19"/>
            <w:shd w:val="clear" w:color="auto" w:fill="CCEEFF"/>
          </w:tcPr>
          <w:p>
            <w:pPr>
              <w:spacing w:after="0" w:line="152" w:lineRule="exact"/>
              <w:rPr>
                <w:rFonts w:ascii="Times New Roman" w:cs="Times New Roman" w:eastAsia="Times New Roman" w:hAnsi="Times New Roman"/>
                <w:sz w:val="16"/>
                <w:szCs w:val="16"/>
                <w:color w:val="0000FF"/>
              </w:rPr>
            </w:pPr>
            <w:hyperlink r:id="rId34">
              <w:r>
                <w:rPr>
                  <w:rFonts w:ascii="Times New Roman" w:cs="Times New Roman" w:eastAsia="Times New Roman" w:hAnsi="Times New Roman"/>
                  <w:sz w:val="16"/>
                  <w:szCs w:val="16"/>
                  <w:color w:val="0000FF"/>
                </w:rPr>
                <w:t>Certificate of Incorporation of Sema4 Holdings Corp.</w:t>
              </w:r>
            </w:hyperlink>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10.1</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2"/>
            <w:shd w:val="clear" w:color="auto" w:fill="CCEEFF"/>
          </w:tcPr>
          <w:p>
            <w:pPr>
              <w:spacing w:after="0" w:line="172" w:lineRule="exact"/>
              <w:rPr>
                <w:rFonts w:ascii="Times New Roman" w:cs="Times New Roman" w:eastAsia="Times New Roman" w:hAnsi="Times New Roman"/>
                <w:sz w:val="16"/>
                <w:szCs w:val="16"/>
                <w:color w:val="0000FF"/>
              </w:rPr>
            </w:pPr>
            <w:hyperlink r:id="rId35">
              <w:r>
                <w:rPr>
                  <w:rFonts w:ascii="Times New Roman" w:cs="Times New Roman" w:eastAsia="Times New Roman" w:hAnsi="Times New Roman"/>
                  <w:sz w:val="16"/>
                  <w:szCs w:val="16"/>
                  <w:color w:val="0000FF"/>
                </w:rPr>
                <w:t>Transition Services Agreement, dated as of April 29, 2022, by</w:t>
              </w:r>
            </w:hyperlink>
          </w:p>
        </w:tc>
        <w:tc>
          <w:tcPr>
            <w:tcW w:w="1380" w:type="dxa"/>
            <w:vAlign w:val="bottom"/>
            <w:gridSpan w:val="2"/>
            <w:shd w:val="clear" w:color="auto" w:fill="CCEEFF"/>
          </w:tcPr>
          <w:p>
            <w:pPr>
              <w:jc w:val="center"/>
              <w:ind w:right="160"/>
              <w:spacing w:after="0" w:line="172" w:lineRule="exact"/>
              <w:rPr>
                <w:sz w:val="20"/>
                <w:szCs w:val="20"/>
                <w:color w:val="auto"/>
              </w:rPr>
            </w:pPr>
            <w:r>
              <w:rPr>
                <w:rFonts w:ascii="Times New Roman" w:cs="Times New Roman" w:eastAsia="Times New Roman" w:hAnsi="Times New Roman"/>
                <w:sz w:val="16"/>
                <w:szCs w:val="16"/>
                <w:color w:val="auto"/>
              </w:rPr>
              <w:t>8-K</w:t>
            </w:r>
          </w:p>
        </w:tc>
        <w:tc>
          <w:tcPr>
            <w:tcW w:w="12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10.1</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ind w:left="260"/>
              <w:spacing w:after="0" w:line="172" w:lineRule="exact"/>
              <w:rPr>
                <w:sz w:val="20"/>
                <w:szCs w:val="20"/>
                <w:color w:val="auto"/>
              </w:rPr>
            </w:pPr>
            <w:r>
              <w:rPr>
                <w:rFonts w:ascii="Times New Roman" w:cs="Times New Roman" w:eastAsia="Times New Roman" w:hAnsi="Times New Roman"/>
                <w:sz w:val="16"/>
                <w:szCs w:val="16"/>
                <w:color w:val="auto"/>
              </w:rPr>
              <w:t>05/02/2022</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8"/>
        </w:trPr>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3960" w:type="dxa"/>
            <w:vAlign w:val="bottom"/>
            <w:tcBorders>
              <w:top w:val="single" w:sz="8" w:color="0000FF"/>
            </w:tcBorders>
            <w:gridSpan w:val="18"/>
            <w:shd w:val="clear" w:color="auto" w:fill="CCEEFF"/>
          </w:tcPr>
          <w:p>
            <w:pPr>
              <w:spacing w:after="0" w:line="152" w:lineRule="exact"/>
              <w:rPr>
                <w:rFonts w:ascii="Times New Roman" w:cs="Times New Roman" w:eastAsia="Times New Roman" w:hAnsi="Times New Roman"/>
                <w:sz w:val="16"/>
                <w:szCs w:val="16"/>
                <w:color w:val="0000FF"/>
              </w:rPr>
            </w:pPr>
            <w:hyperlink r:id="rId35">
              <w:r>
                <w:rPr>
                  <w:rFonts w:ascii="Times New Roman" w:cs="Times New Roman" w:eastAsia="Times New Roman" w:hAnsi="Times New Roman"/>
                  <w:sz w:val="16"/>
                  <w:szCs w:val="16"/>
                  <w:color w:val="0000FF"/>
                </w:rPr>
                <w:t xml:space="preserve">and between GeneDx, Inc. and OPKO Health, </w:t>
              </w:r>
              <w:r>
                <w:rPr>
                  <w:rFonts w:ascii="Times New Roman" w:cs="Times New Roman" w:eastAsia="Times New Roman" w:hAnsi="Times New Roman"/>
                  <w:sz w:val="16"/>
                  <w:szCs w:val="16"/>
                  <w:color w:val="000000"/>
                </w:rPr>
                <w:t>Inc</w:t>
              </w:r>
            </w:hyperlink>
          </w:p>
        </w:tc>
        <w:tc>
          <w:tcPr>
            <w:tcW w:w="6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10.2</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2"/>
            <w:shd w:val="clear" w:color="auto" w:fill="CCEEFF"/>
          </w:tcPr>
          <w:p>
            <w:pPr>
              <w:spacing w:after="0" w:line="172" w:lineRule="exact"/>
              <w:rPr>
                <w:rFonts w:ascii="Times New Roman" w:cs="Times New Roman" w:eastAsia="Times New Roman" w:hAnsi="Times New Roman"/>
                <w:sz w:val="16"/>
                <w:szCs w:val="16"/>
                <w:color w:val="0000FF"/>
              </w:rPr>
            </w:pPr>
            <w:hyperlink r:id="rId36">
              <w:r>
                <w:rPr>
                  <w:rFonts w:ascii="Times New Roman" w:cs="Times New Roman" w:eastAsia="Times New Roman" w:hAnsi="Times New Roman"/>
                  <w:sz w:val="16"/>
                  <w:szCs w:val="16"/>
                  <w:color w:val="0000FF"/>
                </w:rPr>
                <w:t>Employment Agreement, dated as of January 14, 2022, as</w:t>
              </w:r>
            </w:hyperlink>
          </w:p>
        </w:tc>
        <w:tc>
          <w:tcPr>
            <w:tcW w:w="1380" w:type="dxa"/>
            <w:vAlign w:val="bottom"/>
            <w:gridSpan w:val="2"/>
            <w:shd w:val="clear" w:color="auto" w:fill="CCEEFF"/>
          </w:tcPr>
          <w:p>
            <w:pPr>
              <w:jc w:val="center"/>
              <w:ind w:right="160"/>
              <w:spacing w:after="0" w:line="172" w:lineRule="exact"/>
              <w:rPr>
                <w:sz w:val="20"/>
                <w:szCs w:val="20"/>
                <w:color w:val="auto"/>
              </w:rPr>
            </w:pPr>
            <w:r>
              <w:rPr>
                <w:rFonts w:ascii="Times New Roman" w:cs="Times New Roman" w:eastAsia="Times New Roman" w:hAnsi="Times New Roman"/>
                <w:sz w:val="16"/>
                <w:szCs w:val="16"/>
                <w:color w:val="auto"/>
              </w:rPr>
              <w:t>8-K</w:t>
            </w:r>
          </w:p>
        </w:tc>
        <w:tc>
          <w:tcPr>
            <w:tcW w:w="12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10.2</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ind w:left="260"/>
              <w:spacing w:after="0" w:line="172" w:lineRule="exact"/>
              <w:rPr>
                <w:sz w:val="20"/>
                <w:szCs w:val="20"/>
                <w:color w:val="auto"/>
              </w:rPr>
            </w:pPr>
            <w:r>
              <w:rPr>
                <w:rFonts w:ascii="Times New Roman" w:cs="Times New Roman" w:eastAsia="Times New Roman" w:hAnsi="Times New Roman"/>
                <w:sz w:val="16"/>
                <w:szCs w:val="16"/>
                <w:color w:val="auto"/>
              </w:rPr>
              <w:t>05/02/2022</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52"/>
        </w:trPr>
        <w:tc>
          <w:tcPr>
            <w:tcW w:w="86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3700" w:type="dxa"/>
            <w:vAlign w:val="bottom"/>
            <w:tcBorders>
              <w:top w:val="single" w:sz="8" w:color="0000FF"/>
              <w:bottom w:val="single" w:sz="8" w:color="0000FF"/>
            </w:tcBorders>
            <w:gridSpan w:val="11"/>
            <w:shd w:val="clear" w:color="auto" w:fill="CCEEFF"/>
          </w:tcPr>
          <w:p>
            <w:pPr>
              <w:spacing w:after="0" w:line="152" w:lineRule="exact"/>
              <w:rPr>
                <w:rFonts w:ascii="Times New Roman" w:cs="Times New Roman" w:eastAsia="Times New Roman" w:hAnsi="Times New Roman"/>
                <w:sz w:val="16"/>
                <w:szCs w:val="16"/>
                <w:color w:val="0000FF"/>
                <w:w w:val="98"/>
              </w:rPr>
            </w:pPr>
            <w:hyperlink r:id="rId36">
              <w:r>
                <w:rPr>
                  <w:rFonts w:ascii="Times New Roman" w:cs="Times New Roman" w:eastAsia="Times New Roman" w:hAnsi="Times New Roman"/>
                  <w:sz w:val="16"/>
                  <w:szCs w:val="16"/>
                  <w:color w:val="0000FF"/>
                  <w:w w:val="98"/>
                </w:rPr>
                <w:t>amended April 29, 2022, by and between Sema4 Holdings</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4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98"/>
        </w:trPr>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720" w:type="dxa"/>
            <w:vAlign w:val="bottom"/>
            <w:gridSpan w:val="12"/>
            <w:shd w:val="clear" w:color="auto" w:fill="CCEEFF"/>
          </w:tcPr>
          <w:p>
            <w:pPr>
              <w:spacing w:after="0" w:line="165" w:lineRule="exact"/>
              <w:rPr>
                <w:rFonts w:ascii="Times New Roman" w:cs="Times New Roman" w:eastAsia="Times New Roman" w:hAnsi="Times New Roman"/>
                <w:sz w:val="16"/>
                <w:szCs w:val="16"/>
                <w:color w:val="0000FF"/>
              </w:rPr>
            </w:pPr>
            <w:hyperlink r:id="rId36">
              <w:r>
                <w:rPr>
                  <w:rFonts w:ascii="Times New Roman" w:cs="Times New Roman" w:eastAsia="Times New Roman" w:hAnsi="Times New Roman"/>
                  <w:sz w:val="16"/>
                  <w:szCs w:val="16"/>
                  <w:color w:val="0000FF"/>
                </w:rPr>
                <w:t>Corp. and Katherine Stueland.</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gridSpan w:val="2"/>
            <w:shd w:val="clear" w:color="auto" w:fill="CCEEFF"/>
          </w:tcPr>
          <w:p>
            <w:pPr>
              <w:spacing w:after="0"/>
              <w:rPr>
                <w:sz w:val="17"/>
                <w:szCs w:val="17"/>
                <w:color w:val="auto"/>
              </w:rPr>
            </w:pPr>
          </w:p>
        </w:tc>
        <w:tc>
          <w:tcPr>
            <w:tcW w:w="200" w:type="dxa"/>
            <w:vAlign w:val="bottom"/>
            <w:gridSpan w:val="2"/>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10.3</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2"/>
            <w:shd w:val="clear" w:color="auto" w:fill="CCEEFF"/>
          </w:tcPr>
          <w:p>
            <w:pPr>
              <w:spacing w:after="0" w:line="172" w:lineRule="exact"/>
              <w:rPr>
                <w:rFonts w:ascii="Times New Roman" w:cs="Times New Roman" w:eastAsia="Times New Roman" w:hAnsi="Times New Roman"/>
                <w:sz w:val="16"/>
                <w:szCs w:val="16"/>
                <w:color w:val="0000FF"/>
              </w:rPr>
            </w:pPr>
            <w:hyperlink r:id="rId37">
              <w:r>
                <w:rPr>
                  <w:rFonts w:ascii="Times New Roman" w:cs="Times New Roman" w:eastAsia="Times New Roman" w:hAnsi="Times New Roman"/>
                  <w:sz w:val="16"/>
                  <w:szCs w:val="16"/>
                  <w:color w:val="0000FF"/>
                </w:rPr>
                <w:t>Amendment No.1 to the Amended and Restated Employment</w:t>
              </w:r>
            </w:hyperlink>
          </w:p>
        </w:tc>
        <w:tc>
          <w:tcPr>
            <w:tcW w:w="1380" w:type="dxa"/>
            <w:vAlign w:val="bottom"/>
            <w:gridSpan w:val="2"/>
            <w:shd w:val="clear" w:color="auto" w:fill="CCEEFF"/>
          </w:tcPr>
          <w:p>
            <w:pPr>
              <w:jc w:val="center"/>
              <w:ind w:right="160"/>
              <w:spacing w:after="0" w:line="172" w:lineRule="exact"/>
              <w:rPr>
                <w:sz w:val="20"/>
                <w:szCs w:val="20"/>
                <w:color w:val="auto"/>
              </w:rPr>
            </w:pPr>
            <w:r>
              <w:rPr>
                <w:rFonts w:ascii="Times New Roman" w:cs="Times New Roman" w:eastAsia="Times New Roman" w:hAnsi="Times New Roman"/>
                <w:sz w:val="16"/>
                <w:szCs w:val="16"/>
                <w:color w:val="auto"/>
              </w:rPr>
              <w:t>8-K</w:t>
            </w:r>
          </w:p>
        </w:tc>
        <w:tc>
          <w:tcPr>
            <w:tcW w:w="12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10.1</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ind w:left="260"/>
              <w:spacing w:after="0" w:line="172" w:lineRule="exact"/>
              <w:rPr>
                <w:sz w:val="20"/>
                <w:szCs w:val="20"/>
                <w:color w:val="auto"/>
              </w:rPr>
            </w:pPr>
            <w:r>
              <w:rPr>
                <w:rFonts w:ascii="Times New Roman" w:cs="Times New Roman" w:eastAsia="Times New Roman" w:hAnsi="Times New Roman"/>
                <w:sz w:val="16"/>
                <w:szCs w:val="16"/>
                <w:color w:val="auto"/>
              </w:rPr>
              <w:t>06/14/2022</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8"/>
        </w:trPr>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3920" w:type="dxa"/>
            <w:vAlign w:val="bottom"/>
            <w:tcBorders>
              <w:top w:val="single" w:sz="8" w:color="0000FF"/>
            </w:tcBorders>
            <w:gridSpan w:val="17"/>
            <w:shd w:val="clear" w:color="auto" w:fill="CCEEFF"/>
          </w:tcPr>
          <w:p>
            <w:pPr>
              <w:spacing w:after="0" w:line="152" w:lineRule="exact"/>
              <w:rPr>
                <w:rFonts w:ascii="Times New Roman" w:cs="Times New Roman" w:eastAsia="Times New Roman" w:hAnsi="Times New Roman"/>
                <w:sz w:val="16"/>
                <w:szCs w:val="16"/>
                <w:color w:val="0000FF"/>
              </w:rPr>
            </w:pPr>
            <w:hyperlink r:id="rId37">
              <w:r>
                <w:rPr>
                  <w:rFonts w:ascii="Times New Roman" w:cs="Times New Roman" w:eastAsia="Times New Roman" w:hAnsi="Times New Roman"/>
                  <w:sz w:val="16"/>
                  <w:szCs w:val="16"/>
                  <w:color w:val="0000FF"/>
                </w:rPr>
                <w:t>of Agreement of Eric Schadt, dated June 14, 2022.</w:t>
              </w:r>
            </w:hyperlink>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10.4</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2"/>
            <w:shd w:val="clear" w:color="auto" w:fill="CCEEFF"/>
          </w:tcPr>
          <w:p>
            <w:pPr>
              <w:spacing w:after="0" w:line="172" w:lineRule="exact"/>
              <w:rPr>
                <w:rFonts w:ascii="Times New Roman" w:cs="Times New Roman" w:eastAsia="Times New Roman" w:hAnsi="Times New Roman"/>
                <w:sz w:val="16"/>
                <w:szCs w:val="16"/>
                <w:color w:val="0000FF"/>
              </w:rPr>
            </w:pPr>
            <w:hyperlink r:id="rId38">
              <w:r>
                <w:rPr>
                  <w:rFonts w:ascii="Times New Roman" w:cs="Times New Roman" w:eastAsia="Times New Roman" w:hAnsi="Times New Roman"/>
                  <w:sz w:val="16"/>
                  <w:szCs w:val="16"/>
                  <w:color w:val="0000FF"/>
                </w:rPr>
                <w:t>Consulting Agreement with Isaac Ro, dated as of June 14,</w:t>
              </w:r>
            </w:hyperlink>
          </w:p>
        </w:tc>
        <w:tc>
          <w:tcPr>
            <w:tcW w:w="1380" w:type="dxa"/>
            <w:vAlign w:val="bottom"/>
            <w:gridSpan w:val="2"/>
            <w:shd w:val="clear" w:color="auto" w:fill="CCEEFF"/>
          </w:tcPr>
          <w:p>
            <w:pPr>
              <w:jc w:val="center"/>
              <w:ind w:right="160"/>
              <w:spacing w:after="0" w:line="172" w:lineRule="exact"/>
              <w:rPr>
                <w:sz w:val="20"/>
                <w:szCs w:val="20"/>
                <w:color w:val="auto"/>
              </w:rPr>
            </w:pPr>
            <w:r>
              <w:rPr>
                <w:rFonts w:ascii="Times New Roman" w:cs="Times New Roman" w:eastAsia="Times New Roman" w:hAnsi="Times New Roman"/>
                <w:sz w:val="16"/>
                <w:szCs w:val="16"/>
                <w:color w:val="auto"/>
              </w:rPr>
              <w:t>8-K</w:t>
            </w:r>
          </w:p>
        </w:tc>
        <w:tc>
          <w:tcPr>
            <w:tcW w:w="12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10.2</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ind w:left="260"/>
              <w:spacing w:after="0" w:line="172" w:lineRule="exact"/>
              <w:rPr>
                <w:sz w:val="20"/>
                <w:szCs w:val="20"/>
                <w:color w:val="auto"/>
              </w:rPr>
            </w:pPr>
            <w:r>
              <w:rPr>
                <w:rFonts w:ascii="Times New Roman" w:cs="Times New Roman" w:eastAsia="Times New Roman" w:hAnsi="Times New Roman"/>
                <w:sz w:val="16"/>
                <w:szCs w:val="16"/>
                <w:color w:val="auto"/>
              </w:rPr>
              <w:t>06/14/2022</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8"/>
        </w:trPr>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780" w:type="dxa"/>
            <w:vAlign w:val="bottom"/>
            <w:tcBorders>
              <w:top w:val="single" w:sz="8" w:color="0000FF"/>
            </w:tcBorders>
            <w:gridSpan w:val="2"/>
            <w:shd w:val="clear" w:color="auto" w:fill="CCEEFF"/>
          </w:tcPr>
          <w:p>
            <w:pPr>
              <w:spacing w:after="0" w:line="152" w:lineRule="exact"/>
              <w:rPr>
                <w:rFonts w:ascii="Times New Roman" w:cs="Times New Roman" w:eastAsia="Times New Roman" w:hAnsi="Times New Roman"/>
                <w:sz w:val="16"/>
                <w:szCs w:val="16"/>
                <w:color w:val="0000FF"/>
              </w:rPr>
            </w:pPr>
            <w:hyperlink r:id="rId38">
              <w:r>
                <w:rPr>
                  <w:rFonts w:ascii="Times New Roman" w:cs="Times New Roman" w:eastAsia="Times New Roman" w:hAnsi="Times New Roman"/>
                  <w:sz w:val="16"/>
                  <w:szCs w:val="16"/>
                  <w:color w:val="0000FF"/>
                </w:rPr>
                <w:t>2022.</w:t>
              </w:r>
            </w:hyperlink>
          </w:p>
        </w:tc>
        <w:tc>
          <w:tcPr>
            <w:tcW w:w="8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04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20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right w:val="single" w:sz="8" w:color="CCEE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10.5</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2"/>
            <w:shd w:val="clear" w:color="auto" w:fill="CCEEFF"/>
          </w:tcPr>
          <w:p>
            <w:pPr>
              <w:spacing w:after="0" w:line="172" w:lineRule="exact"/>
              <w:rPr>
                <w:rFonts w:ascii="Times New Roman" w:cs="Times New Roman" w:eastAsia="Times New Roman" w:hAnsi="Times New Roman"/>
                <w:sz w:val="16"/>
                <w:szCs w:val="16"/>
                <w:color w:val="0000FF"/>
              </w:rPr>
            </w:pPr>
            <w:hyperlink r:id="rId39">
              <w:r>
                <w:rPr>
                  <w:rFonts w:ascii="Times New Roman" w:cs="Times New Roman" w:eastAsia="Times New Roman" w:hAnsi="Times New Roman"/>
                  <w:sz w:val="16"/>
                  <w:szCs w:val="16"/>
                  <w:color w:val="0000FF"/>
                </w:rPr>
                <w:t>Separation Agreement and General Release with Isaac Ro,</w:t>
              </w:r>
            </w:hyperlink>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rPr>
              <w:t>X</w:t>
            </w:r>
          </w:p>
        </w:tc>
      </w:tr>
      <w:tr>
        <w:trPr>
          <w:trHeight w:val="198"/>
        </w:trPr>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3760" w:type="dxa"/>
            <w:vAlign w:val="bottom"/>
            <w:tcBorders>
              <w:top w:val="single" w:sz="8" w:color="0000FF"/>
            </w:tcBorders>
            <w:gridSpan w:val="14"/>
            <w:shd w:val="clear" w:color="auto" w:fill="CCEEFF"/>
          </w:tcPr>
          <w:p>
            <w:pPr>
              <w:spacing w:after="0" w:line="152" w:lineRule="exact"/>
              <w:rPr>
                <w:rFonts w:ascii="Times New Roman" w:cs="Times New Roman" w:eastAsia="Times New Roman" w:hAnsi="Times New Roman"/>
                <w:sz w:val="16"/>
                <w:szCs w:val="16"/>
                <w:color w:val="0000FF"/>
              </w:rPr>
            </w:pPr>
            <w:hyperlink r:id="rId39">
              <w:r>
                <w:rPr>
                  <w:rFonts w:ascii="Times New Roman" w:cs="Times New Roman" w:eastAsia="Times New Roman" w:hAnsi="Times New Roman"/>
                  <w:sz w:val="16"/>
                  <w:szCs w:val="16"/>
                  <w:color w:val="0000FF"/>
                </w:rPr>
                <w:t>dated as of August 11, 2022</w:t>
              </w:r>
            </w:hyperlink>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10.6</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2"/>
            <w:shd w:val="clear" w:color="auto" w:fill="CCEEFF"/>
          </w:tcPr>
          <w:p>
            <w:pPr>
              <w:spacing w:after="0" w:line="172" w:lineRule="exact"/>
              <w:rPr>
                <w:rFonts w:ascii="Times New Roman" w:cs="Times New Roman" w:eastAsia="Times New Roman" w:hAnsi="Times New Roman"/>
                <w:sz w:val="16"/>
                <w:szCs w:val="16"/>
                <w:color w:val="0000FF"/>
              </w:rPr>
            </w:pPr>
            <w:hyperlink r:id="rId40">
              <w:r>
                <w:rPr>
                  <w:rFonts w:ascii="Times New Roman" w:cs="Times New Roman" w:eastAsia="Times New Roman" w:hAnsi="Times New Roman"/>
                  <w:sz w:val="16"/>
                  <w:szCs w:val="16"/>
                  <w:color w:val="0000FF"/>
                </w:rPr>
                <w:t>Separation Agreement, dated as of August 12, 2022, by and</w:t>
              </w:r>
            </w:hyperlink>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rPr>
              <w:t>X</w:t>
            </w:r>
          </w:p>
        </w:tc>
      </w:tr>
      <w:tr>
        <w:trPr>
          <w:trHeight w:val="198"/>
        </w:trPr>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3800" w:type="dxa"/>
            <w:vAlign w:val="bottom"/>
            <w:tcBorders>
              <w:top w:val="single" w:sz="8" w:color="0000FF"/>
            </w:tcBorders>
            <w:gridSpan w:val="15"/>
            <w:shd w:val="clear" w:color="auto" w:fill="CCEEFF"/>
          </w:tcPr>
          <w:p>
            <w:pPr>
              <w:spacing w:after="0" w:line="152" w:lineRule="exact"/>
              <w:rPr>
                <w:rFonts w:ascii="Times New Roman" w:cs="Times New Roman" w:eastAsia="Times New Roman" w:hAnsi="Times New Roman"/>
                <w:sz w:val="16"/>
                <w:szCs w:val="16"/>
                <w:color w:val="0000FF"/>
              </w:rPr>
            </w:pPr>
            <w:hyperlink r:id="rId40">
              <w:r>
                <w:rPr>
                  <w:rFonts w:ascii="Times New Roman" w:cs="Times New Roman" w:eastAsia="Times New Roman" w:hAnsi="Times New Roman"/>
                  <w:sz w:val="16"/>
                  <w:szCs w:val="16"/>
                  <w:color w:val="0000FF"/>
                </w:rPr>
                <w:t>between Sema4 Holdings Corp. and Eric Schadt</w:t>
              </w:r>
            </w:hyperlink>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31.1*</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2"/>
            <w:shd w:val="clear" w:color="auto" w:fill="CCEEFF"/>
          </w:tcPr>
          <w:p>
            <w:pPr>
              <w:spacing w:after="0" w:line="172" w:lineRule="exact"/>
              <w:rPr>
                <w:rFonts w:ascii="Times New Roman" w:cs="Times New Roman" w:eastAsia="Times New Roman" w:hAnsi="Times New Roman"/>
                <w:sz w:val="16"/>
                <w:szCs w:val="16"/>
                <w:color w:val="0000FF"/>
              </w:rPr>
            </w:pPr>
            <w:hyperlink r:id="rId41">
              <w:r>
                <w:rPr>
                  <w:rFonts w:ascii="Times New Roman" w:cs="Times New Roman" w:eastAsia="Times New Roman" w:hAnsi="Times New Roman"/>
                  <w:sz w:val="16"/>
                  <w:szCs w:val="16"/>
                  <w:color w:val="0000FF"/>
                </w:rPr>
                <w:t>Certification of Principal Executive Officer Pursuant to</w:t>
              </w:r>
            </w:hyperlink>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rPr>
              <w:t>X</w:t>
            </w:r>
          </w:p>
        </w:tc>
      </w:tr>
      <w:tr>
        <w:trPr>
          <w:trHeight w:val="20"/>
        </w:trPr>
        <w:tc>
          <w:tcPr>
            <w:tcW w:w="8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660" w:type="dxa"/>
            <w:vAlign w:val="bottom"/>
            <w:tcBorders>
              <w:right w:val="single" w:sz="8" w:color="0000FF"/>
            </w:tcBorders>
            <w:gridSpan w:val="6"/>
            <w:shd w:val="clear" w:color="auto" w:fill="0000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140" w:type="dxa"/>
            <w:vAlign w:val="bottom"/>
            <w:gridSpan w:val="3"/>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r>
        <w:trPr>
          <w:trHeight w:val="152"/>
        </w:trPr>
        <w:tc>
          <w:tcPr>
            <w:tcW w:w="8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220" w:type="dxa"/>
            <w:vAlign w:val="bottom"/>
            <w:gridSpan w:val="22"/>
            <w:shd w:val="clear" w:color="auto" w:fill="CCEEFF"/>
          </w:tcPr>
          <w:p>
            <w:pPr>
              <w:spacing w:after="0" w:line="152" w:lineRule="exact"/>
              <w:rPr>
                <w:rFonts w:ascii="Times New Roman" w:cs="Times New Roman" w:eastAsia="Times New Roman" w:hAnsi="Times New Roman"/>
                <w:sz w:val="16"/>
                <w:szCs w:val="16"/>
                <w:color w:val="0000FF"/>
              </w:rPr>
            </w:pPr>
            <w:hyperlink r:id="rId41">
              <w:r>
                <w:rPr>
                  <w:rFonts w:ascii="Times New Roman" w:cs="Times New Roman" w:eastAsia="Times New Roman" w:hAnsi="Times New Roman"/>
                  <w:sz w:val="16"/>
                  <w:szCs w:val="16"/>
                  <w:color w:val="0000FF"/>
                </w:rPr>
                <w:t>Securities Exchange Act Rules 13a-14(a) and 15(d)-14(a), as</w:t>
              </w:r>
            </w:hyperlink>
          </w:p>
        </w:tc>
        <w:tc>
          <w:tcPr>
            <w:tcW w:w="1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660" w:type="dxa"/>
            <w:vAlign w:val="bottom"/>
            <w:tcBorders>
              <w:right w:val="single" w:sz="8" w:color="0000FF"/>
            </w:tcBorders>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r>
        <w:trPr>
          <w:trHeight w:val="166"/>
        </w:trPr>
        <w:tc>
          <w:tcPr>
            <w:tcW w:w="86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2"/>
            <w:shd w:val="clear" w:color="auto" w:fill="CCEEFF"/>
          </w:tcPr>
          <w:p>
            <w:pPr>
              <w:spacing w:after="0" w:line="165" w:lineRule="exact"/>
              <w:rPr>
                <w:rFonts w:ascii="Times New Roman" w:cs="Times New Roman" w:eastAsia="Times New Roman" w:hAnsi="Times New Roman"/>
                <w:sz w:val="16"/>
                <w:szCs w:val="16"/>
                <w:color w:val="0000FF"/>
              </w:rPr>
            </w:pPr>
            <w:hyperlink r:id="rId41">
              <w:r>
                <w:rPr>
                  <w:rFonts w:ascii="Times New Roman" w:cs="Times New Roman" w:eastAsia="Times New Roman" w:hAnsi="Times New Roman"/>
                  <w:sz w:val="16"/>
                  <w:szCs w:val="16"/>
                  <w:color w:val="0000FF"/>
                </w:rPr>
                <w:t>adopted Pursuant to Section 302 of the Sarbanes-Oxley Act of</w:t>
              </w:r>
            </w:hyperlink>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8"/>
        </w:trPr>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780" w:type="dxa"/>
            <w:vAlign w:val="bottom"/>
            <w:tcBorders>
              <w:top w:val="single" w:sz="8" w:color="0000FF"/>
            </w:tcBorders>
            <w:gridSpan w:val="2"/>
            <w:shd w:val="clear" w:color="auto" w:fill="CCEEFF"/>
          </w:tcPr>
          <w:p>
            <w:pPr>
              <w:spacing w:after="0" w:line="152" w:lineRule="exact"/>
              <w:rPr>
                <w:rFonts w:ascii="Times New Roman" w:cs="Times New Roman" w:eastAsia="Times New Roman" w:hAnsi="Times New Roman"/>
                <w:sz w:val="16"/>
                <w:szCs w:val="16"/>
                <w:color w:val="0000FF"/>
              </w:rPr>
            </w:pPr>
            <w:hyperlink r:id="rId41">
              <w:r>
                <w:rPr>
                  <w:rFonts w:ascii="Times New Roman" w:cs="Times New Roman" w:eastAsia="Times New Roman" w:hAnsi="Times New Roman"/>
                  <w:sz w:val="16"/>
                  <w:szCs w:val="16"/>
                  <w:color w:val="0000FF"/>
                </w:rPr>
                <w:t>2002.</w:t>
              </w:r>
            </w:hyperlink>
          </w:p>
        </w:tc>
        <w:tc>
          <w:tcPr>
            <w:tcW w:w="8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04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20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right w:val="single" w:sz="8" w:color="CCEE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31.2*</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2"/>
            <w:shd w:val="clear" w:color="auto" w:fill="CCEEFF"/>
          </w:tcPr>
          <w:p>
            <w:pPr>
              <w:spacing w:after="0" w:line="172" w:lineRule="exact"/>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Certification of Principal Financial Officer Pursuant to</w:t>
              </w:r>
            </w:hyperlink>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rPr>
              <w:t>X</w:t>
            </w:r>
          </w:p>
        </w:tc>
      </w:tr>
      <w:tr>
        <w:trPr>
          <w:trHeight w:val="20"/>
        </w:trPr>
        <w:tc>
          <w:tcPr>
            <w:tcW w:w="8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660" w:type="dxa"/>
            <w:vAlign w:val="bottom"/>
            <w:tcBorders>
              <w:right w:val="single" w:sz="8" w:color="CCEEFF"/>
            </w:tcBorders>
            <w:gridSpan w:val="6"/>
            <w:shd w:val="clear" w:color="auto" w:fill="0000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280" w:type="dxa"/>
            <w:vAlign w:val="bottom"/>
            <w:gridSpan w:val="7"/>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r>
        <w:trPr>
          <w:trHeight w:val="152"/>
        </w:trPr>
        <w:tc>
          <w:tcPr>
            <w:tcW w:w="8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220" w:type="dxa"/>
            <w:vAlign w:val="bottom"/>
            <w:gridSpan w:val="22"/>
            <w:shd w:val="clear" w:color="auto" w:fill="CCEEFF"/>
          </w:tcPr>
          <w:p>
            <w:pPr>
              <w:spacing w:after="0" w:line="152" w:lineRule="exact"/>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Securities Exchange Act Rules 13a-14(a) and 15(d)-14(a), as</w:t>
              </w:r>
            </w:hyperlink>
          </w:p>
        </w:tc>
        <w:tc>
          <w:tcPr>
            <w:tcW w:w="1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820" w:type="dxa"/>
            <w:vAlign w:val="bottom"/>
            <w:gridSpan w:val="7"/>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40" w:type="dxa"/>
            <w:vAlign w:val="bottom"/>
            <w:gridSpan w:val="4"/>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r>
        <w:trPr>
          <w:trHeight w:val="165"/>
        </w:trPr>
        <w:tc>
          <w:tcPr>
            <w:tcW w:w="86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2"/>
            <w:shd w:val="clear" w:color="auto" w:fill="CCEEFF"/>
          </w:tcPr>
          <w:p>
            <w:pPr>
              <w:spacing w:after="0" w:line="165" w:lineRule="exact"/>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adopted Pursuant to Section 302 of the Sarbanes-Oxley Act of</w:t>
              </w:r>
            </w:hyperlink>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9"/>
        </w:trPr>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780" w:type="dxa"/>
            <w:vAlign w:val="bottom"/>
            <w:tcBorders>
              <w:top w:val="single" w:sz="8" w:color="0000FF"/>
            </w:tcBorders>
            <w:gridSpan w:val="2"/>
            <w:shd w:val="clear" w:color="auto" w:fill="CCEEFF"/>
          </w:tcPr>
          <w:p>
            <w:pPr>
              <w:spacing w:after="0" w:line="152" w:lineRule="exact"/>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2002.</w:t>
              </w:r>
            </w:hyperlink>
          </w:p>
        </w:tc>
        <w:tc>
          <w:tcPr>
            <w:tcW w:w="8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04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20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right w:val="single" w:sz="8" w:color="CCEE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172"/>
        </w:trPr>
        <w:tc>
          <w:tcPr>
            <w:tcW w:w="860" w:type="dxa"/>
            <w:vAlign w:val="bottom"/>
            <w:tcBorders>
              <w:bottom w:val="single" w:sz="8" w:color="CCEEFF"/>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32.1**</w:t>
            </w:r>
          </w:p>
        </w:tc>
        <w:tc>
          <w:tcPr>
            <w:tcW w:w="180" w:type="dxa"/>
            <w:vAlign w:val="bottom"/>
            <w:tcBorders>
              <w:bottom w:val="single" w:sz="8" w:color="CCEEFF"/>
              <w:right w:val="single" w:sz="8" w:color="CCEEFF"/>
            </w:tcBorders>
            <w:shd w:val="clear" w:color="auto" w:fill="CCEEFF"/>
          </w:tcPr>
          <w:p>
            <w:pPr>
              <w:spacing w:after="0"/>
              <w:rPr>
                <w:sz w:val="14"/>
                <w:szCs w:val="14"/>
                <w:color w:val="auto"/>
              </w:rPr>
            </w:pPr>
          </w:p>
        </w:tc>
        <w:tc>
          <w:tcPr>
            <w:tcW w:w="3740" w:type="dxa"/>
            <w:vAlign w:val="bottom"/>
            <w:tcBorders>
              <w:bottom w:val="single" w:sz="8" w:color="0000FF"/>
            </w:tcBorders>
            <w:gridSpan w:val="13"/>
            <w:shd w:val="clear" w:color="auto" w:fill="CCEEFF"/>
          </w:tcPr>
          <w:p>
            <w:pPr>
              <w:spacing w:after="0" w:line="172" w:lineRule="exact"/>
              <w:rPr>
                <w:rFonts w:ascii="Times New Roman" w:cs="Times New Roman" w:eastAsia="Times New Roman" w:hAnsi="Times New Roman"/>
                <w:sz w:val="16"/>
                <w:szCs w:val="16"/>
                <w:color w:val="0000FF"/>
                <w:w w:val="99"/>
              </w:rPr>
            </w:pPr>
            <w:hyperlink r:id="rId43">
              <w:r>
                <w:rPr>
                  <w:rFonts w:ascii="Times New Roman" w:cs="Times New Roman" w:eastAsia="Times New Roman" w:hAnsi="Times New Roman"/>
                  <w:sz w:val="16"/>
                  <w:szCs w:val="16"/>
                  <w:color w:val="0000FF"/>
                  <w:w w:val="99"/>
                </w:rPr>
                <w:t>Certification of Principal Executive Officer Pursuant to 18</w:t>
              </w:r>
            </w:hyperlink>
          </w:p>
        </w:tc>
        <w:tc>
          <w:tcPr>
            <w:tcW w:w="480" w:type="dxa"/>
            <w:vAlign w:val="bottom"/>
            <w:tcBorders>
              <w:bottom w:val="single" w:sz="8" w:color="CCEEFF"/>
            </w:tcBorders>
            <w:gridSpan w:val="9"/>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rPr>
              <w:t>X</w:t>
            </w:r>
          </w:p>
        </w:tc>
      </w:tr>
      <w:tr>
        <w:trPr>
          <w:trHeight w:val="152"/>
        </w:trPr>
        <w:tc>
          <w:tcPr>
            <w:tcW w:w="8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220" w:type="dxa"/>
            <w:vAlign w:val="bottom"/>
            <w:gridSpan w:val="22"/>
            <w:shd w:val="clear" w:color="auto" w:fill="CCEEFF"/>
          </w:tcPr>
          <w:p>
            <w:pPr>
              <w:spacing w:after="0" w:line="152"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U.S.C. Section 1350, as adopted Pursuant to Section 906 of the</w:t>
              </w:r>
            </w:hyperlink>
          </w:p>
        </w:tc>
        <w:tc>
          <w:tcPr>
            <w:tcW w:w="1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98"/>
        </w:trPr>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4020" w:type="dxa"/>
            <w:vAlign w:val="bottom"/>
            <w:tcBorders>
              <w:top w:val="single" w:sz="8" w:color="0000FF"/>
            </w:tcBorders>
            <w:gridSpan w:val="20"/>
            <w:shd w:val="clear" w:color="auto" w:fill="CCEEFF"/>
          </w:tcPr>
          <w:p>
            <w:pPr>
              <w:spacing w:after="0" w:line="165"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Sarbanes-Oxley Act of 2002.</w:t>
              </w:r>
            </w:hyperlink>
          </w:p>
        </w:tc>
        <w:tc>
          <w:tcPr>
            <w:tcW w:w="200" w:type="dxa"/>
            <w:vAlign w:val="bottom"/>
            <w:tcBorders>
              <w:top w:val="single" w:sz="8" w:color="CCEEFF"/>
            </w:tcBorders>
            <w:gridSpan w:val="2"/>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32.2**</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2"/>
            <w:shd w:val="clear" w:color="auto" w:fill="CCEEFF"/>
          </w:tcPr>
          <w:p>
            <w:pPr>
              <w:spacing w:after="0" w:line="172"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Certification of Principal Financial Officer Pursuant to 18</w:t>
              </w:r>
            </w:hyperlink>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rPr>
              <w:t>X</w:t>
            </w:r>
          </w:p>
        </w:tc>
      </w:tr>
      <w:tr>
        <w:trPr>
          <w:trHeight w:val="152"/>
        </w:trPr>
        <w:tc>
          <w:tcPr>
            <w:tcW w:w="8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right w:val="single" w:sz="8" w:color="CCEEFF"/>
            </w:tcBorders>
            <w:shd w:val="clear" w:color="auto" w:fill="CCEEFF"/>
          </w:tcPr>
          <w:p>
            <w:pPr>
              <w:spacing w:after="0"/>
              <w:rPr>
                <w:sz w:val="13"/>
                <w:szCs w:val="13"/>
                <w:color w:val="auto"/>
              </w:rPr>
            </w:pPr>
          </w:p>
        </w:tc>
        <w:tc>
          <w:tcPr>
            <w:tcW w:w="3680" w:type="dxa"/>
            <w:vAlign w:val="bottom"/>
            <w:tcBorders>
              <w:top w:val="single" w:sz="8" w:color="0000FF"/>
            </w:tcBorders>
            <w:gridSpan w:val="10"/>
            <w:shd w:val="clear" w:color="auto" w:fill="CCEEFF"/>
          </w:tcPr>
          <w:p>
            <w:pPr>
              <w:spacing w:after="0" w:line="152"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U.S.C. Section 1350, as adopted Pursuant to Section 906</w:t>
              </w:r>
            </w:hyperlink>
          </w:p>
        </w:tc>
        <w:tc>
          <w:tcPr>
            <w:tcW w:w="540" w:type="dxa"/>
            <w:vAlign w:val="bottom"/>
            <w:tcBorders>
              <w:top w:val="single" w:sz="8" w:color="CCEEFF"/>
            </w:tcBorders>
            <w:gridSpan w:val="12"/>
            <w:shd w:val="clear" w:color="auto" w:fill="CCEEFF"/>
          </w:tcPr>
          <w:p>
            <w:pPr>
              <w:spacing w:after="0" w:line="152"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of the</w:t>
              </w:r>
            </w:hyperlink>
          </w:p>
        </w:tc>
        <w:tc>
          <w:tcPr>
            <w:tcW w:w="1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r>
      <w:tr>
        <w:trPr>
          <w:trHeight w:val="198"/>
        </w:trPr>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4020" w:type="dxa"/>
            <w:vAlign w:val="bottom"/>
            <w:tcBorders>
              <w:top w:val="single" w:sz="8" w:color="0000FF"/>
            </w:tcBorders>
            <w:gridSpan w:val="20"/>
            <w:shd w:val="clear" w:color="auto" w:fill="CCEEFF"/>
          </w:tcPr>
          <w:p>
            <w:pPr>
              <w:spacing w:after="0" w:line="165"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Sarbanes-Oxley Act of 2002.</w:t>
              </w:r>
            </w:hyperlink>
          </w:p>
        </w:tc>
        <w:tc>
          <w:tcPr>
            <w:tcW w:w="200" w:type="dxa"/>
            <w:vAlign w:val="bottom"/>
            <w:tcBorders>
              <w:top w:val="single" w:sz="8" w:color="CCEEFF"/>
            </w:tcBorders>
            <w:gridSpan w:val="2"/>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225"/>
        </w:trPr>
        <w:tc>
          <w:tcPr>
            <w:tcW w:w="1040" w:type="dxa"/>
            <w:vAlign w:val="bottom"/>
            <w:tcBorders>
              <w:right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101.INS</w:t>
            </w:r>
          </w:p>
        </w:tc>
        <w:tc>
          <w:tcPr>
            <w:tcW w:w="42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Instance Document</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3"/>
        </w:trPr>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25"/>
        </w:trPr>
        <w:tc>
          <w:tcPr>
            <w:tcW w:w="104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101.CAL</w:t>
            </w:r>
          </w:p>
        </w:tc>
        <w:tc>
          <w:tcPr>
            <w:tcW w:w="42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3"/>
        </w:trPr>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25"/>
        </w:trPr>
        <w:tc>
          <w:tcPr>
            <w:tcW w:w="104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101.SCH</w:t>
            </w:r>
          </w:p>
        </w:tc>
        <w:tc>
          <w:tcPr>
            <w:tcW w:w="42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3"/>
        </w:trPr>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25"/>
        </w:trPr>
        <w:tc>
          <w:tcPr>
            <w:tcW w:w="1040" w:type="dxa"/>
            <w:vAlign w:val="bottom"/>
            <w:tcBorders>
              <w:right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9"/>
              </w:rPr>
              <w:t>101.DEF</w:t>
            </w:r>
          </w:p>
        </w:tc>
        <w:tc>
          <w:tcPr>
            <w:tcW w:w="42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3"/>
        </w:trPr>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25"/>
        </w:trPr>
        <w:tc>
          <w:tcPr>
            <w:tcW w:w="104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101.LAB</w:t>
            </w:r>
          </w:p>
        </w:tc>
        <w:tc>
          <w:tcPr>
            <w:tcW w:w="42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Labels Linkbase Document</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3"/>
        </w:trPr>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25"/>
        </w:trPr>
        <w:tc>
          <w:tcPr>
            <w:tcW w:w="104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7"/>
              </w:rPr>
              <w:t>101.PRE</w:t>
            </w:r>
          </w:p>
        </w:tc>
        <w:tc>
          <w:tcPr>
            <w:tcW w:w="42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3"/>
        </w:trPr>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172"/>
        </w:trPr>
        <w:tc>
          <w:tcPr>
            <w:tcW w:w="86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104</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Cover Page Interactive Data File (formatted as inline XBRL</w:t>
            </w: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rPr>
              <w:t>X</w:t>
            </w:r>
          </w:p>
        </w:tc>
      </w:tr>
      <w:tr>
        <w:trPr>
          <w:trHeight w:val="185"/>
        </w:trPr>
        <w:tc>
          <w:tcPr>
            <w:tcW w:w="8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2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 applicable taxonomy extension information contained in</w:t>
            </w: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26"/>
        </w:trPr>
        <w:tc>
          <w:tcPr>
            <w:tcW w:w="8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42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Exhibits 101.)</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35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0620"/>
          </w:cols>
          <w:pgMar w:left="320" w:top="134" w:right="9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0" w:hanging="416"/>
        <w:spacing w:after="0"/>
        <w:tabs>
          <w:tab w:leader="none" w:pos="4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44"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w:t>
      </w:r>
    </w:p>
    <w:p>
      <w:pPr>
        <w:spacing w:after="0" w:line="45" w:lineRule="exact"/>
        <w:rPr>
          <w:sz w:val="20"/>
          <w:szCs w:val="20"/>
          <w:color w:val="auto"/>
        </w:rPr>
      </w:pPr>
    </w:p>
    <w:p>
      <w:pPr>
        <w:ind w:left="440" w:right="3099" w:hanging="416"/>
        <w:spacing w:after="0" w:line="244" w:lineRule="auto"/>
        <w:tabs>
          <w:tab w:leader="none" w:pos="4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Company agrees to furnish a copy of all omitted exhibits and schedules to the SEC upon its request.</w:t>
      </w:r>
    </w:p>
    <w:p>
      <w:pPr>
        <w:spacing w:after="0" w:line="200" w:lineRule="exact"/>
        <w:rPr>
          <w:sz w:val="20"/>
          <w:szCs w:val="20"/>
          <w:color w:val="auto"/>
        </w:rPr>
      </w:pPr>
    </w:p>
    <w:p>
      <w:pPr>
        <w:spacing w:after="0" w:line="3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139"/>
          </w:cols>
          <w:pgMar w:left="320" w:top="134"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93"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11220" w:type="dxa"/>
            <w:vAlign w:val="bottom"/>
            <w:gridSpan w:val="2"/>
          </w:tcPr>
          <w:p>
            <w:pPr>
              <w:ind w:left="6240"/>
              <w:spacing w:after="0"/>
              <w:rPr>
                <w:sz w:val="20"/>
                <w:szCs w:val="20"/>
                <w:color w:val="auto"/>
              </w:rPr>
            </w:pPr>
            <w:r>
              <w:rPr>
                <w:rFonts w:ascii="Times New Roman" w:cs="Times New Roman" w:eastAsia="Times New Roman" w:hAnsi="Times New Roman"/>
                <w:sz w:val="18"/>
                <w:szCs w:val="18"/>
                <w:b w:val="1"/>
                <w:bCs w:val="1"/>
                <w:color w:val="auto"/>
              </w:rPr>
              <w:t>SEMA4 HOLDINGS CORP.</w:t>
            </w:r>
          </w:p>
        </w:tc>
        <w:tc>
          <w:tcPr>
            <w:tcW w:w="0" w:type="dxa"/>
            <w:vAlign w:val="bottom"/>
          </w:tcPr>
          <w:p>
            <w:pPr>
              <w:spacing w:after="0"/>
              <w:rPr>
                <w:sz w:val="1"/>
                <w:szCs w:val="1"/>
                <w:color w:val="auto"/>
              </w:rPr>
            </w:pPr>
          </w:p>
        </w:tc>
      </w:tr>
      <w:tr>
        <w:trPr>
          <w:trHeight w:val="517"/>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15, 2022</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Katherine Stueland</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6240"/>
              <w:spacing w:after="0"/>
              <w:rPr>
                <w:sz w:val="20"/>
                <w:szCs w:val="20"/>
                <w:color w:val="auto"/>
              </w:rPr>
            </w:pPr>
            <w:r>
              <w:rPr>
                <w:rFonts w:ascii="Times New Roman" w:cs="Times New Roman" w:eastAsia="Times New Roman" w:hAnsi="Times New Roman"/>
                <w:sz w:val="18"/>
                <w:szCs w:val="18"/>
                <w:color w:val="auto"/>
              </w:rPr>
              <w:t>Name:</w:t>
            </w:r>
          </w:p>
        </w:tc>
        <w:tc>
          <w:tcPr>
            <w:tcW w:w="4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7040" w:type="dxa"/>
            <w:vAlign w:val="bottom"/>
            <w:vMerge w:val="continue"/>
          </w:tcPr>
          <w:p>
            <w:pPr>
              <w:spacing w:after="0"/>
              <w:rPr>
                <w:sz w:val="19"/>
                <w:szCs w:val="19"/>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Katherine Stueland</w:t>
            </w:r>
          </w:p>
        </w:tc>
        <w:tc>
          <w:tcPr>
            <w:tcW w:w="0" w:type="dxa"/>
            <w:vAlign w:val="bottom"/>
          </w:tcPr>
          <w:p>
            <w:pPr>
              <w:spacing w:after="0"/>
              <w:rPr>
                <w:sz w:val="1"/>
                <w:szCs w:val="1"/>
                <w:color w:val="auto"/>
              </w:rPr>
            </w:pPr>
          </w:p>
        </w:tc>
      </w:tr>
      <w:tr>
        <w:trPr>
          <w:trHeight w:val="214"/>
        </w:trPr>
        <w:tc>
          <w:tcPr>
            <w:tcW w:w="7040" w:type="dxa"/>
            <w:vAlign w:val="bottom"/>
          </w:tcPr>
          <w:p>
            <w:pPr>
              <w:ind w:left="6240"/>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Chief Executive Officer and Director (Principal Executive</w:t>
            </w:r>
          </w:p>
        </w:tc>
        <w:tc>
          <w:tcPr>
            <w:tcW w:w="0" w:type="dxa"/>
            <w:vAlign w:val="bottom"/>
          </w:tcPr>
          <w:p>
            <w:pPr>
              <w:spacing w:after="0"/>
              <w:rPr>
                <w:sz w:val="1"/>
                <w:szCs w:val="1"/>
                <w:color w:val="auto"/>
              </w:rPr>
            </w:pPr>
          </w:p>
        </w:tc>
      </w:tr>
      <w:tr>
        <w:trPr>
          <w:trHeight w:val="231"/>
        </w:trPr>
        <w:tc>
          <w:tcPr>
            <w:tcW w:w="7040" w:type="dxa"/>
            <w:vAlign w:val="bottom"/>
          </w:tcPr>
          <w:p>
            <w:pPr>
              <w:spacing w:after="0"/>
              <w:rPr>
                <w:sz w:val="20"/>
                <w:szCs w:val="20"/>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517"/>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15, 2022</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Richard Miao</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6240"/>
              <w:spacing w:after="0"/>
              <w:rPr>
                <w:sz w:val="20"/>
                <w:szCs w:val="20"/>
                <w:color w:val="auto"/>
              </w:rPr>
            </w:pPr>
            <w:r>
              <w:rPr>
                <w:rFonts w:ascii="Times New Roman" w:cs="Times New Roman" w:eastAsia="Times New Roman" w:hAnsi="Times New Roman"/>
                <w:sz w:val="18"/>
                <w:szCs w:val="18"/>
                <w:color w:val="auto"/>
              </w:rPr>
              <w:t>Name:</w:t>
            </w:r>
          </w:p>
        </w:tc>
        <w:tc>
          <w:tcPr>
            <w:tcW w:w="4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7040" w:type="dxa"/>
            <w:vAlign w:val="bottom"/>
            <w:vMerge w:val="continue"/>
          </w:tcPr>
          <w:p>
            <w:pPr>
              <w:spacing w:after="0"/>
              <w:rPr>
                <w:sz w:val="19"/>
                <w:szCs w:val="19"/>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Miao</w:t>
            </w:r>
          </w:p>
        </w:tc>
        <w:tc>
          <w:tcPr>
            <w:tcW w:w="0" w:type="dxa"/>
            <w:vAlign w:val="bottom"/>
          </w:tcPr>
          <w:p>
            <w:pPr>
              <w:spacing w:after="0"/>
              <w:rPr>
                <w:sz w:val="1"/>
                <w:szCs w:val="1"/>
                <w:color w:val="auto"/>
              </w:rPr>
            </w:pPr>
          </w:p>
        </w:tc>
      </w:tr>
      <w:tr>
        <w:trPr>
          <w:trHeight w:val="214"/>
        </w:trPr>
        <w:tc>
          <w:tcPr>
            <w:tcW w:w="7040" w:type="dxa"/>
            <w:vAlign w:val="bottom"/>
          </w:tcPr>
          <w:p>
            <w:pPr>
              <w:ind w:left="6240"/>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 (Principal Financial</w:t>
            </w:r>
          </w:p>
        </w:tc>
        <w:tc>
          <w:tcPr>
            <w:tcW w:w="0" w:type="dxa"/>
            <w:vAlign w:val="bottom"/>
          </w:tcPr>
          <w:p>
            <w:pPr>
              <w:spacing w:after="0"/>
              <w:rPr>
                <w:sz w:val="1"/>
                <w:szCs w:val="1"/>
                <w:color w:val="auto"/>
              </w:rPr>
            </w:pPr>
          </w:p>
        </w:tc>
      </w:tr>
      <w:tr>
        <w:trPr>
          <w:trHeight w:val="231"/>
        </w:trPr>
        <w:tc>
          <w:tcPr>
            <w:tcW w:w="7040" w:type="dxa"/>
            <w:vAlign w:val="bottom"/>
          </w:tcPr>
          <w:p>
            <w:pPr>
              <w:spacing w:after="0"/>
              <w:rPr>
                <w:sz w:val="20"/>
                <w:szCs w:val="20"/>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742"/>
        </w:trPr>
        <w:tc>
          <w:tcPr>
            <w:tcW w:w="704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111</w:t>
            </w: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x"/>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1)"/>
      <w:numFmt w:val="lowerRoman"/>
      <w:start w:val="2"/>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1)"/>
      <w:numFmt w:val="lowerRoman"/>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decimal"/>
      <w:start w:val="5"/>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hyperlink" Target="https://www.sec.gov/Archives/edgar/data/1818331/000162828022011605/exhibit31-closing8xk.htm" TargetMode="External"/><Relationship Id="rId35" Type="http://schemas.openxmlformats.org/officeDocument/2006/relationships/hyperlink" Target="https://www.sec.gov/Archives/edgar/data/1818331/000162828022011605/exhibit101closing8-k.htm" TargetMode="External"/><Relationship Id="rId36" Type="http://schemas.openxmlformats.org/officeDocument/2006/relationships/hyperlink" Target="https://www.sec.gov/Archives/edgar/data/1818331/000162828022011605/exhibit102-closing8xk.htm" TargetMode="External"/><Relationship Id="rId37" Type="http://schemas.openxmlformats.org/officeDocument/2006/relationships/hyperlink" Target="https://www.sec.gov/Archives/edgar/data/1818331/000181833122000053/amendmentno1toeschadtaremp.htm" TargetMode="External"/><Relationship Id="rId38" Type="http://schemas.openxmlformats.org/officeDocument/2006/relationships/hyperlink" Target="https://www.sec.gov/Archives/edgar/data/1818331/000181833122000053/iroconsultingagreement.htm" TargetMode="External"/><Relationship Id="rId39" Type="http://schemas.openxmlformats.org/officeDocument/2006/relationships/hyperlink" Target="https://www.sec.gov/Archives/edgar/data/0001818331/000181833122000069/sema4-iroconsultingagreeme.htm" TargetMode="External"/><Relationship Id="rId40" Type="http://schemas.openxmlformats.org/officeDocument/2006/relationships/hyperlink" Target="https://www.sec.gov/Archives/edgar/data/0001818331/000181833122000069/sema4-agreementeschadt.htm" TargetMode="External"/><Relationship Id="rId41" Type="http://schemas.openxmlformats.org/officeDocument/2006/relationships/hyperlink" Target="https://www.sec.gov/Archives/edgar/data/0001818331/000181833122000069/ceocertificationfor-ex311x.htm" TargetMode="External"/><Relationship Id="rId42" Type="http://schemas.openxmlformats.org/officeDocument/2006/relationships/hyperlink" Target="https://www.sec.gov/Archives/edgar/data/0001818331/000181833122000069/cfocertificationfor-ex312x.htm" TargetMode="External"/><Relationship Id="rId43" Type="http://schemas.openxmlformats.org/officeDocument/2006/relationships/hyperlink" Target="https://www.sec.gov/Archives/edgar/data/0001818331/000181833122000069/ceocertificationfor-ex321x.htm" TargetMode="External"/><Relationship Id="rId44" Type="http://schemas.openxmlformats.org/officeDocument/2006/relationships/hyperlink" Target="https://www.sec.gov/Archives/edgar/data/0001818331/000181833122000069/cfocertificationfor-ex322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2022-08-15T17:48:42Z</dcterms:created>
  <dcterms:modified xsi:type="dcterms:W3CDTF">2022-08-15T17:48:42Z</dcterms:modified>
</cp:coreProperties>
</file>