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SCHEDULE 13D/A</w:t>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(Amendment No. 1)</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29845</wp:posOffset>
            </wp:positionV>
            <wp:extent cx="3797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(Name of Issuer)</w:t>
      </w:r>
    </w:p>
    <w:p>
      <w:pPr>
        <w:spacing w:after="0" w:line="35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20320</wp:posOffset>
            </wp:positionV>
            <wp:extent cx="3797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(Title of Class of Securities)</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37465</wp:posOffset>
            </wp:positionV>
            <wp:extent cx="1080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(CUSIP Number)</w:t>
      </w:r>
    </w:p>
    <w:p>
      <w:pPr>
        <w:spacing w:after="0" w:line="136" w:lineRule="exact"/>
        <w:rPr>
          <w:sz w:val="24"/>
          <w:szCs w:val="24"/>
          <w:color w:val="auto"/>
        </w:rPr>
      </w:pPr>
    </w:p>
    <w:p>
      <w:pPr>
        <w:ind w:left="5040"/>
        <w:spacing w:after="0"/>
        <w:rPr>
          <w:sz w:val="20"/>
          <w:szCs w:val="20"/>
          <w:color w:val="auto"/>
        </w:rPr>
      </w:pPr>
      <w:r>
        <w:rPr>
          <w:rFonts w:ascii="Arial" w:cs="Arial" w:eastAsia="Arial" w:hAnsi="Arial"/>
          <w:sz w:val="16"/>
          <w:szCs w:val="16"/>
          <w:b w:val="1"/>
          <w:bCs w:val="1"/>
          <w:color w:val="auto"/>
        </w:rPr>
        <w:t>Steven D. Rubin</w:t>
      </w:r>
    </w:p>
    <w:p>
      <w:pPr>
        <w:ind w:left="4160"/>
        <w:spacing w:after="0" w:line="211" w:lineRule="auto"/>
        <w:rPr>
          <w:sz w:val="20"/>
          <w:szCs w:val="20"/>
          <w:color w:val="auto"/>
        </w:rPr>
      </w:pPr>
      <w:r>
        <w:rPr>
          <w:rFonts w:ascii="Arial" w:cs="Arial" w:eastAsia="Arial" w:hAnsi="Arial"/>
          <w:sz w:val="16"/>
          <w:szCs w:val="16"/>
          <w:b w:val="1"/>
          <w:bCs w:val="1"/>
          <w:color w:val="auto"/>
        </w:rPr>
        <w:t>Executive Vice President - Administration</w:t>
      </w:r>
    </w:p>
    <w:p>
      <w:pPr>
        <w:ind w:left="4940"/>
        <w:spacing w:after="0" w:line="211" w:lineRule="auto"/>
        <w:rPr>
          <w:sz w:val="20"/>
          <w:szCs w:val="20"/>
          <w:color w:val="auto"/>
        </w:rPr>
      </w:pPr>
      <w:r>
        <w:rPr>
          <w:rFonts w:ascii="Arial" w:cs="Arial" w:eastAsia="Arial" w:hAnsi="Arial"/>
          <w:sz w:val="16"/>
          <w:szCs w:val="16"/>
          <w:b w:val="1"/>
          <w:bCs w:val="1"/>
          <w:color w:val="auto"/>
        </w:rPr>
        <w:t>OPKO Health, Inc.</w:t>
      </w:r>
    </w:p>
    <w:p>
      <w:pPr>
        <w:ind w:left="4740"/>
        <w:spacing w:after="0" w:line="211" w:lineRule="auto"/>
        <w:rPr>
          <w:sz w:val="20"/>
          <w:szCs w:val="20"/>
          <w:color w:val="auto"/>
        </w:rPr>
      </w:pPr>
      <w:r>
        <w:rPr>
          <w:rFonts w:ascii="Arial" w:cs="Arial" w:eastAsia="Arial" w:hAnsi="Arial"/>
          <w:sz w:val="16"/>
          <w:szCs w:val="16"/>
          <w:b w:val="1"/>
          <w:bCs w:val="1"/>
          <w:color w:val="auto"/>
        </w:rPr>
        <w:t>4400 Biscayne Boulevard</w:t>
      </w:r>
    </w:p>
    <w:p>
      <w:pPr>
        <w:ind w:left="4860"/>
        <w:spacing w:after="0" w:line="212" w:lineRule="auto"/>
        <w:rPr>
          <w:sz w:val="20"/>
          <w:szCs w:val="20"/>
          <w:color w:val="auto"/>
        </w:rPr>
      </w:pPr>
      <w:r>
        <w:rPr>
          <w:rFonts w:ascii="Arial" w:cs="Arial" w:eastAsia="Arial" w:hAnsi="Arial"/>
          <w:sz w:val="16"/>
          <w:szCs w:val="16"/>
          <w:b w:val="1"/>
          <w:bCs w:val="1"/>
          <w:color w:val="auto"/>
        </w:rPr>
        <w:t>Miami, Florida 33137</w:t>
      </w:r>
    </w:p>
    <w:p>
      <w:pPr>
        <w:ind w:left="4720"/>
        <w:spacing w:after="0"/>
        <w:rPr>
          <w:sz w:val="20"/>
          <w:szCs w:val="20"/>
          <w:color w:val="auto"/>
        </w:rPr>
      </w:pPr>
      <w:r>
        <w:rPr>
          <w:rFonts w:ascii="Arial" w:cs="Arial" w:eastAsia="Arial" w:hAnsi="Arial"/>
          <w:sz w:val="16"/>
          <w:szCs w:val="16"/>
          <w:b w:val="1"/>
          <w:bCs w:val="1"/>
          <w:color w:val="auto"/>
        </w:rPr>
        <w:t>Telephone: (305) 575-4100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8890</wp:posOffset>
            </wp:positionV>
            <wp:extent cx="4568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37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January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20320</wp:posOffset>
            </wp:positionV>
            <wp:extent cx="258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333"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1" w:lineRule="exact"/>
        <w:rPr>
          <w:sz w:val="24"/>
          <w:szCs w:val="24"/>
          <w:color w:val="auto"/>
        </w:rPr>
      </w:pPr>
    </w:p>
    <w:p>
      <w:pPr>
        <w:ind w:right="260"/>
        <w:spacing w:after="0" w:line="280"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Schedules filed in paper format shall include a signed original and five copies of the Schedule, including all exhibits. See Rule 13d-7 for other parties to whom</w:t>
      </w:r>
      <w:r>
        <w:rPr>
          <w:rFonts w:ascii="Arial" w:cs="Arial" w:eastAsia="Arial" w:hAnsi="Arial"/>
          <w:sz w:val="16"/>
          <w:szCs w:val="16"/>
          <w:b w:val="1"/>
          <w:bCs w:val="1"/>
          <w:color w:val="auto"/>
        </w:rPr>
        <w:t xml:space="preserve"> </w:t>
      </w:r>
      <w:r>
        <w:rPr>
          <w:rFonts w:ascii="Arial" w:cs="Arial" w:eastAsia="Arial" w:hAnsi="Arial"/>
          <w:sz w:val="16"/>
          <w:szCs w:val="16"/>
          <w:color w:val="auto"/>
        </w:rPr>
        <w:t>copies are to be sent.</w:t>
      </w:r>
    </w:p>
    <w:p>
      <w:pPr>
        <w:spacing w:after="0" w:line="88" w:lineRule="exact"/>
        <w:rPr>
          <w:sz w:val="24"/>
          <w:szCs w:val="24"/>
          <w:color w:val="auto"/>
        </w:rPr>
      </w:pPr>
    </w:p>
    <w:p>
      <w:pPr>
        <w:ind w:left="320" w:right="540" w:hanging="294"/>
        <w:spacing w:after="0" w:line="258"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7"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information required on the remainder of this cover page shall not be deemed to be “filed” for purpose of Section 18 of the Securities Exchange Act of 1934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or otherwise subject to the liabilities of that section of the Act but shall be subject to all other provisions of the Act (however, see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780" w:type="dxa"/>
            <w:vAlign w:val="bottom"/>
            <w:tcBorders>
              <w:top w:val="single" w:sz="8" w:color="auto"/>
              <w:left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79"/>
              </w:rPr>
              <w:t>1</w:t>
            </w:r>
          </w:p>
        </w:tc>
        <w:tc>
          <w:tcPr>
            <w:tcW w:w="54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360"/>
        </w:trPr>
        <w:tc>
          <w:tcPr>
            <w:tcW w:w="7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6"/>
              </w:rPr>
              <w:t>OPKO Health, Inc.</w:t>
            </w: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Borders>
              <w:left w:val="single" w:sz="8" w:color="auto"/>
            </w:tcBorders>
          </w:tcPr>
          <w:p>
            <w:pPr>
              <w:jc w:val="center"/>
              <w:ind w:left="450"/>
              <w:spacing w:after="0" w:line="169" w:lineRule="exact"/>
              <w:rPr>
                <w:sz w:val="20"/>
                <w:szCs w:val="20"/>
                <w:color w:val="auto"/>
              </w:rPr>
            </w:pPr>
            <w:r>
              <w:rPr>
                <w:rFonts w:ascii="Arial" w:cs="Arial" w:eastAsia="Arial" w:hAnsi="Arial"/>
                <w:sz w:val="18"/>
                <w:szCs w:val="18"/>
                <w:b w:val="1"/>
                <w:bCs w:val="1"/>
                <w:color w:val="auto"/>
                <w:w w:val="79"/>
              </w:rPr>
              <w:t>2</w:t>
            </w:r>
          </w:p>
        </w:tc>
        <w:tc>
          <w:tcPr>
            <w:tcW w:w="5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0" w:type="dxa"/>
            <w:vAlign w:val="bottom"/>
            <w:tcBorders>
              <w:right w:val="single" w:sz="8" w:color="auto"/>
            </w:tcBorders>
            <w:gridSpan w:val="5"/>
          </w:tcPr>
          <w:p>
            <w:pPr>
              <w:ind w:left="4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54"/>
        </w:trPr>
        <w:tc>
          <w:tcPr>
            <w:tcW w:w="780" w:type="dxa"/>
            <w:vAlign w:val="bottom"/>
            <w:tcBorders>
              <w:lef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4"/>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6"/>
                <w:szCs w:val="16"/>
                <w:color w:val="auto"/>
              </w:rPr>
              <w:t>☐</w:t>
            </w:r>
            <w:r>
              <w:rPr>
                <w:rFonts w:ascii="Arial" w:cs="Arial" w:eastAsia="Arial" w:hAnsi="Arial"/>
                <w:sz w:val="18"/>
                <w:szCs w:val="18"/>
                <w:color w:val="auto"/>
              </w:rPr>
              <w:t xml:space="preserve">(b) </w:t>
            </w:r>
            <w:r>
              <w:rPr>
                <w:rFonts w:ascii="MS PGothic" w:cs="MS PGothic" w:eastAsia="MS PGothic" w:hAnsi="MS PGothic"/>
                <w:sz w:val="16"/>
                <w:szCs w:val="16"/>
                <w:color w:val="auto"/>
              </w:rPr>
              <w:t>☐</w:t>
            </w:r>
          </w:p>
        </w:tc>
        <w:tc>
          <w:tcPr>
            <w:tcW w:w="8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780" w:type="dxa"/>
            <w:vAlign w:val="bottom"/>
            <w:tcBorders>
              <w:left w:val="single" w:sz="8" w:color="auto"/>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15"/>
                <w:szCs w:val="15"/>
                <w:color w:val="auto"/>
              </w:rPr>
            </w:pPr>
          </w:p>
        </w:tc>
        <w:tc>
          <w:tcPr>
            <w:tcW w:w="8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79"/>
              </w:rPr>
              <w:t>3</w:t>
            </w:r>
          </w:p>
        </w:tc>
        <w:tc>
          <w:tcPr>
            <w:tcW w:w="5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ind w:left="40"/>
              <w:spacing w:after="0"/>
              <w:rPr>
                <w:sz w:val="20"/>
                <w:szCs w:val="20"/>
                <w:color w:val="auto"/>
              </w:rPr>
            </w:pPr>
            <w:r>
              <w:rPr>
                <w:rFonts w:ascii="Arial" w:cs="Arial" w:eastAsia="Arial" w:hAnsi="Arial"/>
                <w:sz w:val="18"/>
                <w:szCs w:val="18"/>
                <w:color w:val="auto"/>
              </w:rPr>
              <w:t>SEC USE ONLY</w:t>
            </w:r>
          </w:p>
        </w:tc>
        <w:tc>
          <w:tcPr>
            <w:tcW w:w="8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80" w:type="dxa"/>
            <w:vAlign w:val="bottom"/>
            <w:tcBorders>
              <w:left w:val="single" w:sz="8" w:color="auto"/>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79"/>
              </w:rPr>
              <w:t>4</w:t>
            </w:r>
          </w:p>
        </w:tc>
        <w:tc>
          <w:tcPr>
            <w:tcW w:w="5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529"/>
        </w:trPr>
        <w:tc>
          <w:tcPr>
            <w:tcW w:w="7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WC</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tcBorders>
          </w:tcPr>
          <w:p>
            <w:pPr>
              <w:jc w:val="center"/>
              <w:ind w:left="450"/>
              <w:spacing w:after="0" w:line="176" w:lineRule="exact"/>
              <w:rPr>
                <w:sz w:val="20"/>
                <w:szCs w:val="20"/>
                <w:color w:val="auto"/>
              </w:rPr>
            </w:pPr>
            <w:r>
              <w:rPr>
                <w:rFonts w:ascii="Arial" w:cs="Arial" w:eastAsia="Arial" w:hAnsi="Arial"/>
                <w:sz w:val="18"/>
                <w:szCs w:val="18"/>
                <w:b w:val="1"/>
                <w:bCs w:val="1"/>
                <w:color w:val="auto"/>
                <w:w w:val="79"/>
              </w:rPr>
              <w:t>5</w:t>
            </w:r>
          </w:p>
        </w:tc>
        <w:tc>
          <w:tcPr>
            <w:tcW w:w="5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0" w:type="dxa"/>
            <w:vAlign w:val="bottom"/>
            <w:tcBorders>
              <w:right w:val="single" w:sz="8" w:color="auto"/>
            </w:tcBorders>
            <w:gridSpan w:val="5"/>
          </w:tcPr>
          <w:p>
            <w:pPr>
              <w:ind w:left="40"/>
              <w:spacing w:after="0" w:line="176" w:lineRule="exact"/>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79"/>
              </w:rPr>
              <w:t>6</w:t>
            </w:r>
          </w:p>
        </w:tc>
        <w:tc>
          <w:tcPr>
            <w:tcW w:w="5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529"/>
        </w:trPr>
        <w:tc>
          <w:tcPr>
            <w:tcW w:w="7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Delaware</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7</w:t>
            </w:r>
          </w:p>
        </w:tc>
        <w:tc>
          <w:tcPr>
            <w:tcW w:w="120" w:type="dxa"/>
            <w:vAlign w:val="bottom"/>
          </w:tcPr>
          <w:p>
            <w:pPr>
              <w:spacing w:after="0"/>
              <w:rPr>
                <w:sz w:val="20"/>
                <w:szCs w:val="20"/>
                <w:color w:val="auto"/>
              </w:rPr>
            </w:pPr>
          </w:p>
        </w:tc>
        <w:tc>
          <w:tcPr>
            <w:tcW w:w="8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823"/>
        </w:trPr>
        <w:tc>
          <w:tcPr>
            <w:tcW w:w="78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94,285,714</w:t>
            </w: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8</w:t>
            </w:r>
          </w:p>
        </w:tc>
        <w:tc>
          <w:tcPr>
            <w:tcW w:w="120" w:type="dxa"/>
            <w:vAlign w:val="bottom"/>
          </w:tcPr>
          <w:p>
            <w:pPr>
              <w:spacing w:after="0"/>
              <w:rPr>
                <w:sz w:val="19"/>
                <w:szCs w:val="19"/>
                <w:color w:val="auto"/>
              </w:rPr>
            </w:pPr>
          </w:p>
        </w:tc>
        <w:tc>
          <w:tcPr>
            <w:tcW w:w="8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50"/>
        </w:trPr>
        <w:tc>
          <w:tcPr>
            <w:tcW w:w="23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  SHARES</w:t>
            </w: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Borders>
              <w:left w:val="single" w:sz="8" w:color="auto"/>
              <w:right w:val="single" w:sz="8" w:color="auto"/>
            </w:tcBorders>
            <w:gridSpan w:val="4"/>
            <w:vMerge w:val="restart"/>
          </w:tcPr>
          <w:p>
            <w:pPr>
              <w:jc w:val="center"/>
              <w:spacing w:after="0" w:line="175" w:lineRule="exact"/>
              <w:rPr>
                <w:sz w:val="20"/>
                <w:szCs w:val="20"/>
                <w:color w:val="auto"/>
              </w:rPr>
            </w:pPr>
            <w:r>
              <w:rPr>
                <w:rFonts w:ascii="Arial" w:cs="Arial" w:eastAsia="Arial" w:hAnsi="Arial"/>
                <w:sz w:val="18"/>
                <w:szCs w:val="18"/>
                <w:color w:val="auto"/>
                <w:w w:val="98"/>
              </w:rPr>
              <w:t>BENEFICIALLY OWNED</w:t>
            </w: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360" w:type="dxa"/>
            <w:vAlign w:val="bottom"/>
            <w:tcBorders>
              <w:left w:val="single" w:sz="8" w:color="auto"/>
              <w:right w:val="single" w:sz="8" w:color="auto"/>
            </w:tcBorders>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right w:val="single" w:sz="8" w:color="auto"/>
            </w:tcBorders>
            <w:vMerge w:val="restart"/>
          </w:tcPr>
          <w:p>
            <w:pPr>
              <w:jc w:val="center"/>
              <w:ind w:right="119"/>
              <w:spacing w:after="0"/>
              <w:rPr>
                <w:sz w:val="20"/>
                <w:szCs w:val="20"/>
                <w:color w:val="auto"/>
              </w:rPr>
            </w:pPr>
            <w:r>
              <w:rPr>
                <w:rFonts w:ascii="Arial" w:cs="Arial" w:eastAsia="Arial" w:hAnsi="Arial"/>
                <w:sz w:val="16"/>
                <w:szCs w:val="16"/>
                <w:b w:val="1"/>
                <w:bCs w:val="1"/>
                <w:color w:val="auto"/>
                <w:w w:val="89"/>
              </w:rPr>
              <w:t>9</w:t>
            </w:r>
          </w:p>
        </w:tc>
        <w:tc>
          <w:tcPr>
            <w:tcW w:w="120" w:type="dxa"/>
            <w:vAlign w:val="bottom"/>
          </w:tcPr>
          <w:p>
            <w:pPr>
              <w:spacing w:after="0"/>
              <w:rPr>
                <w:sz w:val="8"/>
                <w:szCs w:val="8"/>
                <w:color w:val="auto"/>
              </w:rPr>
            </w:pPr>
          </w:p>
        </w:tc>
        <w:tc>
          <w:tcPr>
            <w:tcW w:w="8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780" w:type="dxa"/>
            <w:vAlign w:val="bottom"/>
            <w:tcBorders>
              <w:left w:val="single" w:sz="8" w:color="auto"/>
            </w:tcBorders>
          </w:tcPr>
          <w:p>
            <w:pPr>
              <w:spacing w:after="0"/>
              <w:rPr>
                <w:sz w:val="10"/>
                <w:szCs w:val="10"/>
                <w:color w:val="auto"/>
              </w:rPr>
            </w:pPr>
          </w:p>
        </w:tc>
        <w:tc>
          <w:tcPr>
            <w:tcW w:w="660" w:type="dxa"/>
            <w:vAlign w:val="bottom"/>
            <w:gridSpan w:val="2"/>
            <w:vMerge w:val="restart"/>
          </w:tcPr>
          <w:p>
            <w:pPr>
              <w:jc w:val="center"/>
              <w:ind w:left="30"/>
              <w:spacing w:after="0" w:line="176" w:lineRule="exact"/>
              <w:rPr>
                <w:sz w:val="20"/>
                <w:szCs w:val="20"/>
                <w:color w:val="auto"/>
              </w:rPr>
            </w:pPr>
            <w:r>
              <w:rPr>
                <w:rFonts w:ascii="Arial" w:cs="Arial" w:eastAsia="Arial" w:hAnsi="Arial"/>
                <w:sz w:val="18"/>
                <w:szCs w:val="18"/>
                <w:color w:val="auto"/>
              </w:rPr>
              <w:t>BY</w:t>
            </w:r>
          </w:p>
        </w:tc>
        <w:tc>
          <w:tcPr>
            <w:tcW w:w="9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780" w:type="dxa"/>
            <w:vAlign w:val="bottom"/>
            <w:tcBorders>
              <w:left w:val="single" w:sz="8" w:color="auto"/>
            </w:tcBorders>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right w:val="single" w:sz="8" w:color="auto"/>
            </w:tcBorders>
            <w:gridSpan w:val="4"/>
          </w:tcPr>
          <w:p>
            <w:pPr>
              <w:jc w:val="center"/>
              <w:spacing w:after="0" w:line="176" w:lineRule="exact"/>
              <w:rPr>
                <w:sz w:val="20"/>
                <w:szCs w:val="20"/>
                <w:color w:val="auto"/>
              </w:rPr>
            </w:pPr>
            <w:r>
              <w:rPr>
                <w:rFonts w:ascii="Arial" w:cs="Arial" w:eastAsia="Arial" w:hAnsi="Arial"/>
                <w:sz w:val="18"/>
                <w:szCs w:val="18"/>
                <w:color w:val="auto"/>
                <w:w w:val="95"/>
              </w:rPr>
              <w:t>EACH REPORTING</w:t>
            </w:r>
          </w:p>
        </w:tc>
        <w:tc>
          <w:tcPr>
            <w:tcW w:w="14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0" w:type="dxa"/>
            <w:vAlign w:val="bottom"/>
            <w:tcBorders>
              <w:left w:val="single" w:sz="8" w:color="auto"/>
            </w:tcBorders>
          </w:tcPr>
          <w:p>
            <w:pPr>
              <w:spacing w:after="0"/>
              <w:rPr>
                <w:sz w:val="16"/>
                <w:szCs w:val="16"/>
                <w:color w:val="auto"/>
              </w:rPr>
            </w:pPr>
          </w:p>
        </w:tc>
        <w:tc>
          <w:tcPr>
            <w:tcW w:w="1580" w:type="dxa"/>
            <w:vAlign w:val="bottom"/>
            <w:tcBorders>
              <w:right w:val="single" w:sz="8" w:color="auto"/>
            </w:tcBorders>
            <w:gridSpan w:val="3"/>
          </w:tcPr>
          <w:p>
            <w:pPr>
              <w:jc w:val="center"/>
              <w:ind w:right="755"/>
              <w:spacing w:after="0" w:line="189" w:lineRule="exact"/>
              <w:rPr>
                <w:sz w:val="20"/>
                <w:szCs w:val="20"/>
                <w:color w:val="auto"/>
              </w:rPr>
            </w:pPr>
            <w:r>
              <w:rPr>
                <w:rFonts w:ascii="Arial" w:cs="Arial" w:eastAsia="Arial" w:hAnsi="Arial"/>
                <w:sz w:val="18"/>
                <w:szCs w:val="18"/>
                <w:color w:val="auto"/>
                <w:w w:val="92"/>
              </w:rPr>
              <w:t>PERSON</w:t>
            </w:r>
          </w:p>
        </w:tc>
        <w:tc>
          <w:tcPr>
            <w:tcW w:w="1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6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78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94,285,714</w:t>
            </w: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10</w:t>
            </w:r>
          </w:p>
        </w:tc>
        <w:tc>
          <w:tcPr>
            <w:tcW w:w="120" w:type="dxa"/>
            <w:vAlign w:val="bottom"/>
          </w:tcPr>
          <w:p>
            <w:pPr>
              <w:spacing w:after="0"/>
              <w:rPr>
                <w:sz w:val="19"/>
                <w:szCs w:val="19"/>
                <w:color w:val="auto"/>
              </w:rPr>
            </w:pPr>
          </w:p>
        </w:tc>
        <w:tc>
          <w:tcPr>
            <w:tcW w:w="8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66"/>
        </w:trPr>
        <w:tc>
          <w:tcPr>
            <w:tcW w:w="7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80" w:type="dxa"/>
            <w:vAlign w:val="bottom"/>
            <w:tcBorders>
              <w:left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79"/>
              </w:rPr>
              <w:t>11</w:t>
            </w:r>
          </w:p>
        </w:tc>
        <w:tc>
          <w:tcPr>
            <w:tcW w:w="5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846"/>
        </w:trPr>
        <w:tc>
          <w:tcPr>
            <w:tcW w:w="7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95"/>
              </w:rPr>
              <w:t>94,285,714</w:t>
            </w:r>
          </w:p>
        </w:tc>
        <w:tc>
          <w:tcPr>
            <w:tcW w:w="12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12</w:t>
            </w:r>
          </w:p>
        </w:tc>
        <w:tc>
          <w:tcPr>
            <w:tcW w:w="5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0" w:type="dxa"/>
            <w:vAlign w:val="bottom"/>
            <w:tcBorders>
              <w:bottom w:val="single" w:sz="8" w:color="auto"/>
              <w:right w:val="single" w:sz="8" w:color="auto"/>
            </w:tcBorders>
            <w:gridSpan w:val="5"/>
          </w:tcPr>
          <w:p>
            <w:pPr>
              <w:ind w:left="4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13</w:t>
            </w:r>
          </w:p>
        </w:tc>
        <w:tc>
          <w:tcPr>
            <w:tcW w:w="5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6"/>
        </w:trPr>
        <w:tc>
          <w:tcPr>
            <w:tcW w:w="7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380"/>
              <w:spacing w:after="0" w:line="235" w:lineRule="exact"/>
              <w:rPr>
                <w:sz w:val="20"/>
                <w:szCs w:val="20"/>
                <w:color w:val="auto"/>
              </w:rPr>
            </w:pPr>
            <w:r>
              <w:rPr>
                <w:rFonts w:ascii="Arial" w:cs="Arial" w:eastAsia="Arial" w:hAnsi="Arial"/>
                <w:sz w:val="17"/>
                <w:szCs w:val="17"/>
                <w:color w:val="auto"/>
                <w:w w:val="86"/>
              </w:rPr>
              <w:t xml:space="preserve">11.6 % </w:t>
            </w:r>
            <w:r>
              <w:rPr>
                <w:rFonts w:ascii="Arial" w:cs="Arial" w:eastAsia="Arial" w:hAnsi="Arial"/>
                <w:sz w:val="23"/>
                <w:szCs w:val="23"/>
                <w:color w:val="auto"/>
                <w:w w:val="86"/>
                <w:vertAlign w:val="superscript"/>
              </w:rPr>
              <w:t>(1)</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80" w:type="dxa"/>
            <w:vAlign w:val="bottom"/>
            <w:tcBorders>
              <w:left w:val="single" w:sz="8" w:color="auto"/>
            </w:tcBorders>
          </w:tcPr>
          <w:p>
            <w:pPr>
              <w:jc w:val="center"/>
              <w:ind w:left="430"/>
              <w:spacing w:after="0" w:line="169" w:lineRule="exact"/>
              <w:rPr>
                <w:sz w:val="20"/>
                <w:szCs w:val="20"/>
                <w:color w:val="auto"/>
              </w:rPr>
            </w:pPr>
            <w:r>
              <w:rPr>
                <w:rFonts w:ascii="Arial" w:cs="Arial" w:eastAsia="Arial" w:hAnsi="Arial"/>
                <w:sz w:val="18"/>
                <w:szCs w:val="18"/>
                <w:b w:val="1"/>
                <w:bCs w:val="1"/>
                <w:color w:val="auto"/>
                <w:w w:val="89"/>
              </w:rPr>
              <w:t>14</w:t>
            </w:r>
          </w:p>
        </w:tc>
        <w:tc>
          <w:tcPr>
            <w:tcW w:w="5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0" w:type="dxa"/>
            <w:vAlign w:val="bottom"/>
            <w:tcBorders>
              <w:right w:val="single" w:sz="8" w:color="auto"/>
            </w:tcBorders>
            <w:gridSpan w:val="5"/>
          </w:tcPr>
          <w:p>
            <w:pPr>
              <w:ind w:left="40"/>
              <w:spacing w:after="0" w:line="169" w:lineRule="exact"/>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39"/>
        </w:trPr>
        <w:tc>
          <w:tcPr>
            <w:tcW w:w="7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80" w:right="60" w:hanging="172"/>
        <w:spacing w:after="0" w:line="249" w:lineRule="auto"/>
        <w:tabs>
          <w:tab w:leader="none" w:pos="271"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Based on 810,000,334 shares of GeneDx Common Stock (as defined herein) of the Issuer (as defined herein) to be outstanding immediately after the Issuer’s Offering (as defined herein) as set forth in the Issuer’s Prospectus on Form 424 filed with the SEC (as defined herein) on January 30, 2023.</w:t>
      </w:r>
    </w:p>
    <w:p>
      <w:pPr>
        <w:sectPr>
          <w:pgSz w:w="11900" w:h="16838" w:orient="portrait"/>
          <w:cols w:equalWidth="0" w:num="1">
            <w:col w:w="11020"/>
          </w:cols>
          <w:pgMar w:left="360" w:top="1440"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This Amendment No. 1 (the “</w:t>
      </w:r>
      <w:r>
        <w:rPr>
          <w:rFonts w:ascii="Arial" w:cs="Arial" w:eastAsia="Arial" w:hAnsi="Arial"/>
          <w:sz w:val="18"/>
          <w:szCs w:val="18"/>
          <w:u w:val="single" w:color="auto"/>
          <w:color w:val="auto"/>
        </w:rPr>
        <w:t>Amendment</w:t>
      </w:r>
      <w:r>
        <w:rPr>
          <w:rFonts w:ascii="Arial" w:cs="Arial" w:eastAsia="Arial" w:hAnsi="Arial"/>
          <w:sz w:val="18"/>
          <w:szCs w:val="18"/>
          <w:color w:val="auto"/>
        </w:rPr>
        <w:t>”) to Schedule 13D is being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behalf of OPKO Health, Inc., a Delaware corporation (“</w:t>
      </w:r>
      <w:r>
        <w:rPr>
          <w:rFonts w:ascii="Arial" w:cs="Arial" w:eastAsia="Arial" w:hAnsi="Arial"/>
          <w:sz w:val="18"/>
          <w:szCs w:val="18"/>
          <w:u w:val="single" w:color="auto"/>
          <w:color w:val="auto"/>
        </w:rPr>
        <w:t>OPKO</w:t>
      </w:r>
      <w:r>
        <w:rPr>
          <w:rFonts w:ascii="Arial" w:cs="Arial" w:eastAsia="Arial" w:hAnsi="Arial"/>
          <w:sz w:val="18"/>
          <w:szCs w:val="18"/>
          <w:color w:val="auto"/>
        </w:rPr>
        <w:t>”) and relates to the Class A common stock, par value $0.0001 per share (“</w:t>
      </w:r>
      <w:r>
        <w:rPr>
          <w:rFonts w:ascii="Arial" w:cs="Arial" w:eastAsia="Arial" w:hAnsi="Arial"/>
          <w:sz w:val="18"/>
          <w:szCs w:val="18"/>
          <w:u w:val="single" w:color="auto"/>
          <w:color w:val="auto"/>
        </w:rPr>
        <w:t>GeneDx Common Stock</w:t>
      </w:r>
      <w:r>
        <w:rPr>
          <w:rFonts w:ascii="Arial" w:cs="Arial" w:eastAsia="Arial" w:hAnsi="Arial"/>
          <w:sz w:val="18"/>
          <w:szCs w:val="18"/>
          <w:color w:val="auto"/>
        </w:rPr>
        <w:t>”), of GeneDx Holdings Corp., a Delaware corporation (“</w:t>
      </w:r>
      <w:r>
        <w:rPr>
          <w:rFonts w:ascii="Arial" w:cs="Arial" w:eastAsia="Arial" w:hAnsi="Arial"/>
          <w:sz w:val="18"/>
          <w:szCs w:val="18"/>
          <w:u w:val="single" w:color="auto"/>
          <w:color w:val="auto"/>
        </w:rPr>
        <w:t>GeneDx</w:t>
      </w:r>
      <w:r>
        <w:rPr>
          <w:rFonts w:ascii="Arial" w:cs="Arial" w:eastAsia="Arial" w:hAnsi="Arial"/>
          <w:sz w:val="18"/>
          <w:szCs w:val="18"/>
          <w:color w:val="auto"/>
        </w:rPr>
        <w:t>” or the “</w:t>
      </w:r>
      <w:r>
        <w:rPr>
          <w:rFonts w:ascii="Arial" w:cs="Arial" w:eastAsia="Arial" w:hAnsi="Arial"/>
          <w:sz w:val="18"/>
          <w:szCs w:val="18"/>
          <w:u w:val="single" w:color="auto"/>
          <w:color w:val="auto"/>
        </w:rPr>
        <w:t>Issuer</w:t>
      </w:r>
      <w:r>
        <w:rPr>
          <w:rFonts w:ascii="Arial" w:cs="Arial" w:eastAsia="Arial" w:hAnsi="Arial"/>
          <w:sz w:val="18"/>
          <w:szCs w:val="18"/>
          <w:color w:val="auto"/>
        </w:rPr>
        <w:t>”) and amends and supplements the initial statement on Schedule 13D filed by OPKO with the SEC on May 9, 2022 (the “</w:t>
      </w:r>
      <w:r>
        <w:rPr>
          <w:rFonts w:ascii="Arial" w:cs="Arial" w:eastAsia="Arial" w:hAnsi="Arial"/>
          <w:sz w:val="18"/>
          <w:szCs w:val="18"/>
          <w:u w:val="single" w:color="auto"/>
          <w:color w:val="auto"/>
        </w:rPr>
        <w:t>Schedule 13D</w:t>
      </w:r>
      <w:r>
        <w:rPr>
          <w:rFonts w:ascii="Arial" w:cs="Arial" w:eastAsia="Arial" w:hAnsi="Arial"/>
          <w:sz w:val="18"/>
          <w:szCs w:val="18"/>
          <w:color w:val="auto"/>
        </w:rPr>
        <w:t>”). Capitalized terms used but not defined in this Amendment No. 1 shall have the same meanings ascribed to them in the Schedule 13D.</w:t>
      </w:r>
    </w:p>
    <w:p>
      <w:pPr>
        <w:spacing w:after="0" w:line="19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Schedule I is hereby amended as follows:</w:t>
      </w:r>
    </w:p>
    <w:p>
      <w:pPr>
        <w:spacing w:after="0" w:line="175" w:lineRule="exact"/>
        <w:rPr>
          <w:sz w:val="20"/>
          <w:szCs w:val="20"/>
          <w:color w:val="auto"/>
        </w:rPr>
      </w:pPr>
    </w:p>
    <w:p>
      <w:pPr>
        <w:ind w:left="340" w:right="800"/>
        <w:spacing w:after="0" w:line="465" w:lineRule="auto"/>
        <w:rPr>
          <w:sz w:val="20"/>
          <w:szCs w:val="20"/>
          <w:color w:val="auto"/>
        </w:rPr>
      </w:pPr>
      <w:r>
        <w:rPr>
          <w:rFonts w:ascii="Arial" w:cs="Arial" w:eastAsia="Arial" w:hAnsi="Arial"/>
          <w:sz w:val="18"/>
          <w:szCs w:val="18"/>
          <w:color w:val="auto"/>
        </w:rPr>
        <w:t xml:space="preserve">Jon Cohen has retired from OPKO and is therefore no longer a director and officer and the following directors and officers have been added. </w:t>
      </w:r>
      <w:r>
        <w:rPr>
          <w:rFonts w:ascii="Arial" w:cs="Arial" w:eastAsia="Arial" w:hAnsi="Arial"/>
          <w:sz w:val="18"/>
          <w:szCs w:val="18"/>
          <w:b w:val="1"/>
          <w:bCs w:val="1"/>
          <w:u w:val="single" w:color="auto"/>
          <w:color w:val="auto"/>
        </w:rPr>
        <w:t>Directors of OPKO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Name</w:t>
            </w: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ind w:left="580"/>
              <w:spacing w:after="0"/>
              <w:rPr>
                <w:sz w:val="20"/>
                <w:szCs w:val="20"/>
                <w:color w:val="auto"/>
              </w:rPr>
            </w:pPr>
            <w:r>
              <w:rPr>
                <w:rFonts w:ascii="Arial" w:cs="Arial" w:eastAsia="Arial" w:hAnsi="Arial"/>
                <w:sz w:val="18"/>
                <w:szCs w:val="18"/>
                <w:color w:val="auto"/>
              </w:rPr>
              <w:t>Business Address</w:t>
            </w:r>
          </w:p>
        </w:tc>
        <w:tc>
          <w:tcPr>
            <w:tcW w:w="20" w:type="dxa"/>
            <w:vAlign w:val="bottom"/>
          </w:tcPr>
          <w:p>
            <w:pPr>
              <w:spacing w:after="0"/>
              <w:rPr>
                <w:sz w:val="20"/>
                <w:szCs w:val="20"/>
                <w:color w:val="auto"/>
              </w:rPr>
            </w:pPr>
          </w:p>
        </w:tc>
        <w:tc>
          <w:tcPr>
            <w:tcW w:w="3600" w:type="dxa"/>
            <w:vAlign w:val="bottom"/>
            <w:gridSpan w:val="3"/>
          </w:tcPr>
          <w:p>
            <w:pPr>
              <w:ind w:left="400"/>
              <w:spacing w:after="0"/>
              <w:rPr>
                <w:sz w:val="20"/>
                <w:szCs w:val="20"/>
                <w:color w:val="auto"/>
              </w:rPr>
            </w:pPr>
            <w:r>
              <w:rPr>
                <w:rFonts w:ascii="Arial" w:cs="Arial" w:eastAsia="Arial" w:hAnsi="Arial"/>
                <w:sz w:val="18"/>
                <w:szCs w:val="18"/>
                <w:color w:val="auto"/>
              </w:rPr>
              <w:t>Principal Occupation or Employment</w:t>
            </w:r>
          </w:p>
        </w:tc>
        <w:tc>
          <w:tcPr>
            <w:tcW w:w="20" w:type="dxa"/>
            <w:vAlign w:val="bottom"/>
          </w:tcPr>
          <w:p>
            <w:pPr>
              <w:spacing w:after="0"/>
              <w:rPr>
                <w:sz w:val="20"/>
                <w:szCs w:val="20"/>
                <w:color w:val="auto"/>
              </w:rPr>
            </w:pPr>
          </w:p>
        </w:tc>
        <w:tc>
          <w:tcPr>
            <w:tcW w:w="1580" w:type="dxa"/>
            <w:vAlign w:val="bottom"/>
          </w:tcPr>
          <w:p>
            <w:pPr>
              <w:ind w:left="360"/>
              <w:spacing w:after="0"/>
              <w:rPr>
                <w:sz w:val="20"/>
                <w:szCs w:val="20"/>
                <w:color w:val="auto"/>
              </w:rPr>
            </w:pPr>
            <w:r>
              <w:rPr>
                <w:rFonts w:ascii="Arial" w:cs="Arial" w:eastAsia="Arial" w:hAnsi="Arial"/>
                <w:sz w:val="18"/>
                <w:szCs w:val="18"/>
                <w:color w:val="auto"/>
              </w:rPr>
              <w:t>Citizenship</w:t>
            </w:r>
          </w:p>
        </w:tc>
        <w:tc>
          <w:tcPr>
            <w:tcW w:w="60" w:type="dxa"/>
            <w:vAlign w:val="bottom"/>
          </w:tcPr>
          <w:p>
            <w:pPr>
              <w:spacing w:after="0"/>
              <w:rPr>
                <w:sz w:val="20"/>
                <w:szCs w:val="20"/>
                <w:color w:val="auto"/>
              </w:rPr>
            </w:pPr>
          </w:p>
        </w:tc>
      </w:tr>
      <w:tr>
        <w:trPr>
          <w:trHeight w:val="195"/>
        </w:trPr>
        <w:tc>
          <w:tcPr>
            <w:tcW w:w="33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Elias A. Zerhouni, M.D.</w:t>
            </w:r>
          </w:p>
        </w:tc>
        <w:tc>
          <w:tcPr>
            <w:tcW w:w="100" w:type="dxa"/>
            <w:vAlign w:val="bottom"/>
          </w:tcPr>
          <w:p>
            <w:pPr>
              <w:spacing w:after="0"/>
              <w:rPr>
                <w:sz w:val="16"/>
                <w:szCs w:val="16"/>
                <w:color w:val="auto"/>
              </w:rPr>
            </w:pPr>
          </w:p>
        </w:tc>
        <w:tc>
          <w:tcPr>
            <w:tcW w:w="24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c/o OPKO Health, Inc.</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Vice Chairman of the Board and President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States</w:t>
            </w:r>
          </w:p>
        </w:tc>
        <w:tc>
          <w:tcPr>
            <w:tcW w:w="60" w:type="dxa"/>
            <w:vAlign w:val="bottom"/>
          </w:tcPr>
          <w:p>
            <w:pPr>
              <w:spacing w:after="0"/>
              <w:rPr>
                <w:sz w:val="16"/>
                <w:szCs w:val="16"/>
                <w:color w:val="auto"/>
              </w:rPr>
            </w:pPr>
          </w:p>
        </w:tc>
      </w:tr>
      <w:tr>
        <w:trPr>
          <w:trHeight w:val="203"/>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4400 Biscayne Blvd.</w:t>
            </w:r>
          </w:p>
        </w:tc>
        <w:tc>
          <w:tcPr>
            <w:tcW w:w="20" w:type="dxa"/>
            <w:vAlign w:val="bottom"/>
          </w:tcPr>
          <w:p>
            <w:pPr>
              <w:spacing w:after="0"/>
              <w:rPr>
                <w:sz w:val="17"/>
                <w:szCs w:val="17"/>
                <w:color w:val="auto"/>
              </w:rPr>
            </w:pPr>
          </w:p>
        </w:tc>
        <w:tc>
          <w:tcPr>
            <w:tcW w:w="3600" w:type="dxa"/>
            <w:vAlign w:val="bottom"/>
            <w:gridSpan w:val="3"/>
          </w:tcPr>
          <w:p>
            <w:pPr>
              <w:spacing w:after="0" w:line="202" w:lineRule="exact"/>
              <w:rPr>
                <w:sz w:val="20"/>
                <w:szCs w:val="20"/>
                <w:color w:val="auto"/>
              </w:rPr>
            </w:pPr>
            <w:r>
              <w:rPr>
                <w:rFonts w:ascii="Arial" w:cs="Arial" w:eastAsia="Arial" w:hAnsi="Arial"/>
                <w:sz w:val="18"/>
                <w:szCs w:val="18"/>
                <w:color w:val="auto"/>
              </w:rPr>
              <w:t>OPKO Health, Inc.</w:t>
            </w: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Gary J. Nabel, M.D., Ph.D.</w:t>
            </w: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c/o OPKO Health, Inc.</w:t>
            </w:r>
          </w:p>
        </w:tc>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Chief Innovation Officer of OPKO Health Inc.</w:t>
            </w:r>
          </w:p>
        </w:tc>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United States</w:t>
            </w:r>
          </w:p>
        </w:tc>
        <w:tc>
          <w:tcPr>
            <w:tcW w:w="60" w:type="dxa"/>
            <w:vAlign w:val="bottom"/>
          </w:tcPr>
          <w:p>
            <w:pPr>
              <w:spacing w:after="0"/>
              <w:rPr>
                <w:sz w:val="19"/>
                <w:szCs w:val="19"/>
                <w:color w:val="auto"/>
              </w:rPr>
            </w:pPr>
          </w:p>
        </w:tc>
      </w:tr>
      <w:tr>
        <w:trPr>
          <w:trHeight w:val="203"/>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4400 Biscayne Blvd.</w:t>
            </w:r>
          </w:p>
        </w:tc>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1100" w:type="dxa"/>
            <w:vAlign w:val="bottom"/>
          </w:tcPr>
          <w:p>
            <w:pPr>
              <w:ind w:left="20"/>
              <w:spacing w:after="0"/>
              <w:rPr>
                <w:sz w:val="20"/>
                <w:szCs w:val="20"/>
                <w:color w:val="auto"/>
              </w:rPr>
            </w:pPr>
            <w:r>
              <w:rPr>
                <w:rFonts w:ascii="Arial" w:cs="Arial" w:eastAsia="Arial" w:hAnsi="Arial"/>
                <w:sz w:val="18"/>
                <w:szCs w:val="18"/>
                <w:color w:val="auto"/>
              </w:rPr>
              <w:t>Alexis Borisy</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c/o OPKO Health, Inc.</w:t>
            </w:r>
          </w:p>
        </w:tc>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w w:val="95"/>
              </w:rPr>
              <w:t>Executive Chairman of the Board of EQRx, Inc.</w:t>
            </w:r>
          </w:p>
        </w:tc>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United States</w:t>
            </w:r>
          </w:p>
        </w:tc>
        <w:tc>
          <w:tcPr>
            <w:tcW w:w="60" w:type="dxa"/>
            <w:vAlign w:val="bottom"/>
          </w:tcPr>
          <w:p>
            <w:pPr>
              <w:spacing w:after="0"/>
              <w:rPr>
                <w:sz w:val="19"/>
                <w:szCs w:val="19"/>
                <w:color w:val="auto"/>
              </w:rPr>
            </w:pPr>
          </w:p>
        </w:tc>
      </w:tr>
      <w:tr>
        <w:trPr>
          <w:trHeight w:val="203"/>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4400 Biscayne Blvd.</w:t>
            </w:r>
          </w:p>
        </w:tc>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26"/>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Officers of OPKO</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1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0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3"/>
          </w:tcPr>
          <w:p>
            <w:pPr>
              <w:ind w:left="580"/>
              <w:spacing w:after="0"/>
              <w:rPr>
                <w:sz w:val="20"/>
                <w:szCs w:val="20"/>
                <w:color w:val="auto"/>
              </w:rPr>
            </w:pPr>
            <w:r>
              <w:rPr>
                <w:rFonts w:ascii="Arial" w:cs="Arial" w:eastAsia="Arial" w:hAnsi="Arial"/>
                <w:sz w:val="18"/>
                <w:szCs w:val="18"/>
                <w:color w:val="auto"/>
              </w:rPr>
              <w:t>Business Address</w:t>
            </w:r>
          </w:p>
        </w:tc>
        <w:tc>
          <w:tcPr>
            <w:tcW w:w="20" w:type="dxa"/>
            <w:vAlign w:val="bottom"/>
          </w:tcPr>
          <w:p>
            <w:pPr>
              <w:spacing w:after="0"/>
              <w:rPr>
                <w:sz w:val="24"/>
                <w:szCs w:val="24"/>
                <w:color w:val="auto"/>
              </w:rPr>
            </w:pPr>
          </w:p>
        </w:tc>
        <w:tc>
          <w:tcPr>
            <w:tcW w:w="3600" w:type="dxa"/>
            <w:vAlign w:val="bottom"/>
            <w:gridSpan w:val="3"/>
          </w:tcPr>
          <w:p>
            <w:pPr>
              <w:ind w:left="420"/>
              <w:spacing w:after="0"/>
              <w:rPr>
                <w:sz w:val="20"/>
                <w:szCs w:val="20"/>
                <w:color w:val="auto"/>
              </w:rPr>
            </w:pPr>
            <w:r>
              <w:rPr>
                <w:rFonts w:ascii="Arial" w:cs="Arial" w:eastAsia="Arial" w:hAnsi="Arial"/>
                <w:sz w:val="18"/>
                <w:szCs w:val="18"/>
                <w:color w:val="auto"/>
              </w:rPr>
              <w:t>Principal Occupation or Employment</w:t>
            </w:r>
          </w:p>
        </w:tc>
        <w:tc>
          <w:tcPr>
            <w:tcW w:w="20" w:type="dxa"/>
            <w:vAlign w:val="bottom"/>
          </w:tcPr>
          <w:p>
            <w:pPr>
              <w:spacing w:after="0"/>
              <w:rPr>
                <w:sz w:val="24"/>
                <w:szCs w:val="24"/>
                <w:color w:val="auto"/>
              </w:rPr>
            </w:pPr>
          </w:p>
        </w:tc>
        <w:tc>
          <w:tcPr>
            <w:tcW w:w="1580" w:type="dxa"/>
            <w:vAlign w:val="bottom"/>
          </w:tcPr>
          <w:p>
            <w:pPr>
              <w:ind w:left="400"/>
              <w:spacing w:after="0"/>
              <w:rPr>
                <w:sz w:val="20"/>
                <w:szCs w:val="20"/>
                <w:color w:val="auto"/>
              </w:rPr>
            </w:pPr>
            <w:r>
              <w:rPr>
                <w:rFonts w:ascii="Arial" w:cs="Arial" w:eastAsia="Arial" w:hAnsi="Arial"/>
                <w:sz w:val="18"/>
                <w:szCs w:val="18"/>
                <w:color w:val="auto"/>
              </w:rPr>
              <w:t>Citizenship</w:t>
            </w:r>
          </w:p>
        </w:tc>
        <w:tc>
          <w:tcPr>
            <w:tcW w:w="60" w:type="dxa"/>
            <w:vAlign w:val="bottom"/>
          </w:tcPr>
          <w:p>
            <w:pPr>
              <w:spacing w:after="0"/>
              <w:rPr>
                <w:sz w:val="24"/>
                <w:szCs w:val="24"/>
                <w:color w:val="auto"/>
              </w:rPr>
            </w:pPr>
          </w:p>
        </w:tc>
      </w:tr>
      <w:tr>
        <w:trPr>
          <w:trHeight w:val="195"/>
        </w:trPr>
        <w:tc>
          <w:tcPr>
            <w:tcW w:w="33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Elias A. Zerhouni, M.D.</w:t>
            </w:r>
          </w:p>
        </w:tc>
        <w:tc>
          <w:tcPr>
            <w:tcW w:w="100" w:type="dxa"/>
            <w:vAlign w:val="bottom"/>
          </w:tcPr>
          <w:p>
            <w:pPr>
              <w:spacing w:after="0"/>
              <w:rPr>
                <w:sz w:val="16"/>
                <w:szCs w:val="16"/>
                <w:color w:val="auto"/>
              </w:rPr>
            </w:pPr>
          </w:p>
        </w:tc>
        <w:tc>
          <w:tcPr>
            <w:tcW w:w="244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c/o OPKO Health, Inc.</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President and Vice Chairman of the Board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United States</w:t>
            </w:r>
          </w:p>
        </w:tc>
        <w:tc>
          <w:tcPr>
            <w:tcW w:w="60" w:type="dxa"/>
            <w:vAlign w:val="bottom"/>
            <w:tcBorders>
              <w:top w:val="single" w:sz="8" w:color="auto"/>
            </w:tcBorders>
          </w:tcPr>
          <w:p>
            <w:pPr>
              <w:spacing w:after="0"/>
              <w:rPr>
                <w:sz w:val="16"/>
                <w:szCs w:val="16"/>
                <w:color w:val="auto"/>
              </w:rPr>
            </w:pPr>
          </w:p>
        </w:tc>
      </w:tr>
      <w:tr>
        <w:trPr>
          <w:trHeight w:val="203"/>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4400 Biscayne Blvd.</w:t>
            </w:r>
          </w:p>
        </w:tc>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Gary J. Nabel, M.D., Ph.D.</w:t>
            </w: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c/o OPKO Health, Inc.</w:t>
            </w:r>
          </w:p>
        </w:tc>
        <w:tc>
          <w:tcPr>
            <w:tcW w:w="20" w:type="dxa"/>
            <w:vAlign w:val="bottom"/>
          </w:tcPr>
          <w:p>
            <w:pPr>
              <w:spacing w:after="0"/>
              <w:rPr>
                <w:sz w:val="19"/>
                <w:szCs w:val="19"/>
                <w:color w:val="auto"/>
              </w:rPr>
            </w:pPr>
          </w:p>
        </w:tc>
        <w:tc>
          <w:tcPr>
            <w:tcW w:w="3600" w:type="dxa"/>
            <w:vAlign w:val="bottom"/>
            <w:gridSpan w:val="3"/>
          </w:tcPr>
          <w:p>
            <w:pPr>
              <w:ind w:left="20"/>
              <w:spacing w:after="0"/>
              <w:rPr>
                <w:sz w:val="20"/>
                <w:szCs w:val="20"/>
                <w:color w:val="auto"/>
              </w:rPr>
            </w:pPr>
            <w:r>
              <w:rPr>
                <w:rFonts w:ascii="Arial" w:cs="Arial" w:eastAsia="Arial" w:hAnsi="Arial"/>
                <w:sz w:val="18"/>
                <w:szCs w:val="18"/>
                <w:color w:val="auto"/>
              </w:rPr>
              <w:t>Chief Innovation Officer</w:t>
            </w:r>
          </w:p>
        </w:tc>
        <w:tc>
          <w:tcPr>
            <w:tcW w:w="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60" w:type="dxa"/>
            <w:vAlign w:val="bottom"/>
          </w:tcPr>
          <w:p>
            <w:pPr>
              <w:spacing w:after="0"/>
              <w:rPr>
                <w:sz w:val="19"/>
                <w:szCs w:val="19"/>
                <w:color w:val="auto"/>
              </w:rPr>
            </w:pPr>
          </w:p>
        </w:tc>
      </w:tr>
      <w:tr>
        <w:trPr>
          <w:trHeight w:val="203"/>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4400 Biscayne Blvd.</w:t>
            </w:r>
          </w:p>
        </w:tc>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ITEM 3.</w:t>
            </w:r>
          </w:p>
        </w:tc>
        <w:tc>
          <w:tcPr>
            <w:tcW w:w="4860" w:type="dxa"/>
            <w:vAlign w:val="bottom"/>
            <w:gridSpan w:val="6"/>
          </w:tcPr>
          <w:p>
            <w:pPr>
              <w:ind w:left="80"/>
              <w:spacing w:after="0"/>
              <w:rPr>
                <w:sz w:val="20"/>
                <w:szCs w:val="20"/>
                <w:color w:val="auto"/>
              </w:rPr>
            </w:pPr>
            <w:r>
              <w:rPr>
                <w:rFonts w:ascii="Arial" w:cs="Arial" w:eastAsia="Arial" w:hAnsi="Arial"/>
                <w:sz w:val="18"/>
                <w:szCs w:val="18"/>
                <w:b w:val="1"/>
                <w:bCs w:val="1"/>
                <w:color w:val="auto"/>
              </w:rPr>
              <w:t>Source and Amount of Funds or Other Consideration.</w:t>
            </w:r>
          </w:p>
        </w:tc>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is amended by adding the following paragraph to the end of the item:</w:t>
      </w:r>
    </w:p>
    <w:p>
      <w:pPr>
        <w:spacing w:after="0" w:line="17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On January 26, 2023, OPKO acquired 14,285,714 shares of GeneDx Common Stock in a registered public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at $0.35 per shares for an aggregate purchase price of approximately $5,000,000. The source of funds used to acquire the GeneDx Common Stock was working capital of OPKO.</w:t>
      </w:r>
    </w:p>
    <w:p>
      <w:pPr>
        <w:spacing w:after="0" w:line="19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is amended by adding the following paragraph to the end of the item:</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On January 26, 2023, OPKO acquired 14,285,714 shares of GeneDx Common Stock in the Offering at $0.35 per shares for an aggregate purchase price of approximately $5,000,000.</w:t>
      </w:r>
    </w:p>
    <w:p>
      <w:pPr>
        <w:sectPr>
          <w:pgSz w:w="11900" w:h="16838" w:orient="portrait"/>
          <w:cols w:equalWidth="0" w:num="1">
            <w:col w:w="11240"/>
          </w:cols>
          <w:pgMar w:left="320" w:top="1404" w:right="339" w:bottom="1440" w:gutter="0" w:footer="0" w:header="0"/>
        </w:sectPr>
      </w:pPr>
    </w:p>
    <w:bookmarkStart w:id="3" w:name="page4"/>
    <w:bookmarkEnd w:id="3"/>
    <w:p>
      <w:pPr>
        <w:spacing w:after="0" w:line="113"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is deleted in its entirety and replaced with the following text:</w:t>
      </w:r>
    </w:p>
    <w:p>
      <w:pPr>
        <w:spacing w:after="0" w:line="189"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Company’s beneficial ownership of Sema4 Common Stock is as set forth in the table below:</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Number of Outstanding Shares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Outstanding</w:t>
            </w: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Title of Beneficial Owner</w:t>
            </w: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Beneficially Owned</w:t>
            </w:r>
          </w:p>
        </w:tc>
        <w:tc>
          <w:tcPr>
            <w:tcW w:w="240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86"/>
              </w:rPr>
              <w:t xml:space="preserve">Common Shares </w:t>
            </w:r>
            <w:r>
              <w:rPr>
                <w:rFonts w:ascii="Arial" w:cs="Arial" w:eastAsia="Arial" w:hAnsi="Arial"/>
                <w:sz w:val="23"/>
                <w:szCs w:val="23"/>
                <w:b w:val="1"/>
                <w:bCs w:val="1"/>
                <w:color w:val="auto"/>
                <w:w w:val="86"/>
                <w:vertAlign w:val="superscript"/>
              </w:rPr>
              <w:t>(1)</w:t>
            </w:r>
          </w:p>
        </w:tc>
      </w:tr>
      <w:tr>
        <w:trPr>
          <w:trHeight w:val="224"/>
        </w:trPr>
        <w:tc>
          <w:tcPr>
            <w:tcW w:w="3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OPKO Health, Inc.</w:t>
            </w:r>
          </w:p>
        </w:tc>
        <w:tc>
          <w:tcPr>
            <w:tcW w:w="10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94,285,714</w:t>
            </w:r>
          </w:p>
        </w:tc>
        <w:tc>
          <w:tcPr>
            <w:tcW w:w="8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11.6%</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59" w:lineRule="exact"/>
        <w:rPr>
          <w:sz w:val="20"/>
          <w:szCs w:val="20"/>
          <w:color w:val="auto"/>
        </w:rPr>
      </w:pPr>
    </w:p>
    <w:p>
      <w:pPr>
        <w:ind w:left="340" w:right="280" w:hanging="332"/>
        <w:spacing w:after="0" w:line="273" w:lineRule="auto"/>
        <w:tabs>
          <w:tab w:leader="none" w:pos="218" w:val="left"/>
        </w:tabs>
        <w:numPr>
          <w:ilvl w:val="0"/>
          <w:numId w:val="3"/>
        </w:numPr>
        <w:rPr>
          <w:rFonts w:ascii="Arial" w:cs="Arial" w:eastAsia="Arial" w:hAnsi="Arial"/>
          <w:sz w:val="9"/>
          <w:szCs w:val="9"/>
          <w:color w:val="auto"/>
        </w:rPr>
      </w:pPr>
      <w:r>
        <w:rPr>
          <w:rFonts w:ascii="Arial" w:cs="Arial" w:eastAsia="Arial" w:hAnsi="Arial"/>
          <w:sz w:val="14"/>
          <w:szCs w:val="14"/>
          <w:color w:val="auto"/>
        </w:rPr>
        <w:t>Based on 810,000,334 shares of GeneDx Common Stock outstanding immediately after the Offering, as set forth in the Issuer’s Prospectus on Form 424 filed with the SEC on January 30, 2023.</w:t>
      </w:r>
    </w:p>
    <w:p>
      <w:pPr>
        <w:spacing w:after="0" w:line="137" w:lineRule="exact"/>
        <w:rPr>
          <w:rFonts w:ascii="Arial" w:cs="Arial" w:eastAsia="Arial" w:hAnsi="Arial"/>
          <w:sz w:val="9"/>
          <w:szCs w:val="9"/>
          <w:color w:val="auto"/>
        </w:rPr>
      </w:pPr>
    </w:p>
    <w:p>
      <w:pPr>
        <w:ind w:left="720" w:hanging="388"/>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Items 7-10, inclusive, set forth on the cover page to this Amendment are hereby incorporated by reference in this Item 5.</w:t>
      </w:r>
    </w:p>
    <w:p>
      <w:pPr>
        <w:spacing w:after="0" w:line="171" w:lineRule="exact"/>
        <w:rPr>
          <w:rFonts w:ascii="Arial" w:cs="Arial" w:eastAsia="Arial" w:hAnsi="Arial"/>
          <w:sz w:val="18"/>
          <w:szCs w:val="18"/>
          <w:color w:val="auto"/>
        </w:rPr>
      </w:pPr>
    </w:p>
    <w:p>
      <w:pPr>
        <w:ind w:left="980" w:hanging="648"/>
        <w:spacing w:after="0" w:line="261" w:lineRule="auto"/>
        <w:tabs>
          <w:tab w:leader="none" w:pos="78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information contained in Item 3 of this Amendment is incorporated by reference in this Item 5. Except as stated herein, OPKO has not effected any transactions in the shares of GeneDx Common Stock within the last 60 days.</w:t>
      </w:r>
    </w:p>
    <w:p>
      <w:pPr>
        <w:spacing w:after="0" w:line="130" w:lineRule="exact"/>
        <w:rPr>
          <w:rFonts w:ascii="Arial" w:cs="Arial" w:eastAsia="Arial" w:hAnsi="Arial"/>
          <w:sz w:val="18"/>
          <w:szCs w:val="18"/>
          <w:color w:val="auto"/>
        </w:rPr>
      </w:pPr>
    </w:p>
    <w:p>
      <w:pPr>
        <w:ind w:left="980" w:hanging="648"/>
        <w:spacing w:after="0" w:line="261" w:lineRule="auto"/>
        <w:tabs>
          <w:tab w:leader="none" w:pos="745" w:val="left"/>
        </w:tabs>
        <w:numPr>
          <w:ilvl w:val="1"/>
          <w:numId w:val="3"/>
        </w:numPr>
        <w:rPr>
          <w:rFonts w:ascii="Arial" w:cs="Arial" w:eastAsia="Arial" w:hAnsi="Arial"/>
          <w:sz w:val="18"/>
          <w:szCs w:val="18"/>
          <w:color w:val="auto"/>
        </w:rPr>
      </w:pPr>
      <w:r>
        <w:rPr>
          <w:rFonts w:ascii="Arial" w:cs="Arial" w:eastAsia="Arial" w:hAnsi="Arial"/>
          <w:sz w:val="18"/>
          <w:szCs w:val="18"/>
          <w:color w:val="auto"/>
        </w:rPr>
        <w:t>Except as described herein, no other person is known by OPKO to have the right to receive or the power to direct the receipt of dividends from, or the proceeds from the sale of, any shares of the Issuer beneficially owned by them.</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60" w:type="dxa"/>
            <w:vAlign w:val="bottom"/>
            <w:gridSpan w:val="2"/>
          </w:tcPr>
          <w:p>
            <w:pPr>
              <w:ind w:left="1980"/>
              <w:spacing w:after="0"/>
              <w:rPr>
                <w:sz w:val="20"/>
                <w:szCs w:val="20"/>
                <w:color w:val="auto"/>
              </w:rPr>
            </w:pPr>
            <w:r>
              <w:rPr>
                <w:rFonts w:ascii="Arial" w:cs="Arial" w:eastAsia="Arial" w:hAnsi="Arial"/>
                <w:sz w:val="18"/>
                <w:szCs w:val="18"/>
                <w:b w:val="1"/>
                <w:bCs w:val="1"/>
                <w:color w:val="auto"/>
              </w:rPr>
              <w:t>OPKO Health, Inc.</w:t>
            </w:r>
          </w:p>
        </w:tc>
        <w:tc>
          <w:tcPr>
            <w:tcW w:w="0" w:type="dxa"/>
            <w:vAlign w:val="bottom"/>
          </w:tcPr>
          <w:p>
            <w:pPr>
              <w:spacing w:after="0"/>
              <w:rPr>
                <w:sz w:val="1"/>
                <w:szCs w:val="1"/>
                <w:color w:val="auto"/>
              </w:rPr>
            </w:pPr>
          </w:p>
        </w:tc>
      </w:tr>
      <w:tr>
        <w:trPr>
          <w:trHeight w:val="527"/>
        </w:trPr>
        <w:tc>
          <w:tcPr>
            <w:tcW w:w="3660" w:type="dxa"/>
            <w:vAlign w:val="bottom"/>
          </w:tcPr>
          <w:p>
            <w:pPr>
              <w:spacing w:after="0"/>
              <w:rPr>
                <w:sz w:val="24"/>
                <w:szCs w:val="24"/>
                <w:color w:val="auto"/>
              </w:rPr>
            </w:pPr>
          </w:p>
        </w:tc>
        <w:tc>
          <w:tcPr>
            <w:tcW w:w="2840" w:type="dxa"/>
            <w:vAlign w:val="bottom"/>
          </w:tcPr>
          <w:p>
            <w:pPr>
              <w:ind w:left="1980"/>
              <w:spacing w:after="0"/>
              <w:rPr>
                <w:sz w:val="20"/>
                <w:szCs w:val="20"/>
                <w:color w:val="auto"/>
              </w:rPr>
            </w:pPr>
            <w:r>
              <w:rPr>
                <w:rFonts w:ascii="Arial" w:cs="Arial" w:eastAsia="Arial" w:hAnsi="Arial"/>
                <w:sz w:val="18"/>
                <w:szCs w:val="18"/>
                <w:color w:val="auto"/>
              </w:rPr>
              <w:t>By:</w:t>
            </w:r>
          </w:p>
        </w:tc>
        <w:tc>
          <w:tcPr>
            <w:tcW w:w="4720" w:type="dxa"/>
            <w:vAlign w:val="bottom"/>
          </w:tcPr>
          <w:p>
            <w:pPr>
              <w:ind w:left="60"/>
              <w:spacing w:after="0"/>
              <w:rPr>
                <w:sz w:val="20"/>
                <w:szCs w:val="20"/>
                <w:color w:val="auto"/>
              </w:rPr>
            </w:pPr>
            <w:r>
              <w:rPr>
                <w:rFonts w:ascii="Arial" w:cs="Arial" w:eastAsia="Arial" w:hAnsi="Arial"/>
                <w:sz w:val="18"/>
                <w:szCs w:val="18"/>
                <w:color w:val="auto"/>
              </w:rPr>
              <w:t>/s/ Steven D. Rubin</w:t>
            </w:r>
          </w:p>
        </w:tc>
        <w:tc>
          <w:tcPr>
            <w:tcW w:w="0" w:type="dxa"/>
            <w:vAlign w:val="bottom"/>
          </w:tcPr>
          <w:p>
            <w:pPr>
              <w:spacing w:after="0"/>
              <w:rPr>
                <w:sz w:val="1"/>
                <w:szCs w:val="1"/>
                <w:color w:val="auto"/>
              </w:rPr>
            </w:pPr>
          </w:p>
        </w:tc>
      </w:tr>
      <w:tr>
        <w:trPr>
          <w:trHeight w:val="40"/>
        </w:trPr>
        <w:tc>
          <w:tcPr>
            <w:tcW w:w="3660" w:type="dxa"/>
            <w:vAlign w:val="bottom"/>
            <w:vMerge w:val="restart"/>
          </w:tcPr>
          <w:p>
            <w:pPr>
              <w:spacing w:after="0"/>
              <w:rPr>
                <w:sz w:val="20"/>
                <w:szCs w:val="20"/>
                <w:color w:val="auto"/>
              </w:rPr>
            </w:pPr>
            <w:r>
              <w:rPr>
                <w:rFonts w:ascii="Arial" w:cs="Arial" w:eastAsia="Arial" w:hAnsi="Arial"/>
                <w:sz w:val="18"/>
                <w:szCs w:val="18"/>
                <w:color w:val="auto"/>
              </w:rPr>
              <w:t>Date: February 3, 2023</w:t>
            </w:r>
          </w:p>
        </w:tc>
        <w:tc>
          <w:tcPr>
            <w:tcW w:w="2840" w:type="dxa"/>
            <w:vAlign w:val="bottom"/>
            <w:vMerge w:val="restart"/>
          </w:tcPr>
          <w:p>
            <w:pPr>
              <w:ind w:left="1980"/>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660" w:type="dxa"/>
            <w:vAlign w:val="bottom"/>
            <w:vMerge w:val="continue"/>
          </w:tcPr>
          <w:p>
            <w:pPr>
              <w:spacing w:after="0"/>
              <w:rPr>
                <w:sz w:val="19"/>
                <w:szCs w:val="19"/>
                <w:color w:val="auto"/>
              </w:rPr>
            </w:pPr>
          </w:p>
        </w:tc>
        <w:tc>
          <w:tcPr>
            <w:tcW w:w="2840" w:type="dxa"/>
            <w:vAlign w:val="bottom"/>
            <w:vMerge w:val="continue"/>
          </w:tcPr>
          <w:p>
            <w:pPr>
              <w:spacing w:after="0"/>
              <w:rPr>
                <w:sz w:val="19"/>
                <w:szCs w:val="19"/>
                <w:color w:val="auto"/>
              </w:rPr>
            </w:pPr>
          </w:p>
        </w:tc>
        <w:tc>
          <w:tcPr>
            <w:tcW w:w="4720" w:type="dxa"/>
            <w:vAlign w:val="bottom"/>
          </w:tcPr>
          <w:p>
            <w:pPr>
              <w:ind w:left="60"/>
              <w:spacing w:after="0"/>
              <w:rPr>
                <w:sz w:val="20"/>
                <w:szCs w:val="20"/>
                <w:color w:val="auto"/>
              </w:rPr>
            </w:pPr>
            <w:r>
              <w:rPr>
                <w:rFonts w:ascii="Arial" w:cs="Arial" w:eastAsia="Arial" w:hAnsi="Arial"/>
                <w:sz w:val="18"/>
                <w:szCs w:val="18"/>
                <w:color w:val="auto"/>
              </w:rPr>
              <w:t>Steven D. Rubin</w:t>
            </w:r>
          </w:p>
        </w:tc>
        <w:tc>
          <w:tcPr>
            <w:tcW w:w="0" w:type="dxa"/>
            <w:vAlign w:val="bottom"/>
          </w:tcPr>
          <w:p>
            <w:pPr>
              <w:spacing w:after="0"/>
              <w:rPr>
                <w:sz w:val="1"/>
                <w:szCs w:val="1"/>
                <w:color w:val="auto"/>
              </w:rPr>
            </w:pPr>
          </w:p>
        </w:tc>
      </w:tr>
      <w:tr>
        <w:trPr>
          <w:trHeight w:val="269"/>
        </w:trPr>
        <w:tc>
          <w:tcPr>
            <w:tcW w:w="3660" w:type="dxa"/>
            <w:vAlign w:val="bottom"/>
          </w:tcPr>
          <w:p>
            <w:pPr>
              <w:spacing w:after="0"/>
              <w:rPr>
                <w:sz w:val="23"/>
                <w:szCs w:val="23"/>
                <w:color w:val="auto"/>
              </w:rPr>
            </w:pPr>
          </w:p>
        </w:tc>
        <w:tc>
          <w:tcPr>
            <w:tcW w:w="2840" w:type="dxa"/>
            <w:vAlign w:val="bottom"/>
          </w:tcPr>
          <w:p>
            <w:pPr>
              <w:ind w:left="1980"/>
              <w:spacing w:after="0"/>
              <w:rPr>
                <w:sz w:val="20"/>
                <w:szCs w:val="20"/>
                <w:color w:val="auto"/>
              </w:rPr>
            </w:pPr>
            <w:r>
              <w:rPr>
                <w:rFonts w:ascii="Arial" w:cs="Arial" w:eastAsia="Arial" w:hAnsi="Arial"/>
                <w:sz w:val="18"/>
                <w:szCs w:val="18"/>
                <w:color w:val="auto"/>
              </w:rPr>
              <w:t>Title:</w:t>
            </w:r>
          </w:p>
        </w:tc>
        <w:tc>
          <w:tcPr>
            <w:tcW w:w="4720" w:type="dxa"/>
            <w:vAlign w:val="bottom"/>
          </w:tcPr>
          <w:p>
            <w:pPr>
              <w:ind w:left="60"/>
              <w:spacing w:after="0"/>
              <w:rPr>
                <w:sz w:val="20"/>
                <w:szCs w:val="20"/>
                <w:color w:val="auto"/>
              </w:rPr>
            </w:pPr>
            <w:r>
              <w:rPr>
                <w:rFonts w:ascii="Arial" w:cs="Arial" w:eastAsia="Arial" w:hAnsi="Arial"/>
                <w:sz w:val="18"/>
                <w:szCs w:val="18"/>
                <w:color w:val="auto"/>
              </w:rPr>
              <w:t>Executive Vice President-Administration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2023-02-03T15:24:01Z</dcterms:created>
  <dcterms:modified xsi:type="dcterms:W3CDTF">2023-02-03T15:24:01Z</dcterms:modified>
</cp:coreProperties>
</file>