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1358900</wp:posOffset>
            </wp:positionH>
            <wp:positionV relativeFrom="page">
              <wp:posOffset>955675</wp:posOffset>
            </wp:positionV>
            <wp:extent cx="5969000" cy="5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00" cy="5080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Washington, D.C. 20549</w:t>
      </w: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56" w:lineRule="exact"/>
        <w:rPr>
          <w:sz w:val="24"/>
          <w:szCs w:val="24"/>
          <w:color w:val="auto"/>
        </w:rPr>
      </w:pPr>
    </w:p>
    <w:p>
      <w:pPr>
        <w:ind w:left="900" w:hanging="847"/>
        <w:spacing w:after="0"/>
        <w:tabs>
          <w:tab w:leader="none" w:pos="9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ANNUAL REPORT PURSUANT TO SECTION 13 OR 15(d) OF THE SECURITIES</w:t>
      </w:r>
    </w:p>
    <w:p>
      <w:pPr>
        <w:spacing w:after="0" w:line="37" w:lineRule="exact"/>
        <w:rPr>
          <w:rFonts w:ascii="Wingdings" w:cs="Wingdings" w:eastAsia="Wingdings" w:hAnsi="Wingdings"/>
          <w:sz w:val="18"/>
          <w:szCs w:val="18"/>
          <w:b w:val="1"/>
          <w:bCs w:val="1"/>
          <w:color w:val="auto"/>
        </w:rPr>
      </w:pPr>
    </w:p>
    <w:p>
      <w:pPr>
        <w:ind w:left="3600"/>
        <w:spacing w:after="0"/>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EXCHANGE ACT OF 1934</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2022</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76" w:lineRule="exact"/>
        <w:rPr>
          <w:sz w:val="24"/>
          <w:szCs w:val="24"/>
          <w:color w:val="auto"/>
        </w:rPr>
      </w:pPr>
    </w:p>
    <w:p>
      <w:pPr>
        <w:ind w:left="680" w:hanging="627"/>
        <w:spacing w:after="0"/>
        <w:tabs>
          <w:tab w:leader="none" w:pos="680" w:val="left"/>
        </w:tabs>
        <w:numPr>
          <w:ilvl w:val="0"/>
          <w:numId w:val="2"/>
        </w:numPr>
        <w:rPr>
          <w:rFonts w:ascii="Wingdings" w:cs="Wingdings" w:eastAsia="Wingdings" w:hAnsi="Wingdings"/>
          <w:sz w:val="20"/>
          <w:szCs w:val="20"/>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w:t>
      </w:r>
    </w:p>
    <w:p>
      <w:pPr>
        <w:spacing w:after="0" w:line="37" w:lineRule="exact"/>
        <w:rPr>
          <w:rFonts w:ascii="Wingdings" w:cs="Wingdings" w:eastAsia="Wingdings" w:hAnsi="Wingdings"/>
          <w:sz w:val="20"/>
          <w:szCs w:val="20"/>
          <w:b w:val="1"/>
          <w:bCs w:val="1"/>
          <w:color w:val="auto"/>
        </w:rPr>
      </w:pPr>
    </w:p>
    <w:p>
      <w:pPr>
        <w:ind w:left="3600"/>
        <w:spacing w:after="0"/>
        <w:rPr>
          <w:rFonts w:ascii="Wingdings" w:cs="Wingdings" w:eastAsia="Wingdings" w:hAnsi="Wingdings"/>
          <w:sz w:val="20"/>
          <w:szCs w:val="20"/>
          <w:b w:val="1"/>
          <w:bCs w:val="1"/>
          <w:color w:val="auto"/>
        </w:rPr>
      </w:pPr>
      <w:r>
        <w:rPr>
          <w:rFonts w:ascii="Times New Roman" w:cs="Times New Roman" w:eastAsia="Times New Roman" w:hAnsi="Times New Roman"/>
          <w:sz w:val="22"/>
          <w:szCs w:val="22"/>
          <w:b w:val="1"/>
          <w:bCs w:val="1"/>
          <w:color w:val="auto"/>
        </w:rPr>
        <w:t>EXCHANGE ACT OF 1934</w:t>
      </w:r>
    </w:p>
    <w:p>
      <w:pPr>
        <w:spacing w:after="0" w:line="96"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__________ to __________</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1928495</wp:posOffset>
            </wp:positionH>
            <wp:positionV relativeFrom="paragraph">
              <wp:posOffset>126365</wp:posOffset>
            </wp:positionV>
            <wp:extent cx="2143125" cy="602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3125" cy="6026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GeneDx Holdings Corp.</w:t>
      </w:r>
    </w:p>
    <w:p>
      <w:pPr>
        <w:spacing w:after="0" w:line="178"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43" w:lineRule="exact"/>
        <w:rPr>
          <w:sz w:val="24"/>
          <w:szCs w:val="24"/>
          <w:color w:val="auto"/>
        </w:rPr>
      </w:pPr>
    </w:p>
    <w:tbl>
      <w:tblPr>
        <w:tblLayout w:type="fixed"/>
        <w:tblInd w:w="480" w:type="dxa"/>
        <w:tblCellMar>
          <w:top w:w="0" w:type="dxa"/>
          <w:left w:w="0" w:type="dxa"/>
          <w:bottom w:w="0" w:type="dxa"/>
          <w:right w:w="0" w:type="dxa"/>
        </w:tblCellMar>
      </w:tblPr>
      <w:tr>
        <w:trPr>
          <w:trHeight w:val="264"/>
        </w:trPr>
        <w:tc>
          <w:tcPr>
            <w:tcW w:w="5340" w:type="dxa"/>
            <w:vAlign w:val="bottom"/>
          </w:tcPr>
          <w:p>
            <w:pPr>
              <w:jc w:val="center"/>
              <w:ind w:right="152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194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85-1966622</w:t>
            </w:r>
          </w:p>
        </w:tc>
      </w:tr>
      <w:tr>
        <w:trPr>
          <w:trHeight w:val="252"/>
        </w:trPr>
        <w:tc>
          <w:tcPr>
            <w:tcW w:w="5340" w:type="dxa"/>
            <w:vAlign w:val="bottom"/>
          </w:tcPr>
          <w:p>
            <w:pPr>
              <w:jc w:val="center"/>
              <w:ind w:right="1520"/>
              <w:spacing w:after="0"/>
              <w:rPr>
                <w:sz w:val="20"/>
                <w:szCs w:val="20"/>
                <w:color w:val="auto"/>
              </w:rPr>
            </w:pPr>
            <w:r>
              <w:rPr>
                <w:rFonts w:ascii="Times New Roman" w:cs="Times New Roman" w:eastAsia="Times New Roman" w:hAnsi="Times New Roman"/>
                <w:sz w:val="20"/>
                <w:szCs w:val="20"/>
                <w:color w:val="auto"/>
                <w:w w:val="99"/>
              </w:rPr>
              <w:t>(State or other jurisdiction of</w:t>
            </w:r>
          </w:p>
        </w:tc>
        <w:tc>
          <w:tcPr>
            <w:tcW w:w="1940" w:type="dxa"/>
            <w:vAlign w:val="bottom"/>
          </w:tcPr>
          <w:p>
            <w:pPr>
              <w:jc w:val="center"/>
              <w:ind w:left="360"/>
              <w:spacing w:after="0"/>
              <w:rPr>
                <w:sz w:val="20"/>
                <w:szCs w:val="20"/>
                <w:color w:val="auto"/>
              </w:rPr>
            </w:pPr>
            <w:r>
              <w:rPr>
                <w:rFonts w:ascii="Times New Roman" w:cs="Times New Roman" w:eastAsia="Times New Roman" w:hAnsi="Times New Roman"/>
                <w:sz w:val="20"/>
                <w:szCs w:val="20"/>
                <w:color w:val="auto"/>
                <w:w w:val="99"/>
              </w:rPr>
              <w:t>(I.R.S. Employer</w:t>
            </w:r>
          </w:p>
        </w:tc>
      </w:tr>
      <w:tr>
        <w:trPr>
          <w:trHeight w:val="260"/>
        </w:trPr>
        <w:tc>
          <w:tcPr>
            <w:tcW w:w="5340" w:type="dxa"/>
            <w:vAlign w:val="bottom"/>
          </w:tcPr>
          <w:p>
            <w:pPr>
              <w:jc w:val="center"/>
              <w:ind w:right="1520"/>
              <w:spacing w:after="0"/>
              <w:rPr>
                <w:sz w:val="20"/>
                <w:szCs w:val="20"/>
                <w:color w:val="auto"/>
              </w:rPr>
            </w:pPr>
            <w:r>
              <w:rPr>
                <w:rFonts w:ascii="Times New Roman" w:cs="Times New Roman" w:eastAsia="Times New Roman" w:hAnsi="Times New Roman"/>
                <w:sz w:val="20"/>
                <w:szCs w:val="20"/>
                <w:color w:val="auto"/>
                <w:w w:val="99"/>
              </w:rPr>
              <w:t>incorporation or organization)</w:t>
            </w:r>
          </w:p>
        </w:tc>
        <w:tc>
          <w:tcPr>
            <w:tcW w:w="1940" w:type="dxa"/>
            <w:vAlign w:val="bottom"/>
          </w:tcPr>
          <w:p>
            <w:pPr>
              <w:jc w:val="center"/>
              <w:ind w:left="360"/>
              <w:spacing w:after="0"/>
              <w:rPr>
                <w:sz w:val="20"/>
                <w:szCs w:val="20"/>
                <w:color w:val="auto"/>
              </w:rPr>
            </w:pPr>
            <w:r>
              <w:rPr>
                <w:rFonts w:ascii="Times New Roman" w:cs="Times New Roman" w:eastAsia="Times New Roman" w:hAnsi="Times New Roman"/>
                <w:sz w:val="20"/>
                <w:szCs w:val="20"/>
                <w:color w:val="auto"/>
                <w:w w:val="99"/>
              </w:rPr>
              <w:t>Identification No.)</w:t>
            </w:r>
          </w:p>
        </w:tc>
      </w:tr>
      <w:tr>
        <w:trPr>
          <w:trHeight w:val="303"/>
        </w:trPr>
        <w:tc>
          <w:tcPr>
            <w:tcW w:w="5340" w:type="dxa"/>
            <w:vAlign w:val="bottom"/>
          </w:tcPr>
          <w:p>
            <w:pPr>
              <w:jc w:val="center"/>
              <w:ind w:right="1520"/>
              <w:spacing w:after="0"/>
              <w:rPr>
                <w:sz w:val="20"/>
                <w:szCs w:val="20"/>
                <w:color w:val="auto"/>
              </w:rPr>
            </w:pPr>
            <w:r>
              <w:rPr>
                <w:rFonts w:ascii="Times New Roman" w:cs="Times New Roman" w:eastAsia="Times New Roman" w:hAnsi="Times New Roman"/>
                <w:sz w:val="20"/>
                <w:szCs w:val="20"/>
                <w:b w:val="1"/>
                <w:bCs w:val="1"/>
                <w:color w:val="auto"/>
              </w:rPr>
              <w:t>333 Ludlow Street, North Tower, 6th Floor</w:t>
            </w:r>
          </w:p>
        </w:tc>
        <w:tc>
          <w:tcPr>
            <w:tcW w:w="1940" w:type="dxa"/>
            <w:vAlign w:val="bottom"/>
          </w:tcPr>
          <w:p>
            <w:pPr>
              <w:spacing w:after="0"/>
              <w:rPr>
                <w:sz w:val="24"/>
                <w:szCs w:val="24"/>
                <w:color w:val="auto"/>
              </w:rPr>
            </w:pPr>
          </w:p>
        </w:tc>
      </w:tr>
      <w:tr>
        <w:trPr>
          <w:trHeight w:val="274"/>
        </w:trPr>
        <w:tc>
          <w:tcPr>
            <w:tcW w:w="5340" w:type="dxa"/>
            <w:vAlign w:val="bottom"/>
          </w:tcPr>
          <w:p>
            <w:pPr>
              <w:jc w:val="center"/>
              <w:ind w:right="1520"/>
              <w:spacing w:after="0"/>
              <w:rPr>
                <w:sz w:val="20"/>
                <w:szCs w:val="20"/>
                <w:color w:val="auto"/>
              </w:rPr>
            </w:pPr>
            <w:r>
              <w:rPr>
                <w:rFonts w:ascii="Times New Roman" w:cs="Times New Roman" w:eastAsia="Times New Roman" w:hAnsi="Times New Roman"/>
                <w:sz w:val="20"/>
                <w:szCs w:val="20"/>
                <w:b w:val="1"/>
                <w:bCs w:val="1"/>
                <w:color w:val="auto"/>
              </w:rPr>
              <w:t>Stamford, Connecticut</w:t>
            </w:r>
          </w:p>
        </w:tc>
        <w:tc>
          <w:tcPr>
            <w:tcW w:w="1940" w:type="dxa"/>
            <w:vAlign w:val="bottom"/>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06902</w:t>
            </w:r>
          </w:p>
        </w:tc>
      </w:tr>
      <w:tr>
        <w:trPr>
          <w:trHeight w:val="264"/>
        </w:trPr>
        <w:tc>
          <w:tcPr>
            <w:tcW w:w="5340" w:type="dxa"/>
            <w:vAlign w:val="bottom"/>
          </w:tcPr>
          <w:p>
            <w:pPr>
              <w:jc w:val="center"/>
              <w:ind w:right="1520"/>
              <w:spacing w:after="0"/>
              <w:rPr>
                <w:sz w:val="20"/>
                <w:szCs w:val="20"/>
                <w:color w:val="auto"/>
              </w:rPr>
            </w:pPr>
            <w:r>
              <w:rPr>
                <w:rFonts w:ascii="Times New Roman" w:cs="Times New Roman" w:eastAsia="Times New Roman" w:hAnsi="Times New Roman"/>
                <w:sz w:val="20"/>
                <w:szCs w:val="20"/>
                <w:color w:val="auto"/>
              </w:rPr>
              <w:t>(Address of Principal Executive Offices)</w:t>
            </w:r>
          </w:p>
        </w:tc>
        <w:tc>
          <w:tcPr>
            <w:tcW w:w="1940" w:type="dxa"/>
            <w:vAlign w:val="bottom"/>
          </w:tcPr>
          <w:p>
            <w:pPr>
              <w:jc w:val="center"/>
              <w:ind w:left="360"/>
              <w:spacing w:after="0"/>
              <w:rPr>
                <w:sz w:val="20"/>
                <w:szCs w:val="20"/>
                <w:color w:val="auto"/>
              </w:rPr>
            </w:pPr>
            <w:r>
              <w:rPr>
                <w:rFonts w:ascii="Times New Roman" w:cs="Times New Roman" w:eastAsia="Times New Roman" w:hAnsi="Times New Roman"/>
                <w:sz w:val="20"/>
                <w:szCs w:val="20"/>
                <w:color w:val="auto"/>
                <w:w w:val="99"/>
              </w:rPr>
              <w:t>(Zip Code)</w:t>
            </w:r>
          </w:p>
        </w:tc>
      </w:tr>
      <w:tr>
        <w:trPr>
          <w:trHeight w:val="449"/>
        </w:trPr>
        <w:tc>
          <w:tcPr>
            <w:tcW w:w="5340" w:type="dxa"/>
            <w:vAlign w:val="bottom"/>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(800) 298-6470</w:t>
            </w:r>
          </w:p>
        </w:tc>
        <w:tc>
          <w:tcPr>
            <w:tcW w:w="1940" w:type="dxa"/>
            <w:vAlign w:val="bottom"/>
          </w:tcPr>
          <w:p>
            <w:pPr>
              <w:spacing w:after="0"/>
              <w:rPr>
                <w:sz w:val="24"/>
                <w:szCs w:val="24"/>
                <w:color w:val="auto"/>
              </w:rPr>
            </w:pPr>
          </w:p>
        </w:tc>
      </w:tr>
    </w:tbl>
    <w:p>
      <w:pPr>
        <w:ind w:left="2680"/>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57785</wp:posOffset>
                </wp:positionV>
                <wp:extent cx="0" cy="1031875"/>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31875"/>
                        </a:xfrm>
                        <a:prstGeom prst="line">
                          <a:avLst/>
                        </a:prstGeom>
                        <a:solidFill>
                          <a:srgbClr val="FFFFFF"/>
                        </a:solidFill>
                        <a:ln w="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55pt" to="0pt,85.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2447925</wp:posOffset>
                </wp:positionH>
                <wp:positionV relativeFrom="paragraph">
                  <wp:posOffset>57785</wp:posOffset>
                </wp:positionV>
                <wp:extent cx="0" cy="1031875"/>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31875"/>
                        </a:xfrm>
                        <a:prstGeom prst="line">
                          <a:avLst/>
                        </a:prstGeom>
                        <a:solidFill>
                          <a:srgbClr val="FFFFFF"/>
                        </a:solidFill>
                        <a:ln w="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2.75pt,4.55pt" to="192.75pt,85.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3457575</wp:posOffset>
                </wp:positionH>
                <wp:positionV relativeFrom="paragraph">
                  <wp:posOffset>57785</wp:posOffset>
                </wp:positionV>
                <wp:extent cx="0" cy="103187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31875"/>
                        </a:xfrm>
                        <a:prstGeom prst="line">
                          <a:avLst/>
                        </a:prstGeom>
                        <a:solidFill>
                          <a:srgbClr val="FFFFFF"/>
                        </a:solidFill>
                        <a:ln w="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25pt,4.55pt" to="272.25pt,85.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5991225</wp:posOffset>
                </wp:positionH>
                <wp:positionV relativeFrom="paragraph">
                  <wp:posOffset>57785</wp:posOffset>
                </wp:positionV>
                <wp:extent cx="0" cy="103187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31875"/>
                        </a:xfrm>
                        <a:prstGeom prst="line">
                          <a:avLst/>
                        </a:prstGeom>
                        <a:solidFill>
                          <a:srgbClr val="FFFFFF"/>
                        </a:solidFill>
                        <a:ln w="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1.75pt,4.55pt" to="471.75pt,85.8pt" o:allowincell="f" strokecolor="#000000" strokeweight="0pt"/>
            </w:pict>
          </mc:Fallback>
        </mc:AlternateContent>
      </w:r>
    </w:p>
    <w:p>
      <w:pPr>
        <w:spacing w:after="0" w:line="52"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3860" w:type="dxa"/>
            <w:vAlign w:val="bottom"/>
            <w:tcBorders>
              <w:top w:val="single" w:sz="8" w:color="auto"/>
              <w:left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Title of each class</w:t>
            </w:r>
          </w:p>
        </w:tc>
        <w:tc>
          <w:tcPr>
            <w:tcW w:w="1600" w:type="dxa"/>
            <w:vAlign w:val="bottom"/>
            <w:tcBorders>
              <w:top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Trading</w:t>
            </w:r>
          </w:p>
        </w:tc>
        <w:tc>
          <w:tcPr>
            <w:tcW w:w="3980" w:type="dxa"/>
            <w:vAlign w:val="bottom"/>
            <w:tcBorders>
              <w:top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9"/>
              </w:rPr>
              <w:t>Name of each exchange on which registered</w:t>
            </w:r>
          </w:p>
        </w:tc>
      </w:tr>
      <w:tr>
        <w:trPr>
          <w:trHeight w:val="264"/>
        </w:trPr>
        <w:tc>
          <w:tcPr>
            <w:tcW w:w="3860" w:type="dxa"/>
            <w:vAlign w:val="bottom"/>
            <w:tcBorders>
              <w:left w:val="single" w:sz="8" w:color="auto"/>
              <w:bottom w:val="single" w:sz="8" w:color="auto"/>
              <w:right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Symbol(s)</w:t>
            </w:r>
          </w:p>
        </w:tc>
        <w:tc>
          <w:tcPr>
            <w:tcW w:w="3980" w:type="dxa"/>
            <w:vAlign w:val="bottom"/>
            <w:tcBorders>
              <w:bottom w:val="single" w:sz="8" w:color="auto"/>
              <w:right w:val="single" w:sz="8" w:color="auto"/>
            </w:tcBorders>
          </w:tcPr>
          <w:p>
            <w:pPr>
              <w:spacing w:after="0"/>
              <w:rPr>
                <w:sz w:val="22"/>
                <w:szCs w:val="22"/>
                <w:color w:val="auto"/>
              </w:rPr>
            </w:pPr>
          </w:p>
        </w:tc>
      </w:tr>
      <w:tr>
        <w:trPr>
          <w:trHeight w:val="178"/>
        </w:trPr>
        <w:tc>
          <w:tcPr>
            <w:tcW w:w="3860" w:type="dxa"/>
            <w:vAlign w:val="bottom"/>
            <w:tcBorders>
              <w:left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rPr>
              <w:t>Class A common stock, par value $0.0001</w:t>
            </w:r>
          </w:p>
        </w:tc>
        <w:tc>
          <w:tcPr>
            <w:tcW w:w="160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8"/>
              </w:rPr>
              <w:t>WGS</w:t>
            </w:r>
          </w:p>
        </w:tc>
        <w:tc>
          <w:tcPr>
            <w:tcW w:w="398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9"/>
              </w:rPr>
              <w:t>The Nasdaq Global Select Market</w:t>
            </w:r>
          </w:p>
        </w:tc>
      </w:tr>
      <w:tr>
        <w:trPr>
          <w:trHeight w:val="267"/>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per share</w:t>
            </w:r>
          </w:p>
        </w:tc>
        <w:tc>
          <w:tcPr>
            <w:tcW w:w="1600" w:type="dxa"/>
            <w:vAlign w:val="bottom"/>
            <w:tcBorders>
              <w:bottom w:val="single" w:sz="8" w:color="auto"/>
              <w:right w:val="single" w:sz="8" w:color="auto"/>
            </w:tcBorders>
          </w:tcPr>
          <w:p>
            <w:pPr>
              <w:spacing w:after="0"/>
              <w:rPr>
                <w:sz w:val="23"/>
                <w:szCs w:val="23"/>
                <w:color w:val="auto"/>
              </w:rPr>
            </w:pPr>
          </w:p>
        </w:tc>
        <w:tc>
          <w:tcPr>
            <w:tcW w:w="3980" w:type="dxa"/>
            <w:vAlign w:val="bottom"/>
            <w:tcBorders>
              <w:bottom w:val="single" w:sz="8" w:color="auto"/>
              <w:right w:val="single" w:sz="8" w:color="auto"/>
            </w:tcBorders>
          </w:tcPr>
          <w:p>
            <w:pPr>
              <w:spacing w:after="0"/>
              <w:rPr>
                <w:sz w:val="23"/>
                <w:szCs w:val="23"/>
                <w:color w:val="auto"/>
              </w:rPr>
            </w:pPr>
          </w:p>
        </w:tc>
      </w:tr>
      <w:tr>
        <w:trPr>
          <w:trHeight w:val="178"/>
        </w:trPr>
        <w:tc>
          <w:tcPr>
            <w:tcW w:w="3860" w:type="dxa"/>
            <w:vAlign w:val="bottom"/>
            <w:tcBorders>
              <w:left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9"/>
              </w:rPr>
              <w:t>Warrants to purchase one share of Class A</w:t>
            </w:r>
          </w:p>
        </w:tc>
        <w:tc>
          <w:tcPr>
            <w:tcW w:w="160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9"/>
              </w:rPr>
              <w:t>WGSWW</w:t>
            </w:r>
          </w:p>
        </w:tc>
        <w:tc>
          <w:tcPr>
            <w:tcW w:w="398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9"/>
              </w:rPr>
              <w:t>The Nasdaq Global Select Market</w:t>
            </w:r>
          </w:p>
        </w:tc>
      </w:tr>
      <w:tr>
        <w:trPr>
          <w:trHeight w:val="200"/>
        </w:trPr>
        <w:tc>
          <w:tcPr>
            <w:tcW w:w="3860" w:type="dxa"/>
            <w:vAlign w:val="bottom"/>
            <w:tcBorders>
              <w:left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common stock, each at an exercise price of</w:t>
            </w:r>
          </w:p>
        </w:tc>
        <w:tc>
          <w:tcPr>
            <w:tcW w:w="1600" w:type="dxa"/>
            <w:vAlign w:val="bottom"/>
            <w:tcBorders>
              <w:right w:val="single" w:sz="8" w:color="auto"/>
            </w:tcBorders>
          </w:tcPr>
          <w:p>
            <w:pPr>
              <w:spacing w:after="0"/>
              <w:rPr>
                <w:sz w:val="17"/>
                <w:szCs w:val="17"/>
                <w:color w:val="auto"/>
              </w:rPr>
            </w:pPr>
          </w:p>
        </w:tc>
        <w:tc>
          <w:tcPr>
            <w:tcW w:w="3980" w:type="dxa"/>
            <w:vAlign w:val="bottom"/>
            <w:tcBorders>
              <w:right w:val="single" w:sz="8" w:color="auto"/>
            </w:tcBorders>
          </w:tcPr>
          <w:p>
            <w:pPr>
              <w:spacing w:after="0"/>
              <w:rPr>
                <w:sz w:val="17"/>
                <w:szCs w:val="17"/>
                <w:color w:val="auto"/>
              </w:rPr>
            </w:pPr>
          </w:p>
        </w:tc>
      </w:tr>
      <w:tr>
        <w:trPr>
          <w:trHeight w:val="277"/>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$11.50 per share</w:t>
            </w:r>
          </w:p>
        </w:tc>
        <w:tc>
          <w:tcPr>
            <w:tcW w:w="1600" w:type="dxa"/>
            <w:vAlign w:val="bottom"/>
            <w:tcBorders>
              <w:bottom w:val="single" w:sz="8" w:color="auto"/>
              <w:right w:val="single" w:sz="8" w:color="auto"/>
            </w:tcBorders>
          </w:tcPr>
          <w:p>
            <w:pPr>
              <w:spacing w:after="0"/>
              <w:rPr>
                <w:sz w:val="24"/>
                <w:szCs w:val="24"/>
                <w:color w:val="auto"/>
              </w:rPr>
            </w:pPr>
          </w:p>
        </w:tc>
        <w:tc>
          <w:tcPr>
            <w:tcW w:w="398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-742315</wp:posOffset>
            </wp:positionV>
            <wp:extent cx="6016625" cy="749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6016625" cy="749300"/>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xml:space="preserve">Securities registered pursuant to section 12(g) of the Act: </w:t>
      </w:r>
      <w:r>
        <w:rPr>
          <w:rFonts w:ascii="Times New Roman" w:cs="Times New Roman" w:eastAsia="Times New Roman" w:hAnsi="Times New Roman"/>
          <w:sz w:val="20"/>
          <w:szCs w:val="20"/>
          <w:b w:val="1"/>
          <w:bCs w:val="1"/>
          <w:color w:val="auto"/>
        </w:rPr>
        <w:t>None</w:t>
      </w:r>
    </w:p>
    <w:p>
      <w:pPr>
        <w:sectPr>
          <w:pgSz w:w="12240" w:h="15840" w:orient="portrait"/>
          <w:cols w:equalWidth="0" w:num="1">
            <w:col w:w="9440"/>
          </w:cols>
          <w:pgMar w:left="1440" w:top="1440" w:right="1360" w:bottom="1041" w:gutter="0" w:footer="0" w:header="0"/>
        </w:sectPr>
      </w:pPr>
    </w:p>
    <w:bookmarkStart w:id="1" w:name="page2"/>
    <w:bookmarkEnd w:id="1"/>
    <w:p>
      <w:pPr>
        <w:ind w:right="80"/>
        <w:spacing w:after="0" w:line="298"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2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o</w:t>
      </w:r>
    </w:p>
    <w:p>
      <w:pPr>
        <w:spacing w:after="0" w:line="12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Yes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o</w:t>
      </w:r>
    </w:p>
    <w:p>
      <w:pPr>
        <w:spacing w:after="0" w:line="1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Large accelerated filer</w:t>
            </w:r>
          </w:p>
        </w:tc>
        <w:tc>
          <w:tcPr>
            <w:tcW w:w="1540" w:type="dxa"/>
            <w:vAlign w:val="bottom"/>
          </w:tcPr>
          <w:p>
            <w:pPr>
              <w:ind w:left="1200"/>
              <w:spacing w:after="0"/>
              <w:rPr>
                <w:sz w:val="20"/>
                <w:szCs w:val="20"/>
                <w:color w:val="auto"/>
              </w:rPr>
            </w:pPr>
            <w:r>
              <w:rPr>
                <w:rFonts w:ascii="Wingdings" w:cs="Wingdings" w:eastAsia="Wingdings" w:hAnsi="Wingdings"/>
                <w:sz w:val="20"/>
                <w:szCs w:val="20"/>
                <w:b w:val="1"/>
                <w:bCs w:val="1"/>
                <w:color w:val="auto"/>
              </w:rPr>
              <w:t>o</w:t>
            </w:r>
          </w:p>
        </w:tc>
        <w:tc>
          <w:tcPr>
            <w:tcW w:w="3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Accelerated filer</w:t>
            </w:r>
          </w:p>
        </w:tc>
        <w:tc>
          <w:tcPr>
            <w:tcW w:w="1200" w:type="dxa"/>
            <w:vAlign w:val="bottom"/>
          </w:tcPr>
          <w:p>
            <w:pPr>
              <w:ind w:left="1000"/>
              <w:spacing w:after="0"/>
              <w:rPr>
                <w:sz w:val="20"/>
                <w:szCs w:val="20"/>
                <w:color w:val="auto"/>
              </w:rPr>
            </w:pPr>
            <w:r>
              <w:rPr>
                <w:rFonts w:ascii="Wingdings" w:cs="Wingdings" w:eastAsia="Wingdings" w:hAnsi="Wingdings"/>
                <w:sz w:val="20"/>
                <w:szCs w:val="20"/>
                <w:b w:val="1"/>
                <w:bCs w:val="1"/>
                <w:color w:val="auto"/>
                <w:w w:val="84"/>
              </w:rPr>
              <w:t>x</w:t>
            </w:r>
          </w:p>
        </w:tc>
      </w:tr>
      <w:tr>
        <w:trPr>
          <w:trHeight w:val="270"/>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Non-accelerated filer</w:t>
            </w:r>
          </w:p>
        </w:tc>
        <w:tc>
          <w:tcPr>
            <w:tcW w:w="1540" w:type="dxa"/>
            <w:vAlign w:val="bottom"/>
          </w:tcPr>
          <w:p>
            <w:pPr>
              <w:ind w:left="1200"/>
              <w:spacing w:after="0"/>
              <w:rPr>
                <w:sz w:val="20"/>
                <w:szCs w:val="20"/>
                <w:color w:val="auto"/>
              </w:rPr>
            </w:pPr>
            <w:r>
              <w:rPr>
                <w:rFonts w:ascii="Wingdings" w:cs="Wingdings" w:eastAsia="Wingdings" w:hAnsi="Wingdings"/>
                <w:sz w:val="18"/>
                <w:szCs w:val="18"/>
                <w:b w:val="1"/>
                <w:bCs w:val="1"/>
                <w:color w:val="auto"/>
              </w:rPr>
              <w:t>o</w:t>
            </w:r>
          </w:p>
        </w:tc>
        <w:tc>
          <w:tcPr>
            <w:tcW w:w="3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Smaller reporting company</w:t>
            </w:r>
          </w:p>
        </w:tc>
        <w:tc>
          <w:tcPr>
            <w:tcW w:w="1200" w:type="dxa"/>
            <w:vAlign w:val="bottom"/>
          </w:tcPr>
          <w:p>
            <w:pPr>
              <w:ind w:left="1000"/>
              <w:spacing w:after="0"/>
              <w:rPr>
                <w:sz w:val="20"/>
                <w:szCs w:val="20"/>
                <w:color w:val="auto"/>
              </w:rPr>
            </w:pPr>
            <w:r>
              <w:rPr>
                <w:rFonts w:ascii="Wingdings" w:cs="Wingdings" w:eastAsia="Wingdings" w:hAnsi="Wingdings"/>
                <w:sz w:val="18"/>
                <w:szCs w:val="18"/>
                <w:b w:val="1"/>
                <w:bCs w:val="1"/>
                <w:color w:val="auto"/>
                <w:w w:val="94"/>
              </w:rPr>
              <w:t>x</w:t>
            </w:r>
          </w:p>
        </w:tc>
      </w:tr>
      <w:tr>
        <w:trPr>
          <w:trHeight w:val="270"/>
        </w:trPr>
        <w:tc>
          <w:tcPr>
            <w:tcW w:w="29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Emerging growth company</w:t>
            </w:r>
          </w:p>
        </w:tc>
        <w:tc>
          <w:tcPr>
            <w:tcW w:w="1200" w:type="dxa"/>
            <w:vAlign w:val="bottom"/>
          </w:tcPr>
          <w:p>
            <w:pPr>
              <w:ind w:left="100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7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20"/>
          <w:szCs w:val="20"/>
          <w:b w:val="1"/>
          <w:bCs w:val="1"/>
          <w:color w:val="auto"/>
        </w:rPr>
        <w:t>o</w:t>
      </w:r>
    </w:p>
    <w:p>
      <w:pPr>
        <w:spacing w:after="0" w:line="5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 7252(b)) by the registered public accounting firm that prepared or issued its audit report. </w:t>
      </w:r>
      <w:r>
        <w:rPr>
          <w:rFonts w:ascii="Wingdings" w:cs="Wingdings" w:eastAsia="Wingdings" w:hAnsi="Wingdings"/>
          <w:sz w:val="20"/>
          <w:szCs w:val="20"/>
          <w:b w:val="1"/>
          <w:bCs w:val="1"/>
          <w:color w:val="auto"/>
        </w:rPr>
        <w:t>o</w:t>
      </w:r>
    </w:p>
    <w:p>
      <w:pPr>
        <w:spacing w:after="0" w:line="52" w:lineRule="exact"/>
        <w:rPr>
          <w:sz w:val="20"/>
          <w:szCs w:val="20"/>
          <w:color w:val="auto"/>
        </w:rPr>
      </w:pPr>
    </w:p>
    <w:p>
      <w:pPr>
        <w:jc w:val="both"/>
        <w:ind w:right="20"/>
        <w:spacing w:after="0" w:line="252" w:lineRule="exact"/>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20"/>
          <w:szCs w:val="20"/>
          <w:b w:val="1"/>
          <w:bCs w:val="1"/>
          <w:color w:val="auto"/>
        </w:rPr>
        <w:t>☐</w:t>
      </w:r>
    </w:p>
    <w:p>
      <w:pPr>
        <w:spacing w:after="0" w:line="145" w:lineRule="exact"/>
        <w:rPr>
          <w:sz w:val="20"/>
          <w:szCs w:val="20"/>
          <w:color w:val="auto"/>
        </w:rPr>
      </w:pPr>
    </w:p>
    <w:p>
      <w:pPr>
        <w:jc w:val="both"/>
        <w:spacing w:after="0" w:line="252" w:lineRule="exact"/>
        <w:rPr>
          <w:sz w:val="20"/>
          <w:szCs w:val="20"/>
          <w:color w:val="auto"/>
        </w:rPr>
      </w:pPr>
      <w:r>
        <w:rPr>
          <w:rFonts w:ascii="Times New Roman" w:cs="Times New Roman" w:eastAsia="Times New Roman" w:hAnsi="Times New Roman"/>
          <w:sz w:val="20"/>
          <w:szCs w:val="20"/>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20"/>
          <w:szCs w:val="20"/>
          <w:b w:val="1"/>
          <w:bCs w:val="1"/>
          <w:color w:val="auto"/>
        </w:rPr>
        <w:t>ﬃ</w:t>
      </w:r>
      <w:r>
        <w:rPr>
          <w:rFonts w:ascii="Times New Roman" w:cs="Times New Roman" w:eastAsia="Times New Roman" w:hAnsi="Times New Roman"/>
          <w:sz w:val="20"/>
          <w:szCs w:val="20"/>
          <w:color w:val="auto"/>
        </w:rPr>
        <w:t xml:space="preserve">cers during the relevant recovery period pursuant to §240.10D-1(b). </w:t>
      </w:r>
      <w:r>
        <w:rPr>
          <w:rFonts w:ascii="Arial Unicode MS" w:cs="Arial Unicode MS" w:eastAsia="Arial Unicode MS" w:hAnsi="Arial Unicode MS"/>
          <w:sz w:val="20"/>
          <w:szCs w:val="20"/>
          <w:b w:val="1"/>
          <w:bCs w:val="1"/>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Indicate by check mark whether the registrant is a shell company (as defined in Rule 12b-2 of the Act). 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7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aggregate market value of voting common stock held by non-affiliates of the registrant (assuming for purposes of this calculation, without conceding, that all executive officers and directors are “affiliates”) was approximately $218 million as of June 30, 2022, based on the closing sale price of such stock as reported on the Nasdaq Global Select Market.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registrant had outstanding 798,247,286 shares of Class A common stock as of March 14, 2023.</w:t>
      </w:r>
    </w:p>
    <w:p>
      <w:pPr>
        <w:spacing w:after="0" w:line="19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DOCUMENTS INCORPORATED BY REFERENCE</w:t>
      </w:r>
    </w:p>
    <w:p>
      <w:pPr>
        <w:spacing w:after="0" w:line="19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Part III incorporates information by reference from the registrant’s definitive proxy statement to be filed with the Securities and Exchange Commission pursuant to Regulation 14A, not later than 120 days after the end of the fiscal year covered by this Annual Report on Form 10-K, in connection with the registrant’s 2023 Annual Meeting of Stockholders (the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171450</wp:posOffset>
            </wp:positionV>
            <wp:extent cx="5969000"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5969000" cy="50800"/>
                    </a:xfrm>
                    <a:prstGeom prst="rect">
                      <a:avLst/>
                    </a:prstGeom>
                    <a:noFill/>
                  </pic:spPr>
                </pic:pic>
              </a:graphicData>
            </a:graphic>
          </wp:anchor>
        </w:drawing>
      </w:r>
    </w:p>
    <w:p>
      <w:pPr>
        <w:sectPr>
          <w:pgSz w:w="12240" w:h="15840" w:orient="portrait"/>
          <w:cols w:equalWidth="0" w:num="1">
            <w:col w:w="9460"/>
          </w:cols>
          <w:pgMar w:left="1440" w:top="1378" w:right="1340"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64"/>
        </w:trPr>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60" w:type="dxa"/>
            <w:vAlign w:val="bottom"/>
          </w:tcPr>
          <w:p>
            <w:pPr>
              <w:ind w:left="24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7"/>
        </w:trPr>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w w:val="92"/>
              </w:rPr>
              <w:t>Page</w:t>
            </w:r>
          </w:p>
        </w:tc>
        <w:tc>
          <w:tcPr>
            <w:tcW w:w="0" w:type="dxa"/>
            <w:vAlign w:val="bottom"/>
          </w:tcPr>
          <w:p>
            <w:pPr>
              <w:spacing w:after="0"/>
              <w:rPr>
                <w:sz w:val="1"/>
                <w:szCs w:val="1"/>
                <w:color w:val="auto"/>
              </w:rPr>
            </w:pPr>
          </w:p>
        </w:tc>
      </w:tr>
      <w:tr>
        <w:trPr>
          <w:trHeight w:val="285"/>
        </w:trPr>
        <w:tc>
          <w:tcPr>
            <w:tcW w:w="8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Explanatory Note</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w:t>
            </w:r>
          </w:p>
        </w:tc>
        <w:tc>
          <w:tcPr>
            <w:tcW w:w="0" w:type="dxa"/>
            <w:vAlign w:val="bottom"/>
          </w:tcPr>
          <w:p>
            <w:pPr>
              <w:spacing w:after="0"/>
              <w:rPr>
                <w:sz w:val="1"/>
                <w:szCs w:val="1"/>
                <w:color w:val="auto"/>
              </w:rPr>
            </w:pPr>
          </w:p>
        </w:tc>
      </w:tr>
      <w:tr>
        <w:trPr>
          <w:trHeight w:val="285"/>
        </w:trPr>
        <w:tc>
          <w:tcPr>
            <w:tcW w:w="8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Cautionary Note Regarding Forward Looking Statements</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w:t>
            </w:r>
          </w:p>
        </w:tc>
        <w:tc>
          <w:tcPr>
            <w:tcW w:w="0" w:type="dxa"/>
            <w:vAlign w:val="bottom"/>
          </w:tcPr>
          <w:p>
            <w:pPr>
              <w:spacing w:after="0"/>
              <w:rPr>
                <w:sz w:val="1"/>
                <w:szCs w:val="1"/>
                <w:color w:val="auto"/>
              </w:rPr>
            </w:pPr>
          </w:p>
        </w:tc>
      </w:tr>
      <w:tr>
        <w:trPr>
          <w:trHeight w:val="570"/>
        </w:trPr>
        <w:tc>
          <w:tcPr>
            <w:tcW w:w="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2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Item</w:t>
            </w: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w:t>
            </w:r>
          </w:p>
        </w:tc>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Business</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w:t>
            </w:r>
          </w:p>
        </w:tc>
        <w:tc>
          <w:tcPr>
            <w:tcW w:w="0" w:type="dxa"/>
            <w:vAlign w:val="bottom"/>
          </w:tcPr>
          <w:p>
            <w:pPr>
              <w:spacing w:after="0"/>
              <w:rPr>
                <w:sz w:val="1"/>
                <w:szCs w:val="1"/>
                <w:color w:val="auto"/>
              </w:rPr>
            </w:pPr>
          </w:p>
        </w:tc>
      </w:tr>
      <w:tr>
        <w:trPr>
          <w:trHeight w:val="285"/>
        </w:trPr>
        <w:tc>
          <w:tcPr>
            <w:tcW w:w="8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Item</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1A. Risk Factors</w:t>
            </w:r>
          </w:p>
        </w:tc>
        <w:tc>
          <w:tcPr>
            <w:tcW w:w="52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9"/>
              </w:rPr>
              <w:t>24</w:t>
            </w:r>
          </w:p>
        </w:tc>
        <w:tc>
          <w:tcPr>
            <w:tcW w:w="0" w:type="dxa"/>
            <w:vAlign w:val="bottom"/>
          </w:tcPr>
          <w:p>
            <w:pPr>
              <w:spacing w:after="0"/>
              <w:rPr>
                <w:sz w:val="1"/>
                <w:szCs w:val="1"/>
                <w:color w:val="auto"/>
              </w:rPr>
            </w:pPr>
          </w:p>
        </w:tc>
      </w:tr>
      <w:tr>
        <w:trPr>
          <w:trHeight w:val="285"/>
        </w:trPr>
        <w:tc>
          <w:tcPr>
            <w:tcW w:w="8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Item</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1B. Unresolved Staff Comments</w:t>
            </w:r>
          </w:p>
        </w:tc>
        <w:tc>
          <w:tcPr>
            <w:tcW w:w="52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9"/>
              </w:rPr>
              <w:t>70</w:t>
            </w:r>
          </w:p>
        </w:tc>
        <w:tc>
          <w:tcPr>
            <w:tcW w:w="0" w:type="dxa"/>
            <w:vAlign w:val="bottom"/>
          </w:tcPr>
          <w:p>
            <w:pPr>
              <w:spacing w:after="0"/>
              <w:rPr>
                <w:sz w:val="1"/>
                <w:szCs w:val="1"/>
                <w:color w:val="auto"/>
              </w:rPr>
            </w:pPr>
          </w:p>
        </w:tc>
      </w:tr>
      <w:tr>
        <w:trPr>
          <w:trHeight w:val="285"/>
        </w:trPr>
        <w:tc>
          <w:tcPr>
            <w:tcW w:w="8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Item</w:t>
            </w: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w:t>
            </w:r>
          </w:p>
        </w:tc>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Properties</w:t>
            </w:r>
          </w:p>
        </w:tc>
        <w:tc>
          <w:tcPr>
            <w:tcW w:w="52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9"/>
              </w:rPr>
              <w:t>70</w:t>
            </w:r>
          </w:p>
        </w:tc>
        <w:tc>
          <w:tcPr>
            <w:tcW w:w="0" w:type="dxa"/>
            <w:vAlign w:val="bottom"/>
          </w:tcPr>
          <w:p>
            <w:pPr>
              <w:spacing w:after="0"/>
              <w:rPr>
                <w:sz w:val="1"/>
                <w:szCs w:val="1"/>
                <w:color w:val="auto"/>
              </w:rPr>
            </w:pPr>
          </w:p>
        </w:tc>
      </w:tr>
      <w:tr>
        <w:trPr>
          <w:trHeight w:val="285"/>
        </w:trPr>
        <w:tc>
          <w:tcPr>
            <w:tcW w:w="8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Item</w:t>
            </w: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w:t>
            </w:r>
          </w:p>
        </w:tc>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Legal Proceedings</w:t>
            </w:r>
          </w:p>
        </w:tc>
        <w:tc>
          <w:tcPr>
            <w:tcW w:w="52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9"/>
              </w:rPr>
              <w:t>70</w:t>
            </w:r>
          </w:p>
        </w:tc>
        <w:tc>
          <w:tcPr>
            <w:tcW w:w="0" w:type="dxa"/>
            <w:vAlign w:val="bottom"/>
          </w:tcPr>
          <w:p>
            <w:pPr>
              <w:spacing w:after="0"/>
              <w:rPr>
                <w:sz w:val="1"/>
                <w:szCs w:val="1"/>
                <w:color w:val="auto"/>
              </w:rPr>
            </w:pPr>
          </w:p>
        </w:tc>
      </w:tr>
      <w:tr>
        <w:trPr>
          <w:trHeight w:val="285"/>
        </w:trPr>
        <w:tc>
          <w:tcPr>
            <w:tcW w:w="8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Item</w:t>
            </w: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4.</w:t>
            </w:r>
          </w:p>
        </w:tc>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Mine Safety Disclosures</w:t>
            </w:r>
          </w:p>
        </w:tc>
        <w:tc>
          <w:tcPr>
            <w:tcW w:w="52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9"/>
              </w:rPr>
              <w:t>71</w:t>
            </w:r>
          </w:p>
        </w:tc>
        <w:tc>
          <w:tcPr>
            <w:tcW w:w="0" w:type="dxa"/>
            <w:vAlign w:val="bottom"/>
          </w:tcPr>
          <w:p>
            <w:pPr>
              <w:spacing w:after="0"/>
              <w:rPr>
                <w:sz w:val="1"/>
                <w:szCs w:val="1"/>
                <w:color w:val="auto"/>
              </w:rPr>
            </w:pPr>
          </w:p>
        </w:tc>
      </w:tr>
      <w:tr>
        <w:trPr>
          <w:trHeight w:val="570"/>
        </w:trPr>
        <w:tc>
          <w:tcPr>
            <w:tcW w:w="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2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0" w:type="dxa"/>
            <w:vAlign w:val="bottom"/>
          </w:tcPr>
          <w:p>
            <w:pPr>
              <w:ind w:left="440"/>
              <w:spacing w:after="0" w:line="228" w:lineRule="exact"/>
              <w:rPr>
                <w:sz w:val="20"/>
                <w:szCs w:val="20"/>
                <w:color w:val="auto"/>
              </w:rPr>
            </w:pPr>
            <w:r>
              <w:rPr>
                <w:rFonts w:ascii="Times New Roman" w:cs="Times New Roman" w:eastAsia="Times New Roman" w:hAnsi="Times New Roman"/>
                <w:sz w:val="20"/>
                <w:szCs w:val="20"/>
                <w:color w:val="auto"/>
              </w:rPr>
              <w:t>Item</w:t>
            </w:r>
          </w:p>
        </w:tc>
        <w:tc>
          <w:tcPr>
            <w:tcW w:w="220" w:type="dxa"/>
            <w:vAlign w:val="bottom"/>
          </w:tcPr>
          <w:p>
            <w:pPr>
              <w:ind w:left="20"/>
              <w:spacing w:after="0" w:line="228" w:lineRule="exact"/>
              <w:rPr>
                <w:sz w:val="20"/>
                <w:szCs w:val="20"/>
                <w:color w:val="auto"/>
              </w:rPr>
            </w:pPr>
            <w:r>
              <w:rPr>
                <w:rFonts w:ascii="Times New Roman" w:cs="Times New Roman" w:eastAsia="Times New Roman" w:hAnsi="Times New Roman"/>
                <w:sz w:val="20"/>
                <w:szCs w:val="20"/>
                <w:color w:val="auto"/>
              </w:rPr>
              <w:t>5.</w:t>
            </w:r>
          </w:p>
        </w:tc>
        <w:tc>
          <w:tcPr>
            <w:tcW w:w="76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72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rPr>
              <w:t>Equity Securities</w:t>
            </w:r>
          </w:p>
        </w:tc>
        <w:tc>
          <w:tcPr>
            <w:tcW w:w="52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9"/>
              </w:rPr>
              <w:t>72</w:t>
            </w:r>
          </w:p>
        </w:tc>
        <w:tc>
          <w:tcPr>
            <w:tcW w:w="0" w:type="dxa"/>
            <w:vAlign w:val="bottom"/>
          </w:tcPr>
          <w:p>
            <w:pPr>
              <w:spacing w:after="0"/>
              <w:rPr>
                <w:sz w:val="1"/>
                <w:szCs w:val="1"/>
                <w:color w:val="auto"/>
              </w:rPr>
            </w:pPr>
          </w:p>
        </w:tc>
      </w:tr>
      <w:tr>
        <w:trPr>
          <w:trHeight w:val="285"/>
        </w:trPr>
        <w:tc>
          <w:tcPr>
            <w:tcW w:w="8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Item</w:t>
            </w: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6.</w:t>
            </w:r>
          </w:p>
        </w:tc>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Reserved</w:t>
            </w:r>
          </w:p>
        </w:tc>
        <w:tc>
          <w:tcPr>
            <w:tcW w:w="52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9"/>
              </w:rPr>
              <w:t>72</w:t>
            </w:r>
          </w:p>
        </w:tc>
        <w:tc>
          <w:tcPr>
            <w:tcW w:w="0" w:type="dxa"/>
            <w:vAlign w:val="bottom"/>
          </w:tcPr>
          <w:p>
            <w:pPr>
              <w:spacing w:after="0"/>
              <w:rPr>
                <w:sz w:val="1"/>
                <w:szCs w:val="1"/>
                <w:color w:val="auto"/>
              </w:rPr>
            </w:pPr>
          </w:p>
        </w:tc>
      </w:tr>
      <w:tr>
        <w:trPr>
          <w:trHeight w:val="285"/>
        </w:trPr>
        <w:tc>
          <w:tcPr>
            <w:tcW w:w="8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Item</w:t>
            </w: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7.</w:t>
            </w:r>
          </w:p>
        </w:tc>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52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9"/>
              </w:rPr>
              <w:t>72</w:t>
            </w:r>
          </w:p>
        </w:tc>
        <w:tc>
          <w:tcPr>
            <w:tcW w:w="0" w:type="dxa"/>
            <w:vAlign w:val="bottom"/>
          </w:tcPr>
          <w:p>
            <w:pPr>
              <w:spacing w:after="0"/>
              <w:rPr>
                <w:sz w:val="1"/>
                <w:szCs w:val="1"/>
                <w:color w:val="auto"/>
              </w:rPr>
            </w:pPr>
          </w:p>
        </w:tc>
      </w:tr>
      <w:tr>
        <w:trPr>
          <w:trHeight w:val="285"/>
        </w:trPr>
        <w:tc>
          <w:tcPr>
            <w:tcW w:w="8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Item</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7A. Quantitative and Qualitative Disclosures About Market Risk</w:t>
            </w:r>
          </w:p>
        </w:tc>
        <w:tc>
          <w:tcPr>
            <w:tcW w:w="52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9"/>
              </w:rPr>
              <w:t>96</w:t>
            </w:r>
          </w:p>
        </w:tc>
        <w:tc>
          <w:tcPr>
            <w:tcW w:w="0" w:type="dxa"/>
            <w:vAlign w:val="bottom"/>
          </w:tcPr>
          <w:p>
            <w:pPr>
              <w:spacing w:after="0"/>
              <w:rPr>
                <w:sz w:val="1"/>
                <w:szCs w:val="1"/>
                <w:color w:val="auto"/>
              </w:rPr>
            </w:pPr>
          </w:p>
        </w:tc>
      </w:tr>
      <w:tr>
        <w:trPr>
          <w:trHeight w:val="285"/>
        </w:trPr>
        <w:tc>
          <w:tcPr>
            <w:tcW w:w="8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Item</w:t>
            </w: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8.</w:t>
            </w:r>
          </w:p>
        </w:tc>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52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9"/>
              </w:rPr>
              <w:t>97</w:t>
            </w:r>
          </w:p>
        </w:tc>
        <w:tc>
          <w:tcPr>
            <w:tcW w:w="0" w:type="dxa"/>
            <w:vAlign w:val="bottom"/>
          </w:tcPr>
          <w:p>
            <w:pPr>
              <w:spacing w:after="0"/>
              <w:rPr>
                <w:sz w:val="1"/>
                <w:szCs w:val="1"/>
                <w:color w:val="auto"/>
              </w:rPr>
            </w:pPr>
          </w:p>
        </w:tc>
      </w:tr>
      <w:tr>
        <w:trPr>
          <w:trHeight w:val="285"/>
        </w:trPr>
        <w:tc>
          <w:tcPr>
            <w:tcW w:w="872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110</w:t>
            </w:r>
          </w:p>
        </w:tc>
        <w:tc>
          <w:tcPr>
            <w:tcW w:w="0" w:type="dxa"/>
            <w:vAlign w:val="bottom"/>
          </w:tcPr>
          <w:p>
            <w:pPr>
              <w:spacing w:after="0"/>
              <w:rPr>
                <w:sz w:val="1"/>
                <w:szCs w:val="1"/>
                <w:color w:val="auto"/>
              </w:rPr>
            </w:pPr>
          </w:p>
        </w:tc>
      </w:tr>
      <w:tr>
        <w:trPr>
          <w:trHeight w:val="285"/>
        </w:trPr>
        <w:tc>
          <w:tcPr>
            <w:tcW w:w="872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Loss</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111</w:t>
            </w:r>
          </w:p>
        </w:tc>
        <w:tc>
          <w:tcPr>
            <w:tcW w:w="0" w:type="dxa"/>
            <w:vAlign w:val="bottom"/>
          </w:tcPr>
          <w:p>
            <w:pPr>
              <w:spacing w:after="0"/>
              <w:rPr>
                <w:sz w:val="1"/>
                <w:szCs w:val="1"/>
                <w:color w:val="auto"/>
              </w:rPr>
            </w:pPr>
          </w:p>
        </w:tc>
      </w:tr>
      <w:tr>
        <w:trPr>
          <w:trHeight w:val="285"/>
        </w:trPr>
        <w:tc>
          <w:tcPr>
            <w:tcW w:w="872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Consolidated Statement of Stockholders' Equity (Deficit)</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112</w:t>
            </w:r>
          </w:p>
        </w:tc>
        <w:tc>
          <w:tcPr>
            <w:tcW w:w="0" w:type="dxa"/>
            <w:vAlign w:val="bottom"/>
          </w:tcPr>
          <w:p>
            <w:pPr>
              <w:spacing w:after="0"/>
              <w:rPr>
                <w:sz w:val="1"/>
                <w:szCs w:val="1"/>
                <w:color w:val="auto"/>
              </w:rPr>
            </w:pPr>
          </w:p>
        </w:tc>
      </w:tr>
      <w:tr>
        <w:trPr>
          <w:trHeight w:val="285"/>
        </w:trPr>
        <w:tc>
          <w:tcPr>
            <w:tcW w:w="872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114</w:t>
            </w:r>
          </w:p>
        </w:tc>
        <w:tc>
          <w:tcPr>
            <w:tcW w:w="0" w:type="dxa"/>
            <w:vAlign w:val="bottom"/>
          </w:tcPr>
          <w:p>
            <w:pPr>
              <w:spacing w:after="0"/>
              <w:rPr>
                <w:sz w:val="1"/>
                <w:szCs w:val="1"/>
                <w:color w:val="auto"/>
              </w:rPr>
            </w:pPr>
          </w:p>
        </w:tc>
      </w:tr>
      <w:tr>
        <w:trPr>
          <w:trHeight w:val="285"/>
        </w:trPr>
        <w:tc>
          <w:tcPr>
            <w:tcW w:w="872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116</w:t>
            </w:r>
          </w:p>
        </w:tc>
        <w:tc>
          <w:tcPr>
            <w:tcW w:w="0" w:type="dxa"/>
            <w:vAlign w:val="bottom"/>
          </w:tcPr>
          <w:p>
            <w:pPr>
              <w:spacing w:after="0"/>
              <w:rPr>
                <w:sz w:val="1"/>
                <w:szCs w:val="1"/>
                <w:color w:val="auto"/>
              </w:rPr>
            </w:pPr>
          </w:p>
        </w:tc>
      </w:tr>
      <w:tr>
        <w:trPr>
          <w:trHeight w:val="285"/>
        </w:trPr>
        <w:tc>
          <w:tcPr>
            <w:tcW w:w="8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Item</w:t>
            </w: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9.</w:t>
            </w:r>
          </w:p>
        </w:tc>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Disclosures</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154</w:t>
            </w:r>
          </w:p>
        </w:tc>
        <w:tc>
          <w:tcPr>
            <w:tcW w:w="0" w:type="dxa"/>
            <w:vAlign w:val="bottom"/>
          </w:tcPr>
          <w:p>
            <w:pPr>
              <w:spacing w:after="0"/>
              <w:rPr>
                <w:sz w:val="1"/>
                <w:szCs w:val="1"/>
                <w:color w:val="auto"/>
              </w:rPr>
            </w:pPr>
          </w:p>
        </w:tc>
      </w:tr>
      <w:tr>
        <w:trPr>
          <w:trHeight w:val="285"/>
        </w:trPr>
        <w:tc>
          <w:tcPr>
            <w:tcW w:w="8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Item</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9A. Controls and Procedures</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154</w:t>
            </w:r>
          </w:p>
        </w:tc>
        <w:tc>
          <w:tcPr>
            <w:tcW w:w="0" w:type="dxa"/>
            <w:vAlign w:val="bottom"/>
          </w:tcPr>
          <w:p>
            <w:pPr>
              <w:spacing w:after="0"/>
              <w:rPr>
                <w:sz w:val="1"/>
                <w:szCs w:val="1"/>
                <w:color w:val="auto"/>
              </w:rPr>
            </w:pPr>
          </w:p>
        </w:tc>
      </w:tr>
      <w:tr>
        <w:trPr>
          <w:trHeight w:val="285"/>
        </w:trPr>
        <w:tc>
          <w:tcPr>
            <w:tcW w:w="8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Item</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9B. Other Information</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156</w:t>
            </w:r>
          </w:p>
        </w:tc>
        <w:tc>
          <w:tcPr>
            <w:tcW w:w="0" w:type="dxa"/>
            <w:vAlign w:val="bottom"/>
          </w:tcPr>
          <w:p>
            <w:pPr>
              <w:spacing w:after="0"/>
              <w:rPr>
                <w:sz w:val="1"/>
                <w:szCs w:val="1"/>
                <w:color w:val="auto"/>
              </w:rPr>
            </w:pPr>
          </w:p>
        </w:tc>
      </w:tr>
      <w:tr>
        <w:trPr>
          <w:trHeight w:val="285"/>
        </w:trPr>
        <w:tc>
          <w:tcPr>
            <w:tcW w:w="8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Item</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9C. Disclosure Regarding Foreign Jurisdictions that Prevent Inspections</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156</w:t>
            </w:r>
          </w:p>
        </w:tc>
        <w:tc>
          <w:tcPr>
            <w:tcW w:w="0" w:type="dxa"/>
            <w:vAlign w:val="bottom"/>
          </w:tcPr>
          <w:p>
            <w:pPr>
              <w:spacing w:after="0"/>
              <w:rPr>
                <w:sz w:val="1"/>
                <w:szCs w:val="1"/>
                <w:color w:val="auto"/>
              </w:rPr>
            </w:pPr>
          </w:p>
        </w:tc>
      </w:tr>
      <w:tr>
        <w:trPr>
          <w:trHeight w:val="570"/>
        </w:trPr>
        <w:tc>
          <w:tcPr>
            <w:tcW w:w="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8"/>
              </w:rPr>
              <w:t>PART III</w:t>
            </w:r>
          </w:p>
        </w:tc>
        <w:tc>
          <w:tcPr>
            <w:tcW w:w="2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Item</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 Directors, Executive Officers and Corporate Governance</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158</w:t>
            </w:r>
          </w:p>
        </w:tc>
        <w:tc>
          <w:tcPr>
            <w:tcW w:w="0" w:type="dxa"/>
            <w:vAlign w:val="bottom"/>
          </w:tcPr>
          <w:p>
            <w:pPr>
              <w:spacing w:after="0"/>
              <w:rPr>
                <w:sz w:val="1"/>
                <w:szCs w:val="1"/>
                <w:color w:val="auto"/>
              </w:rPr>
            </w:pPr>
          </w:p>
        </w:tc>
      </w:tr>
      <w:tr>
        <w:trPr>
          <w:trHeight w:val="285"/>
        </w:trPr>
        <w:tc>
          <w:tcPr>
            <w:tcW w:w="8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Item</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11. Executive Compensation</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158</w:t>
            </w:r>
          </w:p>
        </w:tc>
        <w:tc>
          <w:tcPr>
            <w:tcW w:w="0" w:type="dxa"/>
            <w:vAlign w:val="bottom"/>
          </w:tcPr>
          <w:p>
            <w:pPr>
              <w:spacing w:after="0"/>
              <w:rPr>
                <w:sz w:val="1"/>
                <w:szCs w:val="1"/>
                <w:color w:val="auto"/>
              </w:rPr>
            </w:pPr>
          </w:p>
        </w:tc>
      </w:tr>
      <w:tr>
        <w:trPr>
          <w:trHeight w:val="228"/>
        </w:trPr>
        <w:tc>
          <w:tcPr>
            <w:tcW w:w="840" w:type="dxa"/>
            <w:vAlign w:val="bottom"/>
          </w:tcPr>
          <w:p>
            <w:pPr>
              <w:ind w:left="440"/>
              <w:spacing w:after="0" w:line="228" w:lineRule="exact"/>
              <w:rPr>
                <w:sz w:val="20"/>
                <w:szCs w:val="20"/>
                <w:color w:val="auto"/>
              </w:rPr>
            </w:pPr>
            <w:r>
              <w:rPr>
                <w:rFonts w:ascii="Times New Roman" w:cs="Times New Roman" w:eastAsia="Times New Roman" w:hAnsi="Times New Roman"/>
                <w:sz w:val="20"/>
                <w:szCs w:val="20"/>
                <w:color w:val="auto"/>
              </w:rPr>
              <w:t>Item</w:t>
            </w:r>
          </w:p>
        </w:tc>
        <w:tc>
          <w:tcPr>
            <w:tcW w:w="788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12. Security Ownership of Certain Beneficial Owners and Management and Related Stockholder</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06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w w:val="98"/>
              </w:rPr>
              <w:t>Matters</w:t>
            </w:r>
          </w:p>
        </w:tc>
        <w:tc>
          <w:tcPr>
            <w:tcW w:w="76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158</w:t>
            </w:r>
          </w:p>
        </w:tc>
        <w:tc>
          <w:tcPr>
            <w:tcW w:w="0" w:type="dxa"/>
            <w:vAlign w:val="bottom"/>
          </w:tcPr>
          <w:p>
            <w:pPr>
              <w:spacing w:after="0"/>
              <w:rPr>
                <w:sz w:val="1"/>
                <w:szCs w:val="1"/>
                <w:color w:val="auto"/>
              </w:rPr>
            </w:pPr>
          </w:p>
        </w:tc>
      </w:tr>
      <w:tr>
        <w:trPr>
          <w:trHeight w:val="264"/>
        </w:trPr>
        <w:tc>
          <w:tcPr>
            <w:tcW w:w="8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Item</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13. Certain Relationships and Related Transactions, and Director Independence</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158</w:t>
            </w:r>
          </w:p>
        </w:tc>
        <w:tc>
          <w:tcPr>
            <w:tcW w:w="0" w:type="dxa"/>
            <w:vAlign w:val="bottom"/>
          </w:tcPr>
          <w:p>
            <w:pPr>
              <w:spacing w:after="0"/>
              <w:rPr>
                <w:sz w:val="1"/>
                <w:szCs w:val="1"/>
                <w:color w:val="auto"/>
              </w:rPr>
            </w:pPr>
          </w:p>
        </w:tc>
      </w:tr>
      <w:tr>
        <w:trPr>
          <w:trHeight w:val="81"/>
        </w:trPr>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8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Item</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14. Principal Accounting Fees and Services</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158</w:t>
            </w:r>
          </w:p>
        </w:tc>
        <w:tc>
          <w:tcPr>
            <w:tcW w:w="0" w:type="dxa"/>
            <w:vAlign w:val="bottom"/>
          </w:tcPr>
          <w:p>
            <w:pPr>
              <w:spacing w:after="0"/>
              <w:rPr>
                <w:sz w:val="1"/>
                <w:szCs w:val="1"/>
                <w:color w:val="auto"/>
              </w:rPr>
            </w:pPr>
          </w:p>
        </w:tc>
      </w:tr>
      <w:tr>
        <w:trPr>
          <w:trHeight w:val="570"/>
        </w:trPr>
        <w:tc>
          <w:tcPr>
            <w:tcW w:w="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2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Item</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15. Exhibits, Financial Statement Schedules</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158</w:t>
            </w:r>
          </w:p>
        </w:tc>
        <w:tc>
          <w:tcPr>
            <w:tcW w:w="0" w:type="dxa"/>
            <w:vAlign w:val="bottom"/>
          </w:tcPr>
          <w:p>
            <w:pPr>
              <w:spacing w:after="0"/>
              <w:rPr>
                <w:sz w:val="1"/>
                <w:szCs w:val="1"/>
                <w:color w:val="auto"/>
              </w:rPr>
            </w:pPr>
          </w:p>
        </w:tc>
      </w:tr>
      <w:tr>
        <w:trPr>
          <w:trHeight w:val="285"/>
        </w:trPr>
        <w:tc>
          <w:tcPr>
            <w:tcW w:w="8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Item</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16. Form 10-K Summary</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161</w:t>
            </w:r>
          </w:p>
        </w:tc>
        <w:tc>
          <w:tcPr>
            <w:tcW w:w="0" w:type="dxa"/>
            <w:vAlign w:val="bottom"/>
          </w:tcPr>
          <w:p>
            <w:pPr>
              <w:spacing w:after="0"/>
              <w:rPr>
                <w:sz w:val="1"/>
                <w:szCs w:val="1"/>
                <w:color w:val="auto"/>
              </w:rPr>
            </w:pPr>
          </w:p>
        </w:tc>
      </w:tr>
      <w:tr>
        <w:trPr>
          <w:trHeight w:val="285"/>
        </w:trPr>
        <w:tc>
          <w:tcPr>
            <w:tcW w:w="872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rPr>
              <w:t>Signatures</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162</w:t>
            </w:r>
          </w:p>
        </w:tc>
        <w:tc>
          <w:tcPr>
            <w:tcW w:w="0" w:type="dxa"/>
            <w:vAlign w:val="bottom"/>
          </w:tcPr>
          <w:p>
            <w:pPr>
              <w:spacing w:after="0"/>
              <w:rPr>
                <w:sz w:val="1"/>
                <w:szCs w:val="1"/>
                <w:color w:val="auto"/>
              </w:rPr>
            </w:pPr>
          </w:p>
        </w:tc>
      </w:tr>
    </w:tbl>
    <w:p>
      <w:pPr>
        <w:sectPr>
          <w:pgSz w:w="12240" w:h="15840" w:orient="portrait"/>
          <w:cols w:equalWidth="0" w:num="1">
            <w:col w:w="9360"/>
          </w:cols>
          <w:pgMar w:left="1440" w:top="1371"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Unless otherwise stated in this Annual Report or the context otherwise requires, references to:</w:t>
      </w:r>
    </w:p>
    <w:p>
      <w:pPr>
        <w:spacing w:after="0" w:line="256" w:lineRule="exact"/>
        <w:rPr>
          <w:sz w:val="20"/>
          <w:szCs w:val="20"/>
          <w:color w:val="auto"/>
        </w:rPr>
      </w:pPr>
    </w:p>
    <w:p>
      <w:pPr>
        <w:ind w:left="720" w:hanging="360"/>
        <w:spacing w:after="0" w:line="280" w:lineRule="auto"/>
        <w:tabs>
          <w:tab w:leader="none" w:pos="72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GeneDx Holdings” refer to GeneDx Holdings Corp., a Delaware corporation (f/k/a Sema4 Holdings Corp.</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(“Sema4 Holdings”));</w:t>
      </w:r>
    </w:p>
    <w:p>
      <w:pPr>
        <w:spacing w:after="0" w:line="211" w:lineRule="exact"/>
        <w:rPr>
          <w:rFonts w:ascii="Arial" w:cs="Arial" w:eastAsia="Arial" w:hAnsi="Arial"/>
          <w:sz w:val="20"/>
          <w:szCs w:val="20"/>
          <w:b w:val="1"/>
          <w:bCs w:val="1"/>
          <w:color w:val="auto"/>
        </w:rPr>
      </w:pPr>
    </w:p>
    <w:p>
      <w:pPr>
        <w:ind w:left="720" w:hanging="360"/>
        <w:spacing w:after="0" w:line="284" w:lineRule="auto"/>
        <w:tabs>
          <w:tab w:leader="none" w:pos="720" w:val="left"/>
        </w:tabs>
        <w:numPr>
          <w:ilvl w:val="0"/>
          <w:numId w:val="3"/>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“Legacy GeneDx” refer to GeneDx, LLC, a Delaware limited liability company (formerly, GeneDx, Inc., a New Jersey corporation), which we acquired on April 29, 2022 (the “Acquisition”);</w:t>
      </w:r>
    </w:p>
    <w:p>
      <w:pPr>
        <w:spacing w:after="0" w:line="181" w:lineRule="exact"/>
        <w:rPr>
          <w:rFonts w:ascii="Arial" w:cs="Arial" w:eastAsia="Arial" w:hAnsi="Arial"/>
          <w:sz w:val="24"/>
          <w:szCs w:val="24"/>
          <w:b w:val="1"/>
          <w:bCs w:val="1"/>
          <w:color w:val="auto"/>
        </w:rPr>
      </w:pPr>
    </w:p>
    <w:p>
      <w:pPr>
        <w:jc w:val="both"/>
        <w:ind w:left="720" w:hanging="360"/>
        <w:spacing w:after="0" w:line="266"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“Legacy Sema4” refer to Mount Sinai Genomics, Inc. d/b/a as Sema4, a Delaware corporation, which consummated the business combination with CM Life Sciences, Inc. (“CMLS”) on July 22, 2021 (the “Business Combination”); and</w:t>
      </w:r>
    </w:p>
    <w:p>
      <w:pPr>
        <w:spacing w:after="0" w:line="23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“us” and “our,” the “Company” and “GeneDx” refer, as the context requires, to:</w:t>
      </w:r>
    </w:p>
    <w:p>
      <w:pPr>
        <w:spacing w:after="0" w:line="250" w:lineRule="exact"/>
        <w:rPr>
          <w:rFonts w:ascii="Times New Roman" w:cs="Times New Roman" w:eastAsia="Times New Roman" w:hAnsi="Times New Roman"/>
          <w:sz w:val="20"/>
          <w:szCs w:val="20"/>
          <w:color w:val="auto"/>
        </w:rPr>
      </w:pPr>
    </w:p>
    <w:p>
      <w:pPr>
        <w:ind w:left="1440" w:hanging="360"/>
        <w:spacing w:after="0" w:line="281" w:lineRule="auto"/>
        <w:tabs>
          <w:tab w:leader="none" w:pos="14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Legacy Sema4 prior to the Business Combination, and GeneDx Holdings and its consolidated subsidiaries following the consummation of the Business Combination; and</w:t>
      </w:r>
    </w:p>
    <w:p>
      <w:pPr>
        <w:spacing w:after="0" w:line="181" w:lineRule="exact"/>
        <w:rPr>
          <w:rFonts w:ascii="Times New Roman" w:cs="Times New Roman" w:eastAsia="Times New Roman" w:hAnsi="Times New Roman"/>
          <w:sz w:val="20"/>
          <w:szCs w:val="20"/>
          <w:color w:val="auto"/>
        </w:rPr>
      </w:pPr>
    </w:p>
    <w:p>
      <w:pPr>
        <w:ind w:left="1440" w:hanging="360"/>
        <w:spacing w:after="0" w:line="281" w:lineRule="auto"/>
        <w:tabs>
          <w:tab w:leader="none" w:pos="14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Legacy GeneDx prior to the Acquisition, and GeneDx Holdings and its consolidated subsidiaries following the consummation of the Acquisition.</w:t>
      </w:r>
    </w:p>
    <w:p>
      <w:pPr>
        <w:spacing w:after="0" w:line="181" w:lineRule="exact"/>
        <w:rPr>
          <w:sz w:val="20"/>
          <w:szCs w:val="20"/>
          <w:color w:val="auto"/>
        </w:rPr>
      </w:pPr>
    </w:p>
    <w:p>
      <w:pPr>
        <w:ind w:right="20" w:firstLine="360"/>
        <w:spacing w:after="0" w:line="239" w:lineRule="auto"/>
        <w:rPr>
          <w:sz w:val="20"/>
          <w:szCs w:val="20"/>
          <w:color w:val="auto"/>
        </w:rPr>
      </w:pPr>
      <w:r>
        <w:rPr>
          <w:rFonts w:ascii="Times New Roman" w:cs="Times New Roman" w:eastAsia="Times New Roman" w:hAnsi="Times New Roman"/>
          <w:sz w:val="20"/>
          <w:szCs w:val="20"/>
          <w:color w:val="auto"/>
        </w:rPr>
        <w:t>In addition, as described in more detail herein, we are pursuing a new strategic direction focused on our whole exome and genome sequencing business coupled with our Centrellis® data platform. We completed the exit of our reproductive and women’s health testing business, during the first quarter of 2023, and we also completed the exit of our somatic tumor testing services during the fourth quarter of 2022. For more information, see Item 7. “Management’s Discussion and Analysis of Financial Condition and Results of Operations. Unless the context otherwise requires, the description of our business and operations in this Annual Report assumes the completion of the exits from somatic tumor testing services and the reproductive and women’s health testing business.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17"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9"/>
          <w:szCs w:val="19"/>
          <w:color w:val="auto"/>
        </w:rPr>
        <w:t>Certain matters discussed in this Annual Report, including matters discussed under the caption “Management’s Discussion and Analysis of Financial Condition and Results of Operations,”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Annual Report, as well as other factors which may be identified from time to time in our other filings with the Securities and Exchange Commission,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7" w:lineRule="exact"/>
        <w:rPr>
          <w:sz w:val="20"/>
          <w:szCs w:val="20"/>
          <w:color w:val="auto"/>
        </w:rPr>
      </w:pPr>
    </w:p>
    <w:p>
      <w:pPr>
        <w:ind w:left="1440" w:right="120" w:hanging="720"/>
        <w:spacing w:after="0" w:line="241"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of the sufficiency of our existing capital resources combined with future anticipated cash flows and future capital requirements to finance our operating requirements, and capital expenditures;</w:t>
      </w:r>
    </w:p>
    <w:p>
      <w:pPr>
        <w:spacing w:after="0" w:line="1" w:lineRule="exact"/>
        <w:rPr>
          <w:rFonts w:ascii="Times New Roman" w:cs="Times New Roman" w:eastAsia="Times New Roman" w:hAnsi="Times New Roman"/>
          <w:sz w:val="20"/>
          <w:szCs w:val="20"/>
          <w:color w:val="auto"/>
        </w:rPr>
      </w:pPr>
    </w:p>
    <w:p>
      <w:pPr>
        <w:ind w:left="1440" w:right="160" w:hanging="720"/>
        <w:spacing w:after="0" w:line="233"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for generating revenue, incurring losses, and becoming profitable on a sustained basis;</w:t>
      </w:r>
    </w:p>
    <w:p>
      <w:pPr>
        <w:spacing w:after="0" w:line="1" w:lineRule="exact"/>
        <w:rPr>
          <w:rFonts w:ascii="Times New Roman" w:cs="Times New Roman" w:eastAsia="Times New Roman" w:hAnsi="Times New Roman"/>
          <w:sz w:val="20"/>
          <w:szCs w:val="20"/>
          <w:color w:val="auto"/>
        </w:rPr>
      </w:pPr>
    </w:p>
    <w:p>
      <w:pPr>
        <w:ind w:left="1440" w:right="380" w:hanging="720"/>
        <w:spacing w:after="0" w:line="267" w:lineRule="auto"/>
        <w:tabs>
          <w:tab w:leader="none" w:pos="14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unforeseen circumstances or other disruptions to normal business operations, including supply chain interruptions and manufacturing constraints, arising from or related to public health</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1371" w:right="1440" w:bottom="0" w:gutter="0" w:footer="0" w:header="0"/>
          <w:type w:val="continuous"/>
        </w:sectPr>
      </w:pPr>
    </w:p>
    <w:bookmarkStart w:id="4" w:name="page5"/>
    <w:bookmarkEnd w:id="4"/>
    <w:p>
      <w:pPr>
        <w:ind w:left="1440" w:right="760"/>
        <w:spacing w:after="0" w:line="245" w:lineRule="auto"/>
        <w:rPr>
          <w:sz w:val="20"/>
          <w:szCs w:val="20"/>
          <w:color w:val="auto"/>
        </w:rPr>
      </w:pPr>
      <w:r>
        <w:rPr>
          <w:rFonts w:ascii="Times New Roman" w:cs="Times New Roman" w:eastAsia="Times New Roman" w:hAnsi="Times New Roman"/>
          <w:sz w:val="20"/>
          <w:szCs w:val="20"/>
          <w:color w:val="auto"/>
        </w:rPr>
        <w:t>emergencies such as but not limited to the COVID-19 pandemic, natural disasters, acts of terrorism or other uncontrollable events;</w:t>
      </w:r>
    </w:p>
    <w:p>
      <w:pPr>
        <w:ind w:left="1440" w:right="80" w:hanging="720"/>
        <w:spacing w:after="0" w:line="238"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our ability to scale to profitability, our plans to pursue a new strategic direction, and the cost savings and impact on our gross margins from exiting our reproductive and women’s business and our somatic tumor testing business;</w:t>
      </w:r>
    </w:p>
    <w:p>
      <w:pPr>
        <w:spacing w:after="0" w:line="2"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implement our business strategy;</w:t>
      </w:r>
    </w:p>
    <w:p>
      <w:pPr>
        <w:spacing w:after="0" w:line="14"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or ability to enter into service, collaboration and other partnership agreements;</w:t>
      </w:r>
    </w:p>
    <w:p>
      <w:pPr>
        <w:spacing w:after="0" w:line="30" w:lineRule="exact"/>
        <w:rPr>
          <w:rFonts w:ascii="Times New Roman" w:cs="Times New Roman" w:eastAsia="Times New Roman" w:hAnsi="Times New Roman"/>
          <w:sz w:val="20"/>
          <w:szCs w:val="20"/>
          <w:color w:val="auto"/>
        </w:rPr>
      </w:pPr>
    </w:p>
    <w:p>
      <w:pPr>
        <w:ind w:left="1440" w:hanging="720"/>
        <w:spacing w:after="0" w:line="260"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or ability to build our own commercial infrastructure to scale market and sell our products;</w:t>
      </w:r>
    </w:p>
    <w:p>
      <w:pPr>
        <w:spacing w:after="0" w:line="1" w:lineRule="exact"/>
        <w:rPr>
          <w:rFonts w:ascii="Times New Roman" w:cs="Times New Roman" w:eastAsia="Times New Roman" w:hAnsi="Times New Roman"/>
          <w:sz w:val="20"/>
          <w:szCs w:val="20"/>
          <w:color w:val="auto"/>
        </w:rPr>
      </w:pPr>
    </w:p>
    <w:p>
      <w:pPr>
        <w:ind w:left="1440" w:hanging="720"/>
        <w:spacing w:after="0" w:line="260"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or authorizations by the U.S. Food and Drug Administration, (the “FDA”), or other regulatory authorities;</w:t>
      </w:r>
    </w:p>
    <w:p>
      <w:pPr>
        <w:spacing w:after="0" w:line="1" w:lineRule="exact"/>
        <w:rPr>
          <w:rFonts w:ascii="Times New Roman" w:cs="Times New Roman" w:eastAsia="Times New Roman" w:hAnsi="Times New Roman"/>
          <w:sz w:val="20"/>
          <w:szCs w:val="20"/>
          <w:color w:val="auto"/>
        </w:rPr>
      </w:pPr>
    </w:p>
    <w:p>
      <w:pPr>
        <w:ind w:left="1440" w:hanging="720"/>
        <w:spacing w:after="0" w:line="260"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governmental regulation and other legal obligations, including privacy, data protection, information security, consumer protection, and anti-corruption and anti-bribery;</w:t>
      </w:r>
    </w:p>
    <w:p>
      <w:pPr>
        <w:spacing w:after="0" w:line="1"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and maintain intellectual property protection for our product candidates;</w:t>
      </w:r>
    </w:p>
    <w:p>
      <w:pPr>
        <w:spacing w:after="0" w:line="3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against existing and emerging technologies;</w:t>
      </w:r>
    </w:p>
    <w:p>
      <w:pPr>
        <w:spacing w:after="0" w:line="3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third-party payor reimbursement and coverage decisions, negotiations and settlements;</w:t>
      </w:r>
    </w:p>
    <w:p>
      <w:pPr>
        <w:spacing w:after="0" w:line="1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reliance on third-party service providers for our data programs;</w:t>
      </w:r>
    </w:p>
    <w:p>
      <w:pPr>
        <w:spacing w:after="0" w:line="14" w:lineRule="exact"/>
        <w:rPr>
          <w:rFonts w:ascii="Times New Roman" w:cs="Times New Roman" w:eastAsia="Times New Roman" w:hAnsi="Times New Roman"/>
          <w:sz w:val="20"/>
          <w:szCs w:val="20"/>
          <w:color w:val="auto"/>
        </w:rPr>
      </w:pPr>
    </w:p>
    <w:p>
      <w:pPr>
        <w:jc w:val="both"/>
        <w:ind w:left="1440" w:hanging="720"/>
        <w:spacing w:after="0" w:line="250"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accounting estimates and judgments, including our expectations regarding the adequacy of our reserves for third party payor claims, our estimates of the fair value of the milestone payments related to the Acquisition and our conclusions regarding the appropriateness of the carrying value of intangible assets and goodwill;</w:t>
      </w:r>
    </w:p>
    <w:p>
      <w:pPr>
        <w:spacing w:after="0" w:line="1"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satisfy Nasdaq listing rules;</w:t>
      </w:r>
    </w:p>
    <w:p>
      <w:pPr>
        <w:spacing w:after="0" w:line="3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stock price and its volatility; and</w:t>
      </w:r>
    </w:p>
    <w:p>
      <w:pPr>
        <w:spacing w:after="0" w:line="3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key personnel.</w:t>
      </w:r>
    </w:p>
    <w:p>
      <w:pPr>
        <w:spacing w:after="0" w:line="21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The forward-looking statements contained in this Annual Report reflect our views and assumptions only as of the date that this report is signed. Except as required by law, we assume no responsibility for updating any forward-looking statements.</w:t>
      </w:r>
    </w:p>
    <w:p>
      <w:pPr>
        <w:spacing w:after="0" w:line="15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1378" w:right="1440" w:bottom="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9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are pursuing a new strategic direction focused on our exome and genome sequencing business coupled with our Centrellis® data platform. We completed the exit of our reproductive and women’s health testing business, during the first quarter of 2023, and we also completed the exit of the somatic tumor testing business during the fourth quarter of 2022. For more information, see “Management’s Discussion and Analysis of Financial Condition and Results of Operations.” Unless the context otherwise requires, the description of our business and operations below assumes the completion of the exits from the somatic tumor testing and the reproductive and women’s health testing businesses.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197"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We operate with conviction that what is best for patients must be embedded in every aspect of our work. At GeneDx, we believe:</w:t>
      </w:r>
    </w:p>
    <w:p>
      <w:pPr>
        <w:spacing w:after="0" w:line="121" w:lineRule="exact"/>
        <w:rPr>
          <w:sz w:val="20"/>
          <w:szCs w:val="20"/>
          <w:color w:val="auto"/>
        </w:rPr>
      </w:pPr>
    </w:p>
    <w:p>
      <w:pPr>
        <w:ind w:left="720" w:hanging="360"/>
        <w:spacing w:after="0" w:line="28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genomic information has broad utility, and every person should have access to their genome—delivered expertly, ethically and responsibly—to guide health decisions throughout life;</w:t>
      </w:r>
    </w:p>
    <w:p>
      <w:pPr>
        <w:spacing w:after="0" w:line="121"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exome and Whole Genome Sequencing (“WGS”) will facilitate a transition from hypothesis-based to genome-guided healthcare which will improve outcomes for patients and healthcare systems that benefit society as a whole;</w:t>
      </w:r>
    </w:p>
    <w:p>
      <w:pPr>
        <w:spacing w:after="0" w:line="135"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curate and combine genomic information with clinical and electronic medical record (“EMR”) data will transform therapeutic development, bringing better therapies to patients, faster; and</w:t>
      </w:r>
    </w:p>
    <w:p>
      <w:pPr>
        <w:spacing w:after="0" w:line="12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patients should control and have the ability to direct the use of their genomic information to both benefit themselves and advance scientific understanding that helps others.</w:t>
      </w:r>
    </w:p>
    <w:p>
      <w:pPr>
        <w:spacing w:after="0" w:line="12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In support of these beliefs, we value equitability, simplicity and transparency. Through this value system, we aim to deliver personalized and actionable health insights to inform diagnosis, direct treatment and improve drug discovery, bringing better health from genomics to patients around the world.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9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GeneDx is focused on delivering personalized and actionable health insights to inform diagnosis, direct treatment and improve drug discovery. We sit at the intersection of diagnostics and data science, pairing decades of genomic expertise with an ability to interpret clinical data at scale. We believe we are well-positioned to accelerate the use of genomics and leverage large-scale clinical data to enable precision medicine as the standard of care. Our initial focus is in pediatric and rare diseases, two areas in which we believe we have competitive advantage and can deliver on our vision today.</w:t>
      </w:r>
    </w:p>
    <w:p>
      <w:pPr>
        <w:spacing w:after="0" w:line="148"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GeneDx was founded in 2000 by scientists from the National Institutes of Health whose mission was making genetic testing accessible for patients with rare diseases. The company quickly became a leader in genomics, creating the foundation for how to provide genomic information at scale and pioneering exome and genome sequencing for rare and ultra-rare genetic pediatric disorders. More than 20 years later, we have amassed one of the world’s largest rare disease data sets and remain a leader in genomics. In May 2022, GeneDx was acquired by and integrated with Sema4 Holdings, adding Legacy Sema4’s Centrellis®, a highly innovative health information platform to our portfolio of solutions. Centrellis® integrates digital tools and artificial intelligence, allowing our scientists to ingest and synthesize clinical and genomic data to deliver better, more comprehensive health insights.</w:t>
      </w:r>
    </w:p>
    <w:p>
      <w:pPr>
        <w:spacing w:after="0" w:line="21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Today, we are powered by our industry-leading genomic interpretation platform and Centrellis®. We believe exome and genome testing will become the standard for diagnosis of genetic disease, with the potential to transform healthcare and improve patients’ quality of life for generations by sequencing once and analyzing for a lifetime.</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1371" w:right="1440" w:bottom="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1028700</wp:posOffset>
            </wp:positionH>
            <wp:positionV relativeFrom="page">
              <wp:posOffset>914400</wp:posOffset>
            </wp:positionV>
            <wp:extent cx="5715000" cy="2393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715000" cy="239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Background</w:t>
      </w:r>
    </w:p>
    <w:p>
      <w:pPr>
        <w:spacing w:after="0" w:line="19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Targeted genetic tests and panel testing make up the vast majority of diagnostics tests ordered today. While panel testing can be immensely valuable, it has an increasing limitation as we move towards genetic-based healthcare. Panels only allow you to test for insights that physicians predefine based on symptoms, which can lead to inconclusive results and an inefficient process. It is hypothesis-based medicine based on symptoms that may overlap across diseases. We firmly believe that an affordable, scalable and actionable genome is the future of medicine. The barrier to having actionable information from a genomic sequence is significant—and not just due to costs, which are coming down. The less-discussed barrier to having actionable information lies in the ability to process a genome’s worth of information—quickly and scalably—and to deliver both a result that a clinician can easily act upon to help a patient and a robust dataset that enables clinicians to drive precise diagnosis and researchers to develop and advance therapeutics.</w:t>
      </w:r>
    </w:p>
    <w:p>
      <w:pPr>
        <w:spacing w:after="0" w:line="216"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Most companies in today’s genetics industry are taking a test-by-test approach to cross the chasm from genetics early adopters to genome guided healthcare in the mainstream market. We believe that driving clinician and patient awareness and influencing policy decisions may facilitate uptake within the industry. In addition, making genetics part of mainstream medicine requires advancing the technology to provide personalized and actionable health insights. It also will require having a robust, well-characterized dataset that can maximize answers and minimize unknowns and that can drive a new era of discovery.</w:t>
      </w:r>
    </w:p>
    <w:p>
      <w:pPr>
        <w:spacing w:after="0" w:line="20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Exome and whole genome sequencing provide the broadest view into the genomic variant—we are looking comprehensively into over 20,000 genes, while panels look at anywhere from two to a few hundred genes. While most companies in the industry have grown through a focus on panels, we have focused on exome and whole genome developing structured gene-disease knowledge curated by our team of experts to power automated interpretation and reporting.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One Test</w:t>
      </w:r>
    </w:p>
    <w:p>
      <w:pPr>
        <w:spacing w:after="0" w:line="19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The genome is composed of 3 billion “letters”, or base pairs, of DNA. The exome is a portion of the genome that encodes proteins, which are involved in many different types of cellular functions. Changes in the genome and exome can change the way proteins are formed or are utilized by the cell, potentially causing disease.</w:t>
      </w:r>
    </w:p>
    <w:p>
      <w:pPr>
        <w:spacing w:after="0" w:line="195"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When patients present with complex issues, a genetic diagnosis may be available, but a traditional genetic panel test may be too narrow to identify the cause. Some genetic disorders present with very specific symptoms, so tests that read the “letters” of a single gene or a small panel of genes, may make sense for physicians to use in diagnosis. But for many other genetic diseases, patients can present with overlapping symptoms so finding the correct</w:t>
      </w:r>
    </w:p>
    <w:p>
      <w:pPr>
        <w:sectPr>
          <w:pgSz w:w="12240" w:h="15840" w:orient="portrait"/>
          <w:cols w:equalWidth="0" w:num="1">
            <w:col w:w="936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1440" w:right="1440" w:bottom="0" w:gutter="0" w:footer="0" w:header="0"/>
          <w:type w:val="continuous"/>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20"/>
          <w:szCs w:val="20"/>
          <w:color w:val="auto"/>
        </w:rPr>
        <w:t>diagnosis is not always straightforward and may require multiple tests, costly evaluations, invasive procedures, and long hospital stays. Exome and genome sequencing can find different genetic alterations, or variants, that more targeted tests miss and are especially useful when the timing is critical to directing or altering medical management.</w:t>
      </w:r>
    </w:p>
    <w:p>
      <w:pPr>
        <w:spacing w:after="0" w:line="195"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With over 20 years of operation, GeneDx has a proven track record of expertise in genetic testing. We launched the industry’s first commercially available next generation sequencing panels in 2008, pioneered exome sequencing in 2012 and have sequenced over 400,000 exomes to date. We have performed over a million genetic tests and worked tirelessly to develop the following:</w:t>
      </w:r>
    </w:p>
    <w:p>
      <w:pPr>
        <w:spacing w:after="0" w:line="203" w:lineRule="exact"/>
        <w:rPr>
          <w:sz w:val="20"/>
          <w:szCs w:val="20"/>
          <w:color w:val="auto"/>
        </w:rPr>
      </w:pPr>
    </w:p>
    <w:p>
      <w:pPr>
        <w:ind w:left="720" w:hanging="36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curated database of disease-associated genomic variants.</w:t>
      </w:r>
    </w:p>
    <w:p>
      <w:pPr>
        <w:spacing w:after="0" w:line="25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Proprietary bioinformatics and variant interpretation pipelines.</w:t>
      </w:r>
    </w:p>
    <w:p>
      <w:pPr>
        <w:spacing w:after="0" w:line="25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Rapid exome and whole genome sequencing testing options.</w:t>
      </w:r>
    </w:p>
    <w:p>
      <w:pPr>
        <w:spacing w:after="0" w:line="25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The status quo of genetic testing requires repeated and fragmented testing, which in many cases, is conducted too late for physicians to use in treatment of patients. Targeted genetic tests and panels have been largely commoditized leaving physicians, healthcare partners and patients searching for deeper answers and enhanced utility. The scalable exome and whole genome interpretation that we can deliver at speed do not require a long, complex, expensive, expert-guided search and may make most other genetic tests obsolete. In addition, using whole genome testing is incredibly simple: it’s designed to be Just One Test.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Advanced Technology with a Human Touch</w:t>
      </w:r>
    </w:p>
    <w:p>
      <w:pPr>
        <w:spacing w:after="0" w:line="19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Our team includes approximately 250 genetic counselors, physicians, scientists, and clinical and molecular genomics specialists. We believe we are one of the industry’s leading genetic testing experts. We share the same goal as healthcare providers, patients, and families: to provide personalized and actionable health insights.</w:t>
      </w:r>
    </w:p>
    <w:p>
      <w:pPr>
        <w:spacing w:after="0" w:line="195"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Our years of exome and genome sequencing experience have provided us with a substantial dataset, including over 2.7 million structured phenotypes with nearly 60% of all exomes to date processed as parent-child trios. We have invested resources over time to annotate the phenotypes and sequence the parents of patients, because their genetic sequences can often provide additional diagnostic information, potentially improving the precision of genetic analysis. In addition, the data from more families allows us to continually improve interpretation of genetic code and variants that may cause disease. We believe we have more expertly annotated disease-causing variants than the largest public archive.</w:t>
      </w:r>
    </w:p>
    <w:p>
      <w:pPr>
        <w:spacing w:after="0" w:line="210"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Internally developed with over one million sequenced specimens, our database is designed to lead to increasingly reliable diagnostic test results. The structured gene-disease knowledge curated by our team of experts is powering automated interpretation and reporting built to handle genomic data at scale. Combined with our proprietary, state-of-the-art variant identification software, our ability to deliver highly accurate test results makes finding definitive diagnoses, even in complex cases, possible. Implemented with expert oversight, our advanced interpretation methods incorporate automation, bioinformatics, and cloud-based machine learning, enabling efficient discovery of genetic differences at previously undetectable levels.</w:t>
      </w:r>
    </w:p>
    <w:p>
      <w:pPr>
        <w:spacing w:after="0" w:line="21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As the number of new patients we test grows, so does our database, as new data increases the potential for greater insights. Comparing new cases against the data from previous cases helps to confirm whether a genetic variant is significant. Once new findings are identified, we aim to proactively reach out to healthcare providers and offer to reanalyze their patients’ previous results. Over time, our objective is to fully automate this reanalysis process in a convenient, easy to understand, efficient method.</w:t>
      </w:r>
    </w:p>
    <w:p>
      <w:pPr>
        <w:spacing w:after="0" w:line="20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In this new world of “one test,” people may be able to carry their genomic data—their DNA blueprints—with them throughout their life. GeneDx intends to assist in providing new answers from within, decoding more insights over time. As we capture more genomic and phenotypic data, we hope to fuel a positive feedback cycle of discovery that continuously delivers more value for patients, providers and healthcare partners.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1378" w:right="1440" w:bottom="0" w:gutter="0" w:footer="0" w:header="0"/>
          <w:type w:val="continuous"/>
        </w:sectPr>
      </w:pPr>
    </w:p>
    <w:bookmarkStart w:id="8" w:name="page9"/>
    <w:bookmarkEnd w:id="8"/>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Delivering Health Insights</w:t>
      </w:r>
    </w:p>
    <w:p>
      <w:pPr>
        <w:spacing w:after="0" w:line="197" w:lineRule="exact"/>
        <w:rPr>
          <w:sz w:val="20"/>
          <w:szCs w:val="20"/>
          <w:color w:val="auto"/>
        </w:rPr>
      </w:pPr>
    </w:p>
    <w:p>
      <w:pPr>
        <w:ind w:right="60" w:firstLine="360"/>
        <w:spacing w:after="0" w:line="237" w:lineRule="auto"/>
        <w:rPr>
          <w:sz w:val="20"/>
          <w:szCs w:val="20"/>
          <w:color w:val="auto"/>
        </w:rPr>
      </w:pPr>
      <w:r>
        <w:rPr>
          <w:rFonts w:ascii="Times New Roman" w:cs="Times New Roman" w:eastAsia="Times New Roman" w:hAnsi="Times New Roman"/>
          <w:sz w:val="20"/>
          <w:szCs w:val="20"/>
          <w:color w:val="auto"/>
        </w:rPr>
        <w:t>Centrellis®, our health information platform, is supported and fueled by genomic information from our diagnostic business and combined with an ever growing population of clinical health records and data. We engage with patients, physicians, health systems, and other partners based on principles of transparency, choice, and consent. Driven by our direct engagement with patients and strategic relationships with multiple health systems, the database we have built contains extensive Electronic Medical Record (EMR) data, totaling approximately 3.1 million patient health records, and has been designed to enable Centrellis® to draw from its extensive data assets in a way that enables physicians to proactively diagnose and manage disease. Our datasets include over 20 years of records abstracted from approximately 56 million clinical documents, 47 million phenotypes and 8 million disease diagnoses. We expect our current and targeted strategic relationships will provide us with access to additional active patient cohorts and datasets to continue to build our information base and enable our iterative, data-driven business model, including our genomic test solutions franchise.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Opportunity</w:t>
      </w:r>
    </w:p>
    <w:p>
      <w:pPr>
        <w:spacing w:after="0" w:line="19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Our primary growth engine in the short term will be expanding our current market-leading exome sequencing capabilities in the Neonatal Intensive Care Units (“NICU”) and Pediatric Developmental Disorder setting, as well as providing interpretation and information services for customers that sequence locally but look to GeneDx for analysis and interpretation, and providing our Centrellis® platform services to biopharmaceutical (“biopharma”) partners.</w:t>
      </w:r>
    </w:p>
    <w:p>
      <w:pPr>
        <w:spacing w:after="0" w:line="144"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We believe we are particularly well-suited for helping rare disease and pediatric developmental disorder patients, their care teams and biopharma companies today. This is a large market with immense unmet medical need. There are nearly 7,000 individual diseases affecting nearly 10% of the total population in the United States, of which 50% are children. As a result, there are over 700 medicines in development for these diseases, with a regulatory pathway facilitated by the Orphan Drug Act of 1983. By providing the precise genetic diagnosis of patients with rare disease, our expertise and technology may provide researchers and biopharma companies with the information needed to develop and commercialize a new treatment for the disease.</w:t>
      </w:r>
    </w:p>
    <w:p>
      <w:pPr>
        <w:spacing w:after="0" w:line="21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Our longer-term growth strategy is the expansion into whole genome testing for Adult Disorders and Newborn Screening, supported with the launch of a new customer experience platform for non-geneticists, patients and caregivers, and evidence generation to establish the clinical and economic benefits of screening.</w:t>
      </w:r>
    </w:p>
    <w:p>
      <w:pPr>
        <w:spacing w:after="0" w:line="195"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By unlocking the value of the products, our knowledge base, network of relationships, and expertise, our team is well positioned to lead what we believe is a nearly $30 billion global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154305</wp:posOffset>
            </wp:positionV>
            <wp:extent cx="5196205" cy="2390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5196205" cy="2390775"/>
                    </a:xfrm>
                    <a:prstGeom prst="rect">
                      <a:avLst/>
                    </a:prstGeom>
                    <a:noFill/>
                  </pic:spPr>
                </pic:pic>
              </a:graphicData>
            </a:graphic>
          </wp:anchor>
        </w:drawing>
      </w:r>
    </w:p>
    <w:p>
      <w:pPr>
        <w:sectPr>
          <w:pgSz w:w="12240" w:h="15840" w:orient="portrait"/>
          <w:cols w:equalWidth="0" w:num="1">
            <w:col w:w="936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1440" w:right="144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9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believe that the span and depth of our experience and dataset allows us to return more positive findings and thus clinical utility both immediately and over time through reanalysis. Importantly, we believe that we return fewer uncertain findings compared to public data sets, which makes our analysis easier to interpret outside of the medical genetics community.</w:t>
      </w:r>
    </w:p>
    <w:p>
      <w:pPr>
        <w:spacing w:after="0" w:line="14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At the same time, we have improved quality and speed to delivery of exome and genome tests and have significantly lowered exome sequencing costs since 2013. Much of this decline was driven by reduced sequencing costs shared across the industry; however, we have reduced costs in the interpretation layer through accumulating data and experience, and we expect further decline in costs going forward.</w:t>
      </w:r>
    </w:p>
    <w:p>
      <w:pPr>
        <w:spacing w:after="0" w:line="14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Leveraging these capabilities, we aim to be the global market leader in the development and delivery of reliable, actionable, scalable exome and genome sequencing and interpretation and information services. Our strategy focuses on the following objectives:</w:t>
      </w:r>
    </w:p>
    <w:p>
      <w:pPr>
        <w:spacing w:after="0" w:line="135" w:lineRule="exact"/>
        <w:rPr>
          <w:sz w:val="20"/>
          <w:szCs w:val="20"/>
          <w:color w:val="auto"/>
        </w:rPr>
      </w:pPr>
    </w:p>
    <w:p>
      <w:pPr>
        <w:ind w:left="720" w:hanging="360"/>
        <w:spacing w:after="0" w:line="281"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 the utilization of exome and genome sequencing as the first- or second-tier test over most other genetically targeted tests by leveraging decades of earned trust amongst expert geneticists; and</w:t>
      </w:r>
    </w:p>
    <w:p>
      <w:pPr>
        <w:spacing w:after="0" w:line="121" w:lineRule="exact"/>
        <w:rPr>
          <w:rFonts w:ascii="Times New Roman" w:cs="Times New Roman" w:eastAsia="Times New Roman" w:hAnsi="Times New Roman"/>
          <w:sz w:val="20"/>
          <w:szCs w:val="20"/>
          <w:color w:val="auto"/>
        </w:rPr>
      </w:pPr>
    </w:p>
    <w:p>
      <w:pPr>
        <w:jc w:val="both"/>
        <w:ind w:left="720" w:hanging="360"/>
        <w:spacing w:after="0" w:line="258"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 the utilization of industry-leading exome and genome sequencing beyond the genetic experts into the non-expert setting, potentially creating a new standard of care which enables faster diagnoses, reduces suffering, and helps healthcare systems save money. In the near term, our principal target markets will be settings with the most vulnerable patients who can benefit the most including, but not limited to, NICU and patients with Pediatric Developmental Disorders.</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To achieve these objectives, we plan to:</w:t>
      </w:r>
    </w:p>
    <w:p>
      <w:pPr>
        <w:spacing w:after="0" w:line="190" w:lineRule="exact"/>
        <w:rPr>
          <w:sz w:val="20"/>
          <w:szCs w:val="20"/>
          <w:color w:val="auto"/>
        </w:rPr>
      </w:pPr>
    </w:p>
    <w:p>
      <w:pPr>
        <w:jc w:val="both"/>
        <w:ind w:left="720" w:hanging="360"/>
        <w:spacing w:after="0" w:line="266"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the build out of our commercial footprint to nearly 60 field-based sales representatives in 2023, and construct an industry-leading brand, product, marketing, communications and market access platform by leveraging decades of earned trust across the genetics community.</w:t>
      </w:r>
    </w:p>
    <w:p>
      <w:pPr>
        <w:spacing w:after="0" w:line="135"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Partner with leaders across health systems, manufacturers, commercial and governmental payers and advocacy groups. We aim to collaborate on programs to establish definitive clinical and economic case for broad use of genomic-guided medicine. Such programs will focus on:</w:t>
      </w:r>
    </w:p>
    <w:p>
      <w:pPr>
        <w:spacing w:after="0" w:line="135" w:lineRule="exact"/>
        <w:rPr>
          <w:rFonts w:ascii="Times New Roman" w:cs="Times New Roman" w:eastAsia="Times New Roman" w:hAnsi="Times New Roman"/>
          <w:sz w:val="20"/>
          <w:szCs w:val="20"/>
          <w:color w:val="auto"/>
        </w:rPr>
      </w:pPr>
    </w:p>
    <w:p>
      <w:pPr>
        <w:ind w:left="1440" w:hanging="360"/>
        <w:spacing w:after="0" w:line="281" w:lineRule="auto"/>
        <w:tabs>
          <w:tab w:leader="none" w:pos="14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 for rapid whole genome sequencing in the NICU and Pediatric Developmental Disorder settings;</w:t>
      </w:r>
    </w:p>
    <w:p>
      <w:pPr>
        <w:spacing w:after="0" w:line="121" w:lineRule="exact"/>
        <w:rPr>
          <w:rFonts w:ascii="Times New Roman" w:cs="Times New Roman" w:eastAsia="Times New Roman" w:hAnsi="Times New Roman"/>
          <w:sz w:val="20"/>
          <w:szCs w:val="20"/>
          <w:color w:val="auto"/>
        </w:rPr>
      </w:pPr>
    </w:p>
    <w:p>
      <w:pPr>
        <w:ind w:left="1440" w:hanging="360"/>
        <w:spacing w:after="0"/>
        <w:tabs>
          <w:tab w:leader="none" w:pos="14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diagnosis of disease and prevention of chronic conditions in adults; and</w:t>
      </w:r>
    </w:p>
    <w:p>
      <w:pPr>
        <w:spacing w:after="0" w:line="190" w:lineRule="exact"/>
        <w:rPr>
          <w:rFonts w:ascii="Times New Roman" w:cs="Times New Roman" w:eastAsia="Times New Roman" w:hAnsi="Times New Roman"/>
          <w:sz w:val="20"/>
          <w:szCs w:val="20"/>
          <w:color w:val="auto"/>
        </w:rPr>
      </w:pPr>
    </w:p>
    <w:p>
      <w:pPr>
        <w:ind w:left="1440" w:hanging="360"/>
        <w:spacing w:after="0"/>
        <w:tabs>
          <w:tab w:leader="none" w:pos="14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of rapid whole genome sequencing for broad newborn screening.</w:t>
      </w:r>
    </w:p>
    <w:p>
      <w:pPr>
        <w:spacing w:after="0" w:line="190" w:lineRule="exact"/>
        <w:rPr>
          <w:rFonts w:ascii="Times New Roman" w:cs="Times New Roman" w:eastAsia="Times New Roman" w:hAnsi="Times New Roman"/>
          <w:sz w:val="20"/>
          <w:szCs w:val="20"/>
          <w:color w:val="auto"/>
        </w:rPr>
      </w:pPr>
    </w:p>
    <w:p>
      <w:pPr>
        <w:jc w:val="both"/>
        <w:ind w:left="720" w:hanging="360"/>
        <w:spacing w:after="0" w:line="258"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Open new markets and geographies and unlock the value of our dataset with independently scalable cloud-based interpretation and information service offerings. This will enable healthcare partners to incorporate genetics into clinical care by accessing our analysis and interpretation capabilities remotely while sequencing locally to reduce complexity, logistics cost and wait times, and align to local restrictions where applicable;</w:t>
      </w:r>
    </w:p>
    <w:p>
      <w:pPr>
        <w:spacing w:after="0" w:line="143" w:lineRule="exact"/>
        <w:rPr>
          <w:rFonts w:ascii="Times New Roman" w:cs="Times New Roman" w:eastAsia="Times New Roman" w:hAnsi="Times New Roman"/>
          <w:sz w:val="20"/>
          <w:szCs w:val="20"/>
          <w:color w:val="auto"/>
        </w:rPr>
      </w:pPr>
    </w:p>
    <w:p>
      <w:pPr>
        <w:jc w:val="both"/>
        <w:ind w:left="720" w:hanging="360"/>
        <w:spacing w:after="0" w:line="258"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 a new provider and patient experience with the eventual goal of providing lifelong access and portability of genomic information. At initial sequence, rapid results provide clinicians simple, actionable, easy to understand results for non-geneticists and tailored resources for patients and caregivers. On an ongoing basis, reanalysis unlocks a renewable source of insight, replacing any future germline screening. We will sequence once, and analyze for life.</w:t>
      </w:r>
    </w:p>
    <w:p>
      <w:pPr>
        <w:spacing w:after="0" w:line="143"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Optimize Centrellis® to become a solutions provider of choice for biopharma. Such solutions will focus on three value-added services:</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1371" w:right="1440" w:bottom="0" w:gutter="0" w:footer="0" w:header="0"/>
          <w:type w:val="continuous"/>
        </w:sectPr>
      </w:pPr>
    </w:p>
    <w:bookmarkStart w:id="10" w:name="page11"/>
    <w:bookmarkEnd w:id="10"/>
    <w:p>
      <w:pPr>
        <w:ind w:left="1440" w:hanging="360"/>
        <w:spacing w:after="0" w:line="281" w:lineRule="auto"/>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FIND: Finding rare disease patients for clinical trial recruitment and/or delivery of targeted therapeutics, eventually moving into other disease areas such as cardiology and oncology.</w:t>
      </w:r>
    </w:p>
    <w:p>
      <w:pPr>
        <w:spacing w:after="0" w:line="121" w:lineRule="exact"/>
        <w:rPr>
          <w:rFonts w:ascii="Times New Roman" w:cs="Times New Roman" w:eastAsia="Times New Roman" w:hAnsi="Times New Roman"/>
          <w:sz w:val="20"/>
          <w:szCs w:val="20"/>
          <w:color w:val="auto"/>
        </w:rPr>
      </w:pPr>
    </w:p>
    <w:p>
      <w:pPr>
        <w:jc w:val="both"/>
        <w:ind w:left="1440" w:hanging="360"/>
        <w:spacing w:after="0" w:line="266" w:lineRule="auto"/>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UNDERSTAND: Supporting research and development for targeted therapies with analytic reports leveraging clinicogenomics data across multiple therapeutic areas with an initial emphasis in rare disease and oncology.</w:t>
      </w:r>
    </w:p>
    <w:p>
      <w:pPr>
        <w:spacing w:after="0" w:line="135" w:lineRule="exact"/>
        <w:rPr>
          <w:rFonts w:ascii="Times New Roman" w:cs="Times New Roman" w:eastAsia="Times New Roman" w:hAnsi="Times New Roman"/>
          <w:sz w:val="20"/>
          <w:szCs w:val="20"/>
          <w:color w:val="auto"/>
        </w:rPr>
      </w:pPr>
    </w:p>
    <w:p>
      <w:pPr>
        <w:jc w:val="both"/>
        <w:ind w:left="1440" w:hanging="360"/>
        <w:spacing w:after="0" w:line="266" w:lineRule="auto"/>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PLATFORM: In the long term, providing a therapeutic area agnostic platform to access to data, patients and insights for real world evidence and data to support end-to-end drug discovery pipeline.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9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Our research and development activities include information technology, product development, customer experience, medical affairs, collaborations and research. These activities are principally focused on our efforts to develop and improve the software we use to analyze data, process genomic test orders, deliver reports, and improve customer experience.</w:t>
      </w:r>
    </w:p>
    <w:p>
      <w:pPr>
        <w:spacing w:after="0" w:line="14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are also participating in several collaborative studies aimed to provide evidence of the clinical and economic benefit for exome and whole genome sequencing. Two such studies currently underway include the SeqFirst study— in collaboration with Seattle Children’s Hospital and University of Washington—which is designed to demonstrate the broad utility of rapid whole genome sequencing for critically ill newborns and, the Genomic Uniform-Screening Against Rare Diseases In All Newborns (“GUARDIAN”) study—in collaboration with New York-Presbyterian, Columbia University, New York State Department of Health and Illumina—which is designed to assess whole genome sequencing to screen newborns for more conditions than those currently included in standard newborn screening in the United States. The goals of these studies are to drive earlier diagnosis and treatment to improve the health of the newborns who participate in such studies, generate evidence to support the expansion of newborn screening through genomic sequencing, and characterize the prevalence and natural history of rare genetic conditions.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9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Our competitors include companies that offer molecular genetic testing and consulting services, including specialty and reference laboratories that offer traditional single- and multi-gene tests and biopharmaceutical companies. In addition, there are a large number of new entrants into the market for genetic information ranging from informatics and analysis pipeline developers to focused, integrated providers of genetic tools and services for health and wellness, including Illumina, Inc., which is also one of our suppliers.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 Principal competitors include companies such Baylor, Centogene, Exact Sciences, Invitae as well as other commercial and academic labs.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 and Seasonality</w:t>
      </w:r>
    </w:p>
    <w:p>
      <w:pPr>
        <w:spacing w:after="0" w:line="19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We receive payment for our products and services from third-party payers, patients, business-to-business clients, and from other healthcare partners. Substantially all of our revenue for the year ended December 31, 2022 has been primarily derived from diagnostic test reports and we expect this trend to continue in the near-term. During the year ended December 31, 2022, 94% of pediatric specialists in the United States who order exome testing have ordered from GeneDx. We expect over time to achieve a mix of revenue from diagnostic tests, data and information solutions, newborn screening products and information and interpretation services.</w:t>
      </w:r>
    </w:p>
    <w:p>
      <w:pPr>
        <w:spacing w:after="0" w:line="14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Less than 5% of our revenues today are derived from referral sources outside of the United States. We expect over time to increase rest of world revenue as knowledge and understanding of the benefits of exome and whole genome sequencing continue to expand.</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1378" w:right="1440" w:bottom="0" w:gutter="0" w:footer="0" w:header="0"/>
          <w:type w:val="continuous"/>
        </w:sectPr>
      </w:pPr>
    </w:p>
    <w:bookmarkStart w:id="11" w:name="page12"/>
    <w:bookmarkEnd w:id="11"/>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have historically experienced higher revenue in our fourth quarter compared to other quarters in our fiscal year due in part to seasonal demand of our tests from patients who have met their annual insurance deductible. However, changes in our product and payer mix might cause these historical seasonal patterns to be different than future patterns of revenue or financial performance.</w:t>
      </w:r>
    </w:p>
    <w:p>
      <w:pPr>
        <w:spacing w:after="0" w:line="14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For information regarding our customer concentration in relation to certain of the Company’s third-party payors, see Note 2, “Summary of Significant Accounting Policies” in the notes to our audited consolidated financial statements. We expect incrementally less concentration among third-party payors following the exits from reproductive health and somatic tumor testing.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Raw Materials and Suppliers</w:t>
      </w:r>
    </w:p>
    <w:p>
      <w:pPr>
        <w:spacing w:after="0" w:line="19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rely on a limited number of suppliers, including Illumina, Inc., Integrated DNA Technologies Incorporated, Agilent Technologies, Roche Holdings Ltd., QIAGEN, Inc. and Twist Biosciences, for certain laboratory reagents, as well as sequencers and other equipment and materials, which we use in our laboratory operations. Our operations could be interrupted if we encounter delays or difficulties in securing reagents, sequencers or other equipment or materials, and if we cannot obtain an acceptable substitute. Any such interruption could significantly affect our business, financial condition, results of operations and reputation. We believe that there are only a few other manufacturers that are currently capable of supplying and servicing the equipment necessary for our operations, including sequencers and various associated reagents and enzymes. The use of equipment or materials provided by these replacement suppliers would require us to alter our operations. Transitioning to a new supplier would be time consuming and expensive, may result in interruptions in operations, could affect the performance specifications of our laboratory operations or could require that we revalidate our tests. We cannot be certain that we will be able to secure alternative equipment, reagents and other materials, or bring such equipment, reagents and materials on-line and revalidate them without experiencing interruptions in our workflow. If we encounter delays or difficulties in securing, reconfiguring or revalidating equipment and materials, our business and reputation could be adversely affected.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97"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We rely on a combination of intellectual property rights, including trade secrets, copyrights, trademarks, customary contractual protections to protect our core technology and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Patents</w:t>
      </w:r>
    </w:p>
    <w:p>
      <w:pPr>
        <w:spacing w:after="0" w:line="19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fields of genomic and health information analysis present limited opportunities for patent protection, based on current legal precedents. Our patent protection strategy has focused on seeking protection for certain of our non-gene specific technology and our specific biomarkers. In this regard, as of January 23, 2023, we have six pending non-provisional utility patent applications and one provisional patent application. The utility patent applications include a U.S. patent application related to a genome annotation software platform for annotating genomic intervals that are clinically relevant for analysis, a U.S. patent application related to a genetic carrier screening process, and U.S. and European patent applications related to therapeutic treatment for subjects having certain polymorphic markers associated with specific human leukocyte antigen alleles. If patents are issued from the currently pending applications, the earliest patents will begin expiring in 2040, subject to potential extensions of the patent term that will be calculated based on the length of the patent examination process. The claim scope of any potentially issued patents stemming from the present applications may be narrowed from initial filings due to any amendments that may arise throughout their prosecution.</w:t>
      </w:r>
    </w:p>
    <w:p>
      <w:pPr>
        <w:spacing w:after="0" w:line="21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We do not presently have any patents or patent applications directed to the sequences of specific genes or variants of such genes, nor do we currently rely on any in-licensed gene patent rights of any third party. We may, in time, seek additional patent protection to protect technology that is not gene-specific and that provides us with a potential competitive advantage as we focus on making comprehensive genetic information less expensive and more broadly available to our customers.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1378" w:right="144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i w:val="1"/>
          <w:iCs w:val="1"/>
          <w:color w:val="auto"/>
        </w:rPr>
        <w:t>Trade secrets</w:t>
      </w:r>
    </w:p>
    <w:p>
      <w:pPr>
        <w:spacing w:after="0" w:line="199" w:lineRule="exact"/>
        <w:rPr>
          <w:sz w:val="20"/>
          <w:szCs w:val="20"/>
          <w:color w:val="auto"/>
        </w:rPr>
      </w:pPr>
    </w:p>
    <w:p>
      <w:pPr>
        <w:ind w:right="40" w:firstLine="360"/>
        <w:spacing w:after="0" w:line="237" w:lineRule="auto"/>
        <w:rPr>
          <w:sz w:val="20"/>
          <w:szCs w:val="20"/>
          <w:color w:val="auto"/>
        </w:rPr>
      </w:pPr>
      <w:r>
        <w:rPr>
          <w:rFonts w:ascii="Times New Roman" w:cs="Times New Roman" w:eastAsia="Times New Roman" w:hAnsi="Times New Roman"/>
          <w:sz w:val="20"/>
          <w:szCs w:val="20"/>
          <w:color w:val="auto"/>
        </w:rPr>
        <w:t>We rely on trade secrets, including unpatented know-how, technology and other proprietary information, to maintain and develop our competitive position. We have a trade secrecy program to prevent disclosure of our trade secrets to others, except under stringent conditions of confidentiality when disclosure is critical to our business. We protect trade secrets and know-how by establishing confidentiality agreements and invention assignment agreements with our employees, consultants, scientific advisors, contractors, and collaborators. These agreements also provide that all inventions resulting from work performed for us or relating to our business and conceived or completed during the period of employment or assignment, as applicable, will be our exclusive property. In addition, we take other appropriate precautions, such as physical and technological security measures, to guard against misappropriation of our proprietary information by third parties.</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valuable trade secrets relate to proprietary bioinformatic tools such as:</w:t>
      </w:r>
    </w:p>
    <w:p>
      <w:pPr>
        <w:spacing w:after="0" w:line="250" w:lineRule="exact"/>
        <w:rPr>
          <w:sz w:val="20"/>
          <w:szCs w:val="20"/>
          <w:color w:val="auto"/>
        </w:rPr>
      </w:pPr>
    </w:p>
    <w:p>
      <w:pPr>
        <w:ind w:left="720" w:hanging="360"/>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 data processing methods and analytical pipelines for NGS, aCGH, MLPA, Sanger, and other genomic data, optimized and validated to the highest performance standards;</w:t>
      </w:r>
    </w:p>
    <w:p>
      <w:pPr>
        <w:spacing w:after="0" w:line="18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novel detection method to uncover notoriously difficult to detect sequence variants called mobile element insertions and partial-exon deletions; and</w:t>
      </w:r>
    </w:p>
    <w:p>
      <w:pPr>
        <w:spacing w:after="0" w:line="18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 variant analysis platforms built from the ground up for exome and genome-scale data interpretation.</w:t>
      </w:r>
    </w:p>
    <w:p>
      <w:pPr>
        <w:spacing w:after="0" w:line="23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Although we take steps to protect our proprietary information and trade secrets, including through contractual means with our employees and consultants, these steps may be circumvented, or third parties may independently develop substantially equivalent proprietary information and techniques or otherwise gain access to our trade secrets or disclose our technology. Accordingly, we may not be able to meaningfully protect our trade secrets.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Trademarks</w:t>
      </w:r>
    </w:p>
    <w:p>
      <w:pPr>
        <w:spacing w:after="0" w:line="19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own or are applying for various trademarks, service marks, trade names, and product service names in the U.S and other commercially important markets. We intend to invest significant resources in the growth and protection of our reputation and trademarks. Our trademark portfolio is designed to protect the brands for our products and services, both current and in the pipeline.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197"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We aim to recruit, develop, and retain diverse, high-quality talent. We had 1,100 team members as of January 20, 2023 who are champions of not only our organization, but our patients, providers and partners.</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Our values</w:t>
      </w:r>
    </w:p>
    <w:p>
      <w:pPr>
        <w:spacing w:after="0" w:line="199"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Our values guide our interactions. Our model represents the interconnectedness of sometimes opposing values, where both are required to accomplish our mission. These values are:</w:t>
      </w:r>
    </w:p>
    <w:p>
      <w:pPr>
        <w:spacing w:after="0" w:line="121" w:lineRule="exact"/>
        <w:rPr>
          <w:sz w:val="20"/>
          <w:szCs w:val="20"/>
          <w:color w:val="auto"/>
        </w:rPr>
      </w:pPr>
    </w:p>
    <w:p>
      <w:pPr>
        <w:ind w:left="720" w:hanging="36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Bravery &amp; Humility</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Openness &amp; Accountability</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Equitability &amp; Integrity</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Rigorous &amp; Efficient Development</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Simplicity &amp; Curiosity</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Diversity and Inclusion</w:t>
      </w:r>
    </w:p>
    <w:p>
      <w:pPr>
        <w:spacing w:after="0" w:line="19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We believe that a diverse and inclusive workforce is important. Our JEDI (Justice, Equity, Diversity and Inclusion) initiatives enable us to build a diverse and inclusive workplace that help make progress in our belief of equitability. Every team has a JEDI goal to ensure we are accountable to one another and this commitment.</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Talent Development</w:t>
      </w:r>
    </w:p>
    <w:p>
      <w:pPr>
        <w:sectPr>
          <w:pgSz w:w="12240" w:h="15840" w:orient="portrait"/>
          <w:cols w:equalWidth="0" w:num="1">
            <w:col w:w="9360"/>
          </w:cols>
          <w:pgMar w:left="1440" w:top="1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1369" w:right="1440" w:bottom="0" w:gutter="0" w:footer="0" w:header="0"/>
          <w:type w:val="continuous"/>
        </w:sectPr>
      </w:pPr>
    </w:p>
    <w:bookmarkStart w:id="13" w:name="page14"/>
    <w:bookmarkEnd w:id="13"/>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are committed to developing our workforce. Our talent development programs provide employees with the resources they need to achieve their career goals, build management skills and lead their teams. Managers coach and hold conversations with employees’ regarding their career and development plans, thereby staying true to our belief in accountability and openness.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Total Rewards</w:t>
      </w:r>
    </w:p>
    <w:p>
      <w:pPr>
        <w:spacing w:after="0" w:line="19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We offer competitive compensation to attract and retain high quality talent, and we care for our people so they can focus on our mission. Our employees' total compensation package includes competitive salary, bonuses or sales incentives, equity and a 401(K) plan with matching opportunities. Equity participation is provided for certain positions because ownership in the company drives commitment to our long-term success. We provide programs including healthcare and insurance benefits, health savings and flexible spending accounts, paid time off, family leave, flexible work schedules, fertility, adoption and surrogacy assistance, employee assistance and wellness support, among many others.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9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Our business and the services (both current and in the pipeline) we provide are subject to and impacted by extensive and frequently changing laws and regulations in the United States (at both the federal and state levels) and internationally. Failure to comply with the applicable laws and regulations can subject us to repayment of amounts previously paid to us, significant civil and criminal penalties, loss of licensure, certification, or accreditation, or exclusion from state and federal health care programs. The significant areas of regulation are summarized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Laboratory Improvement Amendments of 1988 and State Regulation</w:t>
      </w:r>
    </w:p>
    <w:p>
      <w:pPr>
        <w:spacing w:after="0" w:line="227" w:lineRule="exact"/>
        <w:rPr>
          <w:sz w:val="20"/>
          <w:szCs w:val="20"/>
          <w:color w:val="auto"/>
        </w:rPr>
      </w:pPr>
    </w:p>
    <w:p>
      <w:pPr>
        <w:ind w:firstLine="360"/>
        <w:spacing w:after="0" w:line="238" w:lineRule="auto"/>
        <w:rPr>
          <w:sz w:val="20"/>
          <w:szCs w:val="20"/>
          <w:color w:val="auto"/>
        </w:rPr>
      </w:pPr>
      <w:r>
        <w:rPr>
          <w:rFonts w:ascii="Times New Roman" w:cs="Times New Roman" w:eastAsia="Times New Roman" w:hAnsi="Times New Roman"/>
          <w:sz w:val="20"/>
          <w:szCs w:val="20"/>
          <w:color w:val="auto"/>
        </w:rPr>
        <w:t>Our clinical laboratories must hold certain federal</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auto"/>
        </w:rPr>
        <w:t xml:space="preserve"> state and local licenses, certifications and permits to conduct our business. Laboratories in the United States that perform testing on human specimens for the purpose of providing information for the diagnosis, prevention, or treatment of disease or impairment, or the assessment of health are subject to the Clinical Laboratory Improvement Amendments of 1988, as amended, and its implementing regulations (“CLIA”). CLIA requires such laboratories to be certified by the federal government and mandates compliance with various operational, personnel, facilities administration, inspections, quality control, quality assessment and proficiency testing requirements intended to ensure that testing services are accurate, reliable and timely. CLIA certification also is a prerequisite to be eligible to bill state and federal health care programs, as well as many commercial third-party payers, for laboratory testing services. Our laboratory located in Gaithersburg, Maryland is CLIA certified to perform high complexity tests. Laboratories performing high complexity testing are required to meet more stringent requirements than laboratories performing less complex tests. The regulatory and compliance standards applicable to the testing we perform may change over time, and any such changes could have a material effect on our business.</w:t>
      </w:r>
    </w:p>
    <w:p>
      <w:pPr>
        <w:spacing w:after="0" w:line="188" w:lineRule="exact"/>
        <w:rPr>
          <w:sz w:val="20"/>
          <w:szCs w:val="20"/>
          <w:color w:val="auto"/>
        </w:rPr>
      </w:pPr>
    </w:p>
    <w:p>
      <w:pPr>
        <w:ind w:firstLine="360"/>
        <w:spacing w:after="0" w:line="237" w:lineRule="auto"/>
        <w:rPr>
          <w:sz w:val="20"/>
          <w:szCs w:val="20"/>
          <w:color w:val="auto"/>
        </w:rPr>
      </w:pPr>
      <w:r>
        <w:rPr>
          <w:rFonts w:ascii="Times New Roman" w:cs="Times New Roman" w:eastAsia="Times New Roman" w:hAnsi="Times New Roman"/>
          <w:sz w:val="20"/>
          <w:szCs w:val="20"/>
          <w:color w:val="auto"/>
        </w:rPr>
        <w:t>As a condition of CLIA certification, our laboratory is subject to survey and inspection every two years to assess compliance with program standards, in addition to being subject to additional random inspections. The biennial survey is conducted by the Centers for Medicare &amp; Medicaid Services (“CMS”), a CMS agent (typically a state agency), or a CMS-approved accreditation organization. Our Gaithersburg and Stamford laboratories have been accredited by the College of American Pathologists (“CAP”), which means that our laboratories have been certified as following CAP guidelines in operating the laboratory and in performing tests that ensure the quality of our results. Because our laboratories are accredited by CAP, which is a CMS-approved accreditation organization, CMS does not perform these biennial surveys and inspections and relies on our CAP surveys and inspections. We may also be subject to additional unannounced inspections.</w:t>
      </w:r>
    </w:p>
    <w:p>
      <w:pPr>
        <w:spacing w:after="0" w:line="19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CLIA provides that a state may adopt laboratory regulations that are not inconsistent with those under federal law, and a number of states have implemented their own (sometimes more stringent) laboratory regulatory requirements. CLIA does not preempt state laws that have established laboratory quality standards that are at least as stringent as the federal law requirements under CLIA. State laws may require that nonresident laboratories, or out-of-state laboratories, maintain a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 We maintain state laboratory licenses for our Gaithersburg and Stamford facilities in Maryland, New York,</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1378" w:right="1440" w:bottom="0" w:gutter="0" w:footer="0" w:header="0"/>
          <w:type w:val="continuous"/>
        </w:sectPr>
      </w:pPr>
    </w:p>
    <w:bookmarkStart w:id="14" w:name="page15"/>
    <w:bookmarkEnd w:id="14"/>
    <w:p>
      <w:pPr>
        <w:jc w:val="both"/>
        <w:spacing w:after="0" w:line="265" w:lineRule="auto"/>
        <w:rPr>
          <w:sz w:val="20"/>
          <w:szCs w:val="20"/>
          <w:color w:val="auto"/>
        </w:rPr>
      </w:pPr>
      <w:r>
        <w:rPr>
          <w:rFonts w:ascii="Times New Roman" w:cs="Times New Roman" w:eastAsia="Times New Roman" w:hAnsi="Times New Roman"/>
          <w:sz w:val="20"/>
          <w:szCs w:val="20"/>
          <w:color w:val="auto"/>
        </w:rPr>
        <w:t>California, Pennsylvania and Rhode Island; our Stamford laboratory also maintains a Connecticut clinical laboratory permit. In addition to having laboratory licenses in New York, our laboratories are also required to obtain approval on a test-specific basis for the tests they run as laboratory developed tests (“LDTs”) by the New York Department of Health before specific testing is performed on samples from New York. If any states currently have or adopt similar licensure requirements in the future, we may be required to modify, delay or stop our operations in those states.</w:t>
      </w:r>
    </w:p>
    <w:p>
      <w:pPr>
        <w:spacing w:after="0" w:line="202" w:lineRule="exact"/>
        <w:rPr>
          <w:sz w:val="20"/>
          <w:szCs w:val="20"/>
          <w:color w:val="auto"/>
        </w:rPr>
      </w:pPr>
    </w:p>
    <w:p>
      <w:pPr>
        <w:ind w:right="40" w:firstLine="360"/>
        <w:spacing w:after="0" w:line="239" w:lineRule="auto"/>
        <w:rPr>
          <w:sz w:val="20"/>
          <w:szCs w:val="20"/>
          <w:color w:val="auto"/>
        </w:rPr>
      </w:pPr>
      <w:r>
        <w:rPr>
          <w:rFonts w:ascii="Times New Roman" w:cs="Times New Roman" w:eastAsia="Times New Roman" w:hAnsi="Times New Roman"/>
          <w:sz w:val="20"/>
          <w:szCs w:val="20"/>
          <w:color w:val="auto"/>
        </w:rPr>
        <w:t>If a laboratory is out of compliance with state laws or regulations governing licensed laboratories or with CLIA, penalties may include suspension, limitation or revocation of the license or CLIA certificate, assessment of civil monetary penalties or fines, civil injunctive suit or criminal penalties. Failure to comply with CLIA could also result in a directed plan of correction and state on-site monitoring. Loss of a laboratory’s CLIA certificate or state license may also result in the inability to receive payments from state and federal health care programs as well as private third-party payers. We believe that we are in material compliance with CLIA and all applicable licensing laws and regulations.</w:t>
      </w:r>
    </w:p>
    <w:p>
      <w:pPr>
        <w:spacing w:after="0" w:line="18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CLIA and state laws and regulations, operating together, sometimes limit the ability of laboratories to offer consumer-initiated testing (also known as “direct access testing”). CLIA certified laboratories are permitted to perform testing only upon the order of an “authorized person,” defined as an individual authorized under state law to order tests or receive test results, or both. Many states do not permit persons other than licensed healthcare providers to order tests. We currently do not offer direct access testing and our CLIA tests may only be ordered by authorized healthcare providers.</w:t>
      </w:r>
    </w:p>
    <w:p>
      <w:pPr>
        <w:spacing w:after="0" w:line="139" w:lineRule="exact"/>
        <w:rPr>
          <w:sz w:val="20"/>
          <w:szCs w:val="20"/>
          <w:color w:val="auto"/>
        </w:rPr>
      </w:pPr>
    </w:p>
    <w:p>
      <w:pPr>
        <w:ind w:right="3460"/>
        <w:spacing w:after="0" w:line="443" w:lineRule="auto"/>
        <w:rPr>
          <w:sz w:val="20"/>
          <w:szCs w:val="20"/>
          <w:color w:val="auto"/>
        </w:rPr>
      </w:pPr>
      <w:r>
        <w:rPr>
          <w:rFonts w:ascii="Times New Roman" w:cs="Times New Roman" w:eastAsia="Times New Roman" w:hAnsi="Times New Roman"/>
          <w:sz w:val="20"/>
          <w:szCs w:val="20"/>
          <w:b w:val="1"/>
          <w:bCs w:val="1"/>
          <w:i w:val="1"/>
          <w:iCs w:val="1"/>
          <w:color w:val="auto"/>
        </w:rPr>
        <w:t>Diagnostic Products and FDA Oversight of Laboratory Developed Tests FDA Oversight of Laboratory Developed Tests</w:t>
      </w:r>
    </w:p>
    <w:p>
      <w:pPr>
        <w:ind w:right="40" w:firstLine="360"/>
        <w:spacing w:after="0" w:line="235" w:lineRule="auto"/>
        <w:rPr>
          <w:sz w:val="20"/>
          <w:szCs w:val="20"/>
          <w:color w:val="auto"/>
        </w:rPr>
      </w:pPr>
      <w:r>
        <w:rPr>
          <w:rFonts w:ascii="Times New Roman" w:cs="Times New Roman" w:eastAsia="Times New Roman" w:hAnsi="Times New Roman"/>
          <w:sz w:val="20"/>
          <w:szCs w:val="20"/>
          <w:color w:val="auto"/>
        </w:rPr>
        <w:t>We provide our tests as LDTs. Under the FDA’s regulatory framework, in vitro diagnostic devices (IVDs) are a type of medical device, including tests that can be used in the diagnosis or detection of diseases, such as cancer, or other conditions. The FDA considers LDTs to be a subset of IVDs that are intended for clinical use and are designed, manufactured, and used within a single laboratory that is certified under CLIA. Such LDT testing is primarily under the purview of CMS and state agencies that provide oversight over clinical laboratory operations. Although the FDA has taken the position that it has statutory authority to assure that medical devices, including certain LDTs, are safe and effective for their intended use, the FDA has historically exercised enforcement discretion with respect to most LDTs and has not required laboratories that furnish LDTs to comply with the agency's requirements for medical devices (e.g., establishment registration, device listing, premarket clearance or approval, quality systems regulations, and post-market controls). In recent years, the FDA has stated it intends to end its policy of general enforcement discretion and regulate certain LDTs as medical devices. For example, in 2014 the FDA issued two draft guidance documents that set forth a proposed risk-based regulatory framework that would apply varying levels of FDA oversight to LDTs. These documents have not been finalized to date. Subsequently, in August 2020, the U.S. Department of Health and Human Services – the parent agency of the FDA – announced that the FDA will not require premarket review of LDTs absent notice-and-comment rulemaking, as opposed to through guidance documents and other informal issuances. In November 2021, the Biden Administration rescinded this policy. At this time, it is unclear when, or if, the FDA will finalize its plans to end enforcement discretion, and even then, the new regulatory requirements are expected to be phased-in over time. Nevertheless, the FDA may decide to regulate certain LDTs on a case-by-case basis at any time.</w:t>
      </w:r>
    </w:p>
    <w:p>
      <w:pPr>
        <w:spacing w:after="0" w:line="201" w:lineRule="exact"/>
        <w:rPr>
          <w:sz w:val="20"/>
          <w:szCs w:val="20"/>
          <w:color w:val="auto"/>
        </w:rPr>
      </w:pPr>
    </w:p>
    <w:p>
      <w:pPr>
        <w:ind w:firstLine="360"/>
        <w:spacing w:after="0" w:line="237" w:lineRule="auto"/>
        <w:rPr>
          <w:sz w:val="20"/>
          <w:szCs w:val="20"/>
          <w:color w:val="auto"/>
        </w:rPr>
      </w:pPr>
      <w:r>
        <w:rPr>
          <w:rFonts w:ascii="Times New Roman" w:cs="Times New Roman" w:eastAsia="Times New Roman" w:hAnsi="Times New Roman"/>
          <w:sz w:val="20"/>
          <w:szCs w:val="20"/>
          <w:color w:val="auto"/>
        </w:rPr>
        <w:t>Legislative proposals addressing the FDA's oversight of LDTs have also been introduced in previous Congresses, and we expect that new legislative proposals will be introduced from time- to- time. For example, versions of the Verifying Accurate Leading-edge IVCT Development (“VALID”) Act have been introduced in Congress several times in recent years, but the VALID Act has not been enacted. The VALID Act, as most recently proposed, would create a new category of medical products separate from medical devices called “in vitro clinical tests,” or IVCTs. As most recently proposed, the VALID Act would modify the Federal Food, Drug, and Cosmetic Act (the “FDCA”) and establish a risk-based approach to imposing requirements related to premarket review, quality systems, and labeling requirements on all IVCTs, including LDTs, but a grandfathering provision would create exemptions from certain requirements for certain LDTs offered for clinical use within 45 days of enactment of the bill. The likelihood that Congress will pass such legislation and the extent to which such legislation may affect the FDA's plans to regulate certain LDTs as medical devices is difficult to predict at this time.</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1378" w:right="1440" w:bottom="0" w:gutter="0" w:footer="0" w:header="0"/>
          <w:type w:val="continuous"/>
        </w:sectPr>
      </w:pPr>
    </w:p>
    <w:bookmarkStart w:id="15" w:name="page16"/>
    <w:bookmarkEnd w:id="15"/>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If the FDA ultimately regulates certain LDTs as medical devices, whether via final guidance, final regulation, or as instructed by Congress, our tests may be subject to certain additional regulatory requirements. Complying with the FDA's requirements for medical devices can be expensive, time-consuming, and subject us to significant or unanticipated delays. Insofar as we may be required to obtain premarket clearance or approval to perform or continue performing an LDT, we cannot be sure that we will be able to obtain such authorization. Even if we obtain regulatory clearance or approval where required, such authorization may not be for the intended uses that we believe are commercially attractive or are critical to the commercial success of our tests. As a result, the application of the FDA's oversight to our tests could materially and adversely affect our business, financial condition, and results of operations.</w:t>
      </w:r>
    </w:p>
    <w:p>
      <w:pPr>
        <w:spacing w:after="0" w:line="14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We will continue to monitor changes to all LDT regulatory policy so as to ensure compliance with the current regulatory scheme. The FDA in the course of enforcing the FDCA may subject a company to various sanctions for violating FDA regulations or provisions of the FDCA, including requiring recalls, issuing Warning Letters, seeking to impose civil money penalties, seizing devices that the agency believes are non-compliant, seeking to enjoin distribution of a specific device, seeking to revoke a clearance or approval, seeking disgorgement of profits and/or seeking to criminally prosecute a company and its officers and other responsible parties.</w:t>
      </w:r>
    </w:p>
    <w:p>
      <w:pPr>
        <w:spacing w:after="0" w:line="208"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Additionally, certain of our diagnostic products in development may be subject to regulation by the FDA and similar international health authorities. For these products, we would have an obligation to adhere to the FDA’s current Good Manufacturing Practices (“cGMP”) and diagnostic product regulations, including providing for an establishment and product listing with the FDA. Additionally, we would be subject to periodic FDA inspections, quality control procedures, and other detailed validation procedures. If the FDA finds deficiencies in the validation of our manufacturing and quality control practices, it may impose restrictions on marketing specific products until corrected. Regulation by governmental authorities in the U.S. and other countries may be a significant factor in how we develop, test, produce and market our diagnostic test products.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 Practice of Medicine</w:t>
      </w:r>
    </w:p>
    <w:p>
      <w:pPr>
        <w:spacing w:after="0" w:line="199" w:lineRule="exact"/>
        <w:rPr>
          <w:sz w:val="20"/>
          <w:szCs w:val="20"/>
          <w:color w:val="auto"/>
        </w:rPr>
      </w:pPr>
    </w:p>
    <w:p>
      <w:pPr>
        <w:jc w:val="both"/>
        <w:ind w:firstLine="360"/>
        <w:spacing w:after="0" w:line="270" w:lineRule="auto"/>
        <w:rPr>
          <w:sz w:val="20"/>
          <w:szCs w:val="20"/>
          <w:color w:val="auto"/>
        </w:rPr>
      </w:pPr>
      <w:r>
        <w:rPr>
          <w:rFonts w:ascii="Times New Roman" w:cs="Times New Roman" w:eastAsia="Times New Roman" w:hAnsi="Times New Roman"/>
          <w:sz w:val="19"/>
          <w:szCs w:val="19"/>
          <w:color w:val="auto"/>
        </w:rPr>
        <w:t>Numerous states prohibit business organizations from practicing medicine or employing or engaging physicians to practice medicine, which prohibitions are generally referred to as the prohibition against the corporate practice of medicine. These laws are intended to prevent interference in the medical decision-making process by anyone who is not a licensed physician. For example, California's Medical Board has indicated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prohibitions may result in civil or criminal fines, as well as sanctions imposed against us and/or the professional through licensure proceedings.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Regulatory Requirements</w:t>
      </w:r>
    </w:p>
    <w:p>
      <w:pPr>
        <w:spacing w:after="0" w:line="19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are subject to laws and regulations related to the protection of the environment, the health and safety of employees and the handling, transportation and disposal of regulated medical waste, hazardous waste and biohazardous waste, including chemical, biological agents and compounds, blood and bone marrow samples and other human tissue, and radioactive materials. For example, the U.S. Occupational Safety and Health Administration (“OSHA”) has established extensive requirements relating specifically to workplace safety for healthcare employers in the U.S. For purposes of transportation, some biological materials and laboratory supplies are classified as hazardous materials and are subject to regulation by one or more of the following: the U.S. Department of Transportation, the U.S. Public Health Service, the United States Postal Service, the Office of Foreign Assets Control and the International Air Transport Association. We generally use third-party vendors to dispose of regulated medical waste, hazardous waste and radioactive materials and contractually require them to comply with applicable laws and regulations. These vendors are licensed or otherwise qualified to handle and dispose of such wastes.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and State Healthcare Fraud &amp; Abuse Laws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1378" w:right="1440" w:bottom="0" w:gutter="0" w:footer="0" w:header="0"/>
          <w:type w:val="continuous"/>
        </w:sectPr>
      </w:pPr>
    </w:p>
    <w:bookmarkStart w:id="16" w:name="page17"/>
    <w:bookmarkEnd w:id="16"/>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Federal and State Physician Self-Referral Prohibitions</w:t>
      </w:r>
    </w:p>
    <w:p>
      <w:pPr>
        <w:spacing w:after="0" w:line="25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are subject to the federal physician self-referral prohibitions, commonly known as the Stark Law. These restrictions generally prohibit a physician who has (or whose immediate family member has) a financial relationship, such as an ownership or investment interest in or compensation arrangement with us, from making referrals for “designated health services”, including clinical laboratory services, if payment for the services may be made under Medicare. If such a financial relationship exists, referrals are prohibited unless a statutory or regulatory exception applies. The Stark Law also prohibits us from billing for any such prohibited referral. These prohibitions apply regardless of any intent by the parties to induce or reward referrals or the reasons for the financial relationship and the referral. Several Stark Law exceptions are relevant to many common financial relationships involving clinical laboratories and referring physicians and may be relied upon if all of the elements of the applicable exception are satisfied. Penalties for violating the Stark Law include the return of funds received for all prohibited referrals, fines, civil monetary penalties and possible exclusion from federal health care programs. In addition, violations of the Stark Law may also serve as the basis for liability under the federal False Claims Act (the “FCA”), which can result in additional civil and criminal penalties. Several states have enacted comparable self-referral laws which may be broader in scope and apply regardless of payer.</w:t>
      </w: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Federal and State Anti-Kickback Laws</w:t>
      </w:r>
    </w:p>
    <w:p>
      <w:pPr>
        <w:spacing w:after="0" w:line="25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federal Anti-Kickback Statute (the “AKS”), makes it a felony for a person or entity, including a clinical laboratory, to, among other things, knowingly and willfully offer, pay, solicit or receive any remuneration, directly or indirectly, overtly or covertly, in cash or in kind, in order to induce or reward either the referral of an individual for, or the purchase, order or recommendation of, any good or service, for which payment may be made under federal health care programs.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 the AKS that apply to all payers or to state program payers. Penalties for violations of such laws include imprisonment and significant monetary fines and, in the case of the AKS, exclusion from federal health care programs.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conditions of an applicable exception or safe harbor, it is deemed not to violate the AKS. An arrangement must fully meet each condition of an applicable exception or safe harbor in order to qualify for protection. Failure to meet the conditions of a safe harbor, however, does not render an arrangement illegal. Rather, the government may evaluate such arrangements on a case-by-case basis, taking into account all facts and circumstances.</w:t>
      </w:r>
    </w:p>
    <w:p>
      <w:pPr>
        <w:spacing w:after="0" w:line="20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addition, the federal Eliminating Kickbacks in Recovery Act (the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and certain other entities or in exchange for an individual using the services of such entities. The EKRA applies to all payers including commercial payers and government payers, and EKRA violations result in significant fines and/or up to 10 years in jail, separate and apart from existing AKS liability. Several EKRA exceptions are relevant to many common financial relationships involving clinical laboratories and may be relied upon if all of the elements of the applicable exception are satisfied. Failure to meet the requirements of an exception, however, does not render an arrangement illegal. Rather, the government may evaluate such arrangements on a case-by-case basis, taking into account all facts and circumstances.</w:t>
      </w:r>
    </w:p>
    <w:p>
      <w:pPr>
        <w:sectPr>
          <w:pgSz w:w="12240" w:h="15840" w:orient="portrait"/>
          <w:cols w:equalWidth="0" w:num="1">
            <w:col w:w="9360"/>
          </w:cols>
          <w:pgMar w:left="1440" w:top="137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1374" w:right="1440" w:bottom="0" w:gutter="0" w:footer="0" w:header="0"/>
          <w:type w:val="continuous"/>
        </w:sectPr>
      </w:pPr>
    </w:p>
    <w:bookmarkStart w:id="17" w:name="page18"/>
    <w:bookmarkEnd w:id="17"/>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Other Federal and State Fraud &amp; Abuse Healthcare Laws</w:t>
      </w:r>
    </w:p>
    <w:p>
      <w:pPr>
        <w:spacing w:after="0" w:line="254"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In addition to the requirements discussed above, several other health care fraud and abuse laws could have an effect on our business.</w:t>
      </w:r>
    </w:p>
    <w:p>
      <w:pPr>
        <w:spacing w:after="0" w:line="18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retaining an overpayment by the federal government. Under the FCA, a person acts knowingly if he or she has actual knowledge of the information or acts in deliberate ignorance or in reckless disregard of the truth or falsity of the information. Specific intent to defraud is not required. FCA violations can result in penalties of up to three times the actual damages sustained by the government, plus civil penalties for each false claim.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Several states have enacted comparable false claims laws which may be broader in scope and apply regardless of payer.</w:t>
      </w:r>
    </w:p>
    <w:p>
      <w:pPr>
        <w:spacing w:after="0" w:line="20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Several states have enacted comparable laws which may be broader in scope and apply regardless of payer.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law. Moreover, in certain cases, providers who routinely waive copayments and deductibles for Medicare and Medicaid beneficiaries, can also be held liable under the civil monetary penalty provisions and certain other laws, such as the AKS and FCA. One of the statutory exceptions to the civil monetary penalty prohibition is non-routine, unadvertised waivers of copayments or deductible amounts based on individualized determinations of financial need or exhaustion of reasonable collection efforts. The Office of Inspector General of the U.S. Department of Health and Human Services (“HHS”), emphasizes, however, that this exception should only be used occasionally to address special financial needs of a particular patient. States may have similar prohibitions.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Federal and State Healthcare Laws</w:t>
      </w:r>
    </w:p>
    <w:p>
      <w:pPr>
        <w:spacing w:after="0" w:line="259"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In addition to the fraud and abuse laws discussed above, our business potentially is subject to the following additional healthcare regulatory laws:</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Laws Governing Genetic Counseling Services</w:t>
      </w:r>
    </w:p>
    <w:p>
      <w:pPr>
        <w:spacing w:after="0" w:line="25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genetic counseling partner may provide services via electronic means that could subject it to various federal, state and local certification and licensing laws, regulations and approvals, relating to, among other things, the adequacy of health care, the practice of medicine and other health professions (including the provision of remote care and cross-coverage practice), equipment, personnel, operating policies and procedures and the prerequisites for ordering laboratory tests. Some states have enacted regulations specific to providing services to patients via telehealth. Such regulations include, among other things, informed consent requirements that some states require providers to obtain from their patients before providing telehealth services. Health professionals who provide professional services using telehealth modalities must, in most instances, hold a valid license to practice the applicable health profession in the state in which the patient is located. In addition, certain states require a physician providing telehealth to be physically located in the same state as the patient. Any failure to comply with these laws and regulations could result in civil or criminal penalties against telehealth providers.</w:t>
      </w:r>
    </w:p>
    <w:p>
      <w:pPr>
        <w:sectPr>
          <w:pgSz w:w="12240" w:h="15840" w:orient="portrait"/>
          <w:cols w:equalWidth="0" w:num="1">
            <w:col w:w="9360"/>
          </w:cols>
          <w:pgMar w:left="1440" w:top="137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1374" w:right="1440" w:bottom="0" w:gutter="0" w:footer="0" w:header="0"/>
          <w:type w:val="continuous"/>
        </w:sectPr>
      </w:pPr>
    </w:p>
    <w:bookmarkStart w:id="18" w:name="page19"/>
    <w:bookmarkEnd w:id="18"/>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Clinical and Human Subjects Research Regulations</w:t>
      </w:r>
    </w:p>
    <w:p>
      <w:pPr>
        <w:spacing w:after="0" w:line="25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We may collaborate or support ongoing clinical or other human subjects research that could subject us to a number of laws and regulations pertaining to such research, including, but not limited to the Federal Policy for Protection of Human Subjects (as set forth in the implementing regulations of any signatory federal department or agency), the FDCA and its applicable implementing regulations at 21 C.F.R. Parts 11, 50, 54, 56, 58 and 812 and all equivalent legal requirements in other jurisdictions.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Privacy and Security Laws</w:t>
      </w:r>
    </w:p>
    <w:p>
      <w:pPr>
        <w:spacing w:after="0" w:line="2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Health Insurance Portability and Accountability Act</w:t>
      </w:r>
    </w:p>
    <w:p>
      <w:pPr>
        <w:spacing w:after="0" w:line="254"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Under the Health Insurance Portability and Accountability Act of 1996 (“HIPAA”), as amended by the Health Information Technology for Economic and Clinical Health Act (“HITECH”), HHS has issued regulations to protect the privacy and provide for the security of protected health information (“PHI”) used or disclosed by covered entities, including most health care providers and their respective business associates, as well as the business associates’ subcontractors. HIPAA also regulates standardization of data content, codes, and formats used in certain health care transactions and standardization of identifiers for health plans and providers. Four principal regulations with which we are required to comply have been issued in final form under HIPAA and HITECH: privacy regulations, security regulations, breach notification regulations, and standards for electronic transactions, which establish standards for common healthcare transactions.</w:t>
      </w:r>
    </w:p>
    <w:p>
      <w:pPr>
        <w:spacing w:after="0" w:line="20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The privacy regulations cover the use and disclosure of PHI by covered entities as well as business associates, which are persons or entities that perform certain functions for or on behalf of a covered entity that involve the creation, receipt, maintenance, or transmission of PHI. Business associates are defined to include a subcontractor to whom a business associate delegates a function, activity, or service, other than in the capacity of the business associate’s workforce. As a general rule, a covered entity or business associate may not use or disclose PHI except as permitted or required under the privacy regulations. The privacy regulations also set forth certain rights that an individual has with respect to his or her PHI maintained by a covered entity or business associate, including the right to access or amend certain records containing his, her or their PHI, request restrictions on the use or disclosure of his, her or their PHI, or request an accounting of disclosures of his or her PHI.</w:t>
      </w:r>
    </w:p>
    <w:p>
      <w:pPr>
        <w:spacing w:after="0" w:line="20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Covered entities and business associates also must comply with the security regulations, which establish requirements for safeguarding the confidentiality, integrity, and availability of PHI that is electronically transmitted or electronically stored. In addition, HITECH, among other things, established certain PHI breach notification requirements with which covered entities and business associates must comply. In particular, a covered entity must notify any individual whose unsecured PHI is breached according to the specifications set forth in the breach notification rule. A covered entity must also notify the Secretary of HHS and, under certain circumstances, the media of a breach of unsecured PHI.</w:t>
      </w:r>
    </w:p>
    <w:p>
      <w:pPr>
        <w:spacing w:after="0" w:line="21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The HIPAA privacy, security, and breach notification regulations establish a uniform federal “floor” and do not preempt state laws that are more stringent or provide individuals with greater rights with respect to the privacy or security of, and access to, their records containing PHI or insofar as such state laws apply to personal information that is broader in scope than PHI. In addition, individuals (or their personal representatives, as applicable) generally have the right to access test reports directly from laboratories and to direct that copies of those reports be transmitted to persons or entities designated by the individual.</w:t>
      </w:r>
    </w:p>
    <w:p>
      <w:pPr>
        <w:spacing w:after="0" w:line="208"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 In addition, violations of HIPAA could result in significant penalties imposed by the HHS’s Office for Civil Rights. HIPAA also mandates that the Secretary of HHS conduct periodic compliance audits of HIPAA covered entities, such as us, and their business associates for compliance with the</w:t>
      </w:r>
    </w:p>
    <w:p>
      <w:pPr>
        <w:sectPr>
          <w:pgSz w:w="12240" w:h="15840" w:orient="portrait"/>
          <w:cols w:equalWidth="0" w:num="1">
            <w:col w:w="9360"/>
          </w:cols>
          <w:pgMar w:left="1440" w:top="137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1374" w:right="1440" w:bottom="0" w:gutter="0" w:footer="0" w:header="0"/>
          <w:type w:val="continuous"/>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20"/>
          <w:szCs w:val="20"/>
          <w:color w:val="auto"/>
        </w:rPr>
        <w:t>HIPAA privacy and security standards. It also tasks HHS with establishing a methodology whereby harmed individuals who were the victims of breaches of unsecured PHI may receive a percentage of the civil monetary penalty paid by the violator.</w:t>
      </w:r>
    </w:p>
    <w:p>
      <w:pPr>
        <w:spacing w:after="0" w:line="19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Further, there are a number of state laws regarding the privacy and security of health information and personal data that are applicable to our clinical laboratories. We believe that we have taken the steps required of us to comply with health information privacy and security statutes and regulations in all jurisdictions, both state and federal, and we intend to continue to comprehensively protect all personal information and to comply with all applicable laws regarding the protection of such information. However, these laws constantly change, and we may not be able to maintain compliance in all jurisdictions where we do business. Failure to maintain compliance, including in connection with changes in state or federal laws regarding privacy or security, could result in civil and/or criminal penalties as well as significant reputational damage and could also have a material adverse effect on our business.</w:t>
      </w:r>
    </w:p>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California Consumer Privacy Act</w:t>
      </w:r>
    </w:p>
    <w:p>
      <w:pPr>
        <w:spacing w:after="0" w:line="24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California Consumer Privacy Act, as amended by the California Privacy Rights Act (“CPRA,” and together with the California Consumer Privacy Act, the “CCPA”), confers to California consumers, among other things, the right to receive notice of the categories of personal information that will be collected by a business, how the business will use and share the personal information, and the categories of third parties who will receive the personal information. The CCPA also confers rights to access, delete, correct, or request a portable data set, the right to limit processing of “sensitive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allows California consumers to opt out of the “sharing” of information, which restricts a company’s use of personal information for cross-context behavioral advertising. The CCPA also requires a business to implement reasonable security procedures to safeguard personal information against unauthorized access, use, or disclosure and imposes purpose limitation, data minimization, data retention and other security compliance obligations on regulated businesses. The CCPA requires businesses to include specific provisions in contracts with third parties that process data on a business’s behalf regarding the third party’s processing and management of such data.</w:t>
      </w:r>
    </w:p>
    <w:p>
      <w:pPr>
        <w:spacing w:after="0" w:line="218"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The CCPA does not apply to personal information that is PHI under HIPAA and that is collected by a business associate or covered entity under HIPAA. The CCPA also exempts patient information that is processed by a covered entity and maintained in the same manner as PHI. Accordingly, the CCPA will not apply to much of the genetic testing and patient information we collect and process. However, we are required to comply with the CCPA insofar as we collect other categories of California consumers’ personal information, such as information about California-based employees, contractors, business contacts and website visitors.</w:t>
      </w:r>
    </w:p>
    <w:p>
      <w:pPr>
        <w:spacing w:after="0" w:line="20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The CCPA is enforceable through administrative fines of up to $2,500 for each violation, or $7,500 for intentional violations or where we have actual knowledge that the personal information relates to an individual under 16 years of age.</w:t>
      </w:r>
    </w:p>
    <w:p>
      <w:pPr>
        <w:spacing w:after="0" w:line="19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addition to the CCPA, four new state privacy laws have gone or will go into effect in 2023, including the Virginia Consumer Data Protection Act, the Utah Consumer Privacy Act, the Colorado Privacy Act, and the Connecticut Data Privacy Act. In 2023, a number of other states are considering similar consumer privacy laws. These new state privacy laws and any potential federal consumer privacy law will and would impose additional data protection obligations on covered businesses, including additional consumer rights, limitations on data uses, new audit requirements for higher risk data and opt outs for certain uses of sensitive data. The new and proposed privacy laws may result in further uncertainty and may require us to incur additional expenditures to comply. These regulations and legislative developments have potentially far-reaching consequences and may require us to modify our data management and data use practices and incur substantial compliance expense. Our failure to comply with applicable laws and regulations or other obligations to which we may be subject relating to personal data, or to protect personal data from unauthorized access, use, or other processing, could result in enforcement actions and regulatory investigations against us, claims for damages by customers and other affected individuals, fines, damage</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1378" w:right="1440" w:bottom="0" w:gutter="0" w:footer="0" w:header="0"/>
          <w:type w:val="continuous"/>
        </w:sectPr>
      </w:pPr>
    </w:p>
    <w:bookmarkStart w:id="20" w:name="page21"/>
    <w:bookmarkEnd w:id="20"/>
    <w:p>
      <w:pPr>
        <w:jc w:val="both"/>
        <w:spacing w:after="0" w:line="281" w:lineRule="auto"/>
        <w:rPr>
          <w:sz w:val="20"/>
          <w:szCs w:val="20"/>
          <w:color w:val="auto"/>
        </w:rPr>
      </w:pPr>
      <w:r>
        <w:rPr>
          <w:rFonts w:ascii="Times New Roman" w:cs="Times New Roman" w:eastAsia="Times New Roman" w:hAnsi="Times New Roman"/>
          <w:sz w:val="20"/>
          <w:szCs w:val="20"/>
          <w:color w:val="auto"/>
        </w:rPr>
        <w:t>to our reputation, and loss of goodwill, any of which could have a material adverse effect on our operations, financial performance, and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Genetic Privacy and Testing Laws</w:t>
      </w:r>
    </w:p>
    <w:p>
      <w:pPr>
        <w:spacing w:after="0" w:line="19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are subject to myriad laws that require us to establish safeguards for the conduct of genomic testing and analysis and to protect against the misuse of genetic information and human biological specimens (“samples”) from which genetic information can be derived. These laws vary in their scope and in the nature of their requirements and restrictions. For example, certain genetic privacy laws prohibit the retention of samples after performing a genomic analysis and prohibit the collection, use or disclosure of genetic information or samples for certain purposes, such as research, without appropriate informed consent from the individual or unless the genetic information or samples are appropriately de-identified. Other laws may impose additional requirements, including requirements regarding institutional review board review and approval for certain research uses of genetic information or samples or requirements to implement certain security controls in connection with the transfer of genetic information. We must comply with such genetic privacy and testing laws in our collection, use, disclosure and retention of genetic information and samples.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Data Protection Laws</w:t>
      </w:r>
    </w:p>
    <w:p>
      <w:pPr>
        <w:spacing w:after="0" w:line="199" w:lineRule="exact"/>
        <w:rPr>
          <w:sz w:val="20"/>
          <w:szCs w:val="20"/>
          <w:color w:val="auto"/>
        </w:rPr>
      </w:pPr>
    </w:p>
    <w:p>
      <w:pPr>
        <w:ind w:right="100" w:firstLine="360"/>
        <w:spacing w:after="0" w:line="237" w:lineRule="auto"/>
        <w:rPr>
          <w:sz w:val="20"/>
          <w:szCs w:val="20"/>
          <w:color w:val="auto"/>
        </w:rPr>
      </w:pPr>
      <w:r>
        <w:rPr>
          <w:rFonts w:ascii="Times New Roman" w:cs="Times New Roman" w:eastAsia="Times New Roman" w:hAnsi="Times New Roman"/>
          <w:sz w:val="20"/>
          <w:szCs w:val="20"/>
          <w:color w:val="auto"/>
        </w:rPr>
        <w:t>There are a growing number of jurisdictions around the globe that have privacy and data protection laws that may apply to us as we enter or expand our business in jurisdictions outside of the United States. These laws are typically triggered by a company’s establishment or physical location in the jurisdiction, data processing activities that take place in the jurisdiction, and/or the processing of personal information about individuals located in that jurisdiction that are targeted, for example, by an offer of goods or services. Certain data protection laws, such as those in the European Union, (the “EU”) and United Kingdom, are comprehensive in nature and include significant requirements around the processing of personal information, while other jurisdictions may have laws less restrictive or prescriptive than those in the U.S. Enforcement of these laws varies from jurisdiction to jurisdiction, with a variety of consequences, including civil or criminal penalties, litigation private rights of action, or damage to our reputation.</w:t>
      </w:r>
    </w:p>
    <w:p>
      <w:pPr>
        <w:spacing w:after="0" w:line="193" w:lineRule="exact"/>
        <w:rPr>
          <w:sz w:val="20"/>
          <w:szCs w:val="20"/>
          <w:color w:val="auto"/>
        </w:rPr>
      </w:pPr>
    </w:p>
    <w:p>
      <w:pPr>
        <w:ind w:right="40" w:firstLine="360"/>
        <w:spacing w:after="0" w:line="236" w:lineRule="auto"/>
        <w:rPr>
          <w:sz w:val="20"/>
          <w:szCs w:val="20"/>
          <w:color w:val="auto"/>
        </w:rPr>
      </w:pPr>
      <w:r>
        <w:rPr>
          <w:rFonts w:ascii="Times New Roman" w:cs="Times New Roman" w:eastAsia="Times New Roman" w:hAnsi="Times New Roman"/>
          <w:sz w:val="20"/>
          <w:szCs w:val="20"/>
          <w:color w:val="auto"/>
        </w:rPr>
        <w:t>For example, the EU’s General Data Protection Regulation (“GDPR”), including as implemented and amended through the UK Data Protection Act 2018 (“UK GDPR”), applies to any data collection, use and sharing in the context of an establishment in the EU or UK as well as extraterritorially to any entity outside the EU and UK when they process personal information related to an offer of goods or services to, or monitoring the behavior of, individuals who are located in the EU or UK. The GDPR and UK GDPR impose requirements on controllers and processors of personal data, including when personal information is transferred outside of the EU or the UK to another country and enhanced protections for “special categories” of personal data, which include sensitive information such as health and genetic information of data subjects. The GDPR and UK GDPR also grant individuals various rights in relation to their personal data including the rights of access, rectification, objection to certain processing and deletion. The GDPR and UK GDPR provide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or a failure to comply with the UK GDPR may result in significant administrative fines issued by EU or UK regulators.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Information Blocking Prohibition</w:t>
      </w:r>
    </w:p>
    <w:p>
      <w:pPr>
        <w:spacing w:after="0" w:line="25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On May 1, 2020, the Office of the National Coordinator for Health Information Technology promulgated final regulations under the authority of the 21st Century Cures Act to impose new conditions to obtain and maintain certification of certified health information technology and prohibit certain covered actors, including developers of certified health information technology, health information networks/health information exchanges, and health care providers, from engaging in activities that are likely to interfere with the access, exchange, or use of electronic health information (information blocking). The final regulations further defined exceptions for activities that are permissible, even though they may have the effect of interfering with the access, exchange, or use of electronic health information. The information blocking regulations became effective on April 5, 2021. Under the 21st Century Cures Act, health care providers that violate the information blocking prohibition will be subject to appropriate</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1378" w:right="1440" w:bottom="0" w:gutter="0" w:footer="0" w:header="0"/>
          <w:type w:val="continuous"/>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20"/>
          <w:szCs w:val="20"/>
          <w:color w:val="auto"/>
        </w:rPr>
        <w:t>disincentives, which the HHS has yet to establish through required rulemaking. Developers of certified information technology and health information networks/health information exchanges, however, may be subject to civil monetary penalties of up to $1 million per violation. The HHS Office of Inspector General has the authority to impose such penalties and on April 24, 2020, published a proposed rule to codify new authority in regulation, which the agency proposed would be effective 60 days after it issues a final rule but in no event before November 2, 2020. The HHS Office of Inspector General has not yet issued a final rule.</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Federal and State Consumer Protection Laws</w:t>
      </w:r>
    </w:p>
    <w:p>
      <w:pPr>
        <w:spacing w:after="0" w:line="25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Federal Trade Commission (the “FTC”) is an independent U.S. law enforcement agency charged with protecting consumers and enhancing competition across broad sectors of the economy. The FTC’s primary legal authority with respect to data privacy and security comes from Section 5 of the FTC Act, which prohibits unfair or deceptive acts or practices in the marketplace. The FTC has increasingly used this broad authority to police data privacy and security, using its powers to investigate and bring lawsuits. Where appropriate, the FTC can seek a variety of remedies, such as but not limited to requiring the implementation of comprehensive privacy and security programs, biennial assessments by independent experts, monetary redress to consumers, and provision of robust notice and choice mechanisms to consumers. In addition to its enforcement mechanisms, the FTC uses a variety of tools to protect consumers’ privacy and personal information, including pursuing enforcement actions to stop violations of law, conducting studies and issuing reports, hosting public workshops, developing educational materials and testifying before the U.S. Congress on issues that affect consumer privacy. Recently, the FTC has issued guidance emphasizing that their authority to prevent unfair or deceptive acts or practices extends to advertising and marketing claims for health care and health-related products.</w:t>
      </w:r>
    </w:p>
    <w:p>
      <w:pPr>
        <w:spacing w:after="0" w:line="208"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The majority of data privacy cases brought by the FTC fall under the “deceptive” acts prong of Section 5. These cases often involve a failure on the part of a company to adhere to its own privacy and data protection principles set forth in its policies or other statements made to consumers. To avoid Section 5 violations, the FTC encourages companies to build privacy protections and safeguards into relevant portions of their business, and to consider privacy and data protection as the company grows and evolves. In addition, privacy notices should clearly and accurately disclose the type(s) of personal information the company collects, how the company uses and shares that information, and the security measures used by the company to protect that information.</w:t>
      </w:r>
    </w:p>
    <w:p>
      <w:pPr>
        <w:spacing w:after="0" w:line="210"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In recent years, the FTC’s enforcement under Section 5 related to data security has included alleged violations of the “unfairness” prong. Many of these cases have alleged that companies were unfair to consumers because they failed to take reasonable and necessary measures to protect consumer data. The FTC has not provided bright line rules defining what constitutes “reasonable and necessary measures” for implementing a cybersecurity program, but it has provided guidance, tips and advice for companies. The FTC has also published past complaints and consent orders, which it urges companies use as guidance to help avoid an FTC enforcement action, even if a data breach or loss occurs.</w:t>
      </w:r>
    </w:p>
    <w:p>
      <w:pPr>
        <w:spacing w:after="0" w:line="21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In addition to the FTC Act, most U.S. states have unfair and deceptive acts and practices statutes, known as UDAP statutes, that substantially mirror the FTC Act and have been applied in the privacy and data security context. These vary in substance and strength from state to state. Many have broad prohibitions against unfair and deceptive acts and practices. These statutes generally allow for private rights of action and are enforced by the states’ Attorneys General.</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Reimbursement and Billing</w:t>
      </w:r>
    </w:p>
    <w:p>
      <w:pPr>
        <w:spacing w:after="0" w:line="25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In April 2014, Congress passed the Protecting Access to Medicare Act of 2014 (“PAMA”), which included substantial changes to the way in which clinical laboratory services are paid under Medicare. Under PAMA (as amended) and its implementing regulations, laboratories that realize at least $12,500 in Medicare Clinical Laboratory Fee Schedule (“CLFS”) revenues during the six month reporting period and that receive the majority of their Medicare revenue from payments made under the CLFS or the Physician Fee Schedule must report, beginning in 2017, and then in 2024 and every three years thereafter (or annually for “advanced diagnostic laboratory tests”), private payer payment rates and volumes for their tests. None of our tests meet the current definition of advanced</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1378" w:right="1440" w:bottom="0" w:gutter="0" w:footer="0" w:header="0"/>
          <w:type w:val="continuous"/>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20"/>
          <w:szCs w:val="20"/>
          <w:color w:val="auto"/>
        </w:rPr>
        <w:t>diagnostic laboratory tests, and therefore we believe we are required to report private payer rates for our tests on an every-three-years basis, starting next in 2024. CMS uses the rates and volumes reported by laboratories to develop Medicare payment rates for the tests equal to the volume-weighted median of the private payer payment rates for the tests. Laboratories that fail to report the required payment information may be subject to substantial civil money penalties.</w:t>
      </w:r>
    </w:p>
    <w:p>
      <w:pPr>
        <w:spacing w:after="0" w:line="204"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As set forth under the regulations implementing PAMA, for tests furnished on or after January 1, 2018, Medicare payments for clinical diagnostic laboratory tests are paid based upon these reported private payer rates. For clinical diagnostic laboratory tests that are assigned a new or substantially revised code, initial payment rates for clinical diagnostic laboratory tests that are not advanced diagnostic laboratory tests will be assigned by the cross-walk or gap-fill methodology, as under prior law. Initial payment rates for new advanced diagnostic laboratory tests will be based on the actual list charge for the laboratory test.</w:t>
      </w:r>
    </w:p>
    <w:p>
      <w:pPr>
        <w:spacing w:after="0" w:line="208"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The payment rates calculated under PAMA went into effect starting January 1, 2018. Where applicable, reductions to payment rates resulting from the new methodology were limited to 10% per test per year in each of the years 2018 through 2020. Rates were held at 2020 levels during 2021 and 2022 and will continue to be held at such levels in 2023. Then, where applicable based upon median private payer rates reported in 2017 or 2024, reduced by up to 15% per test per year in each of 2024 through 2026 (with a second round of private payer rate reporting in 2024 to establish rates for 2025 through 2027).</w:t>
      </w:r>
    </w:p>
    <w:p>
      <w:pPr>
        <w:spacing w:after="0" w:line="20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PAMA codified Medicare coverage rules for laboratory tests by requiring any local coverage determination to be made following the local coverage determination process. PAMA also authorizes CMS to consolidate coverage policies for clinical laboratory tests among one to four laboratory-specific Medicare Administrative Contractors (“MACs”). These same contractors may also be designated to process claims if CMS determines that such a model is appropriate. It is unclear whether CMS will proceed with contractor consolidation under this authorization.</w:t>
      </w:r>
    </w:p>
    <w:p>
      <w:pPr>
        <w:spacing w:after="0" w:line="20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PAMA also authorized the adoption of new, temporary billing codes and/or unique test identifiers for FDA-cleared or approved tests as well as advanced diagnostic laboratory tests. The American Medical Association has created a section of billing codes, Proprietary Laboratory Analyses (“PLA”), to facilitate implementation of this section of PAMA. These codes may apply to one or more of our tests if we apply for PLA coding.</w:t>
      </w:r>
    </w:p>
    <w:p>
      <w:pPr>
        <w:spacing w:after="0" w:line="203"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Reimbursement and billing for diagnostic services is highly complex, and errors in billing potentially can result denied claims and/or in substantial obligations to repay overpayments to payors. Laboratories must bill various payers, such as private third-party payers, including managed care organizations (“MCO”), and state and federal health care programs, such as Medicare and Medicaid, and each may have different billing requirements. Additionally, the audit requirements we must meet to ensure compliance with applicable laws and regulations, as well as our internal compliance policies and procedures, add further complexity to the billing process. Other factors that complicate billing include:</w:t>
      </w:r>
    </w:p>
    <w:p>
      <w:pPr>
        <w:spacing w:after="0" w:line="210" w:lineRule="exact"/>
        <w:rPr>
          <w:sz w:val="20"/>
          <w:szCs w:val="20"/>
          <w:color w:val="auto"/>
        </w:rPr>
      </w:pPr>
    </w:p>
    <w:p>
      <w:pPr>
        <w:ind w:left="720" w:hanging="36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variability in coverage and information requirements among various payers;</w:t>
      </w:r>
    </w:p>
    <w:p>
      <w:pPr>
        <w:spacing w:after="0" w:line="25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 financial assistance programs;</w:t>
      </w:r>
    </w:p>
    <w:p>
      <w:pPr>
        <w:spacing w:after="0" w:line="25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missing, incomplete or inaccurate billing information provided by ordering physicians;</w:t>
      </w:r>
    </w:p>
    <w:p>
      <w:pPr>
        <w:spacing w:after="0" w:line="25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billings to payers with whom we do not have contracts;</w:t>
      </w:r>
    </w:p>
    <w:p>
      <w:pPr>
        <w:spacing w:after="0" w:line="25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with payers as to which party is responsible for payment; and</w:t>
      </w:r>
    </w:p>
    <w:p>
      <w:pPr>
        <w:spacing w:after="0" w:line="25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with payers as to the appropriate level of reimbursement.</w:t>
      </w:r>
    </w:p>
    <w:p>
      <w:pPr>
        <w:spacing w:after="0" w:line="250"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auto"/>
        </w:rPr>
        <w:t>Depending on the reimbursement arrangement and applicable law, the party that reimburses us for our services may be:</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1378" w:right="1440" w:bottom="0" w:gutter="0" w:footer="0" w:header="0"/>
          <w:type w:val="continuous"/>
        </w:sectPr>
      </w:pPr>
    </w:p>
    <w:bookmarkStart w:id="23" w:name="page24"/>
    <w:bookmarkEnd w:id="23"/>
    <w:p>
      <w:pPr>
        <w:ind w:left="720" w:hanging="36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third party who provides coverage to the patient, such as an insurance company or MCO;</w:t>
      </w:r>
    </w:p>
    <w:p>
      <w:pPr>
        <w:spacing w:after="0" w:line="25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 or federal healthcare program; or</w:t>
      </w:r>
    </w:p>
    <w:p>
      <w:pPr>
        <w:spacing w:after="0" w:line="25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patient.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5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make our annual reports on Form 10-K, quarterly reports on Form 10-Q, current reports on Form 8-K and amendments to these reports, as well as our other SEC filings, available on our website, free of charge, as soon as reasonably practicable after they are electronically filed with or furnished to the SEC. Our website address is www.genedx.com. The information contained on our website is not incorporated by reference in this document.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You should carefully review and consider the following risk factors and the other information contained in this Annual Report on Form 10-K as well as in our other filings with the SEC as well as in our other filings with the SEC before deciding whether to invest in our securities.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securities could decline, and you could lose all or part of your investment. This discussion does not address all of the risks that we face, and we may face additional risks and uncertainties that are not presently known to us, or that we currently deem immaterial, which may also impair our business or financial condition. The following discussion should be read in conjunction with the consolidated financial statements and notes thereto included herein.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business is subject to a number of risks and uncertainties, including those risks discussed at length below.</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risks include, among others, the following:</w:t>
      </w:r>
    </w:p>
    <w:p>
      <w:pPr>
        <w:spacing w:after="0" w:line="230" w:lineRule="exact"/>
        <w:rPr>
          <w:sz w:val="20"/>
          <w:szCs w:val="20"/>
          <w:color w:val="auto"/>
        </w:rPr>
      </w:pPr>
    </w:p>
    <w:p>
      <w:pPr>
        <w:jc w:val="both"/>
        <w:ind w:left="720" w:hanging="360"/>
        <w:spacing w:after="0" w:line="266"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35"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intense competition. If we do not continue to innovate and provide products and services that are useful to customers, including providers and patients, and partners, we may not remain competitive, which could harm our business and operating results.</w:t>
      </w:r>
    </w:p>
    <w:p>
      <w:pPr>
        <w:spacing w:after="0" w:line="135"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43"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limited experience with the development and commercialization of our databases and our health information and genomic platforms.</w:t>
      </w:r>
    </w:p>
    <w:p>
      <w:pPr>
        <w:spacing w:after="0" w:line="12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need to raise additional capital to fund our existing operations, develop additional products and services, commercialize new products and services or expand our operations.</w:t>
      </w:r>
    </w:p>
    <w:p>
      <w:pPr>
        <w:spacing w:after="0" w:line="12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comply with federal and state laboratory licensing requirements or standards, we could lose the ability to perform our tests or experience disruptions to our business.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1378" w:right="1440" w:bottom="0" w:gutter="0" w:footer="0" w:header="0"/>
          <w:type w:val="continuous"/>
        </w:sectPr>
      </w:pPr>
    </w:p>
    <w:bookmarkStart w:id="24" w:name="page25"/>
    <w:bookmarkEnd w:id="24"/>
    <w:p>
      <w:pPr>
        <w:jc w:val="both"/>
        <w:ind w:left="720" w:hanging="360"/>
        <w:spacing w:after="0" w:line="266"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95"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95"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03"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03"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Uncertainty in the development and commercialization of our enhanced or new tests or services could materially adversely affect our business, financial condition and results of operations.</w:t>
      </w:r>
    </w:p>
    <w:p>
      <w:pPr>
        <w:spacing w:after="0" w:line="81"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03"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results could be subject to significant fluctuation, which could increase the volatility of our stock and warrant prices and cause losses to our stockholders.</w:t>
      </w:r>
    </w:p>
    <w:p>
      <w:pPr>
        <w:spacing w:after="0" w:line="81"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03"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realize the level of the anticipated benefits that we expect from exiting businesses and restructuring our operations, which may adversely impact our business and results of operations.</w:t>
      </w:r>
    </w:p>
    <w:p>
      <w:pPr>
        <w:spacing w:after="0" w:line="8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changes in FDA enforcement discretion for LDTs could subject our operations to much more significant regulatory requirements.</w:t>
      </w:r>
    </w:p>
    <w:p>
      <w:pPr>
        <w:spacing w:after="0" w:line="8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the HIPAA security, privacy and breach notification regulations may increase our costs.</w:t>
      </w:r>
    </w:p>
    <w:p>
      <w:pPr>
        <w:spacing w:after="0" w:line="150"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uncertainty related to healthcare reform, pricing, coverage and reimbursement, which could reduce our revenue.</w:t>
      </w:r>
    </w:p>
    <w:p>
      <w:pPr>
        <w:spacing w:after="0" w:line="8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effectively protect our proprietary products, processes, and technologies, including the confidentiality of our trade secrets, could harm our competitive position.</w:t>
      </w:r>
    </w:p>
    <w:p>
      <w:pPr>
        <w:spacing w:after="0" w:line="81"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95"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comply with the continued listing requirements of the Nasdaq, our Class A common stock may be delisted and the price of our Class A common stock and our ability to access the capital markets could be negatively impacted.</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Industry and Operations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1378" w:right="1440" w:bottom="0" w:gutter="0" w:footer="0" w:header="0"/>
          <w:type w:val="continuous"/>
        </w:sectPr>
      </w:pPr>
    </w:p>
    <w:bookmarkStart w:id="25" w:name="page26"/>
    <w:bookmarkEnd w:id="25"/>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We need to scale our infrastructure in advance of demand for our tests, and our failure to generate sufficient demand for our tests would have a negative impact on our business and our ability to attain profitability.</w:t>
      </w:r>
    </w:p>
    <w:p>
      <w:pPr>
        <w:spacing w:after="0" w:line="122"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Our success depends in large part on our ability to extend our market position, to provide customers with high-quality test reports quickly and at a lower price than our competitors, and to achieve sufficient test volume to realize economies of scale. In addition, we regularly evaluate and refine our testing process, often significantly updating our workflows, including with respect to exome sequencing and whole genome sequencing. In order to execute our business model, we intend to continue to invest heavily in order to significantly scale our infrastructure, including our testing capacity, particularly with respect to exome sequencing and whole genome sequencing to supplement our panel testing capabilities and information systems, expand our commercial operations, customer service, billing and systems processes and enhance our internal quality assurance program. We expect that much of this growth will be in advance of demand for our tests. Our current and future expense levels are to a large extent fixed and are largely based on investment plans and estimates of future revenue. Because the timing and amount of revenue from our tests is difficult to forecast, when revenue does not meet expectations, we may not be able to adjust our spending promptly or reduce spending to levels commensurate with our revenue. Even if we successfully scale our infrastructure and operations, there can be no assurance that tests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14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continue to generate substantial demand for our tests, our commercial success will be negatively affected.</w:t>
      </w:r>
    </w:p>
    <w:p>
      <w:pPr>
        <w:spacing w:after="0" w:line="11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Our business model assumes that we will be able to generate significant test volume, particularly with respect to exome sequencing and whole genome sequencing in addition to our panel testing offerings, and we may not succeed in continuing to drive adoption of our tests to achieve sufficient volumes. Inasmuch as detailed genetic data from exome and whole genome sequencing has only recently become available at relatively affordable prices, the continued pace and degree of clinical acceptance of the utility of such testing is uncertain. Specifically, it is uncertain how much genetic data will be accepted as necessary or useful, as well as how detailed that data should be, particularly since medical practitioners may have become accustomed to genetic testing that is specific to one or a few genes and may not embrace the utility of exome sequencing and whole genome sequencing. Given the substantial amount of additional information available from a broad-based testing panel such as ours, there may be distrust as to the reliability of such information when compared with more limited and focused genetic tests. To generate further demand for our tests, we will need to continue to make clinicians aware of the benefits of our tests, including the price, the breadth of our testing options, and the benefits of having additional genetic data available from which to make treatment decisions. A lack of or delay in clinical acceptance of our exome sequencing and whole genome sequencing testing, or our legacy broad-based panels testing, would negatively impact sales and market acceptance of our tests and limit our revenue growth and potential profitability. Genetic testing is expensive, and many potential customers may be sensitive to pricing. In addition, potential customers may not adopt our tests if adequate reimbursement is not available, or if we are not able to maintain low prices relative to our competitors.</w:t>
      </w:r>
    </w:p>
    <w:p>
      <w:pPr>
        <w:spacing w:after="0" w:line="15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If we are not able to generate demand for our tests at sufficient volume, or if it takes significantly more time to generate this demand than we anticipate, our business, prospects, financial condition and results of operations could be materially harmed.</w:t>
      </w:r>
    </w:p>
    <w:p>
      <w:pPr>
        <w:spacing w:after="0" w:line="12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laboratories become inoperable due to disasters, health epidemics or for any other reasons, we will be unable to perform tests and our business will be harmed.</w:t>
      </w:r>
    </w:p>
    <w:p>
      <w:pPr>
        <w:spacing w:after="0" w:line="11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We perform all of our exome sequencing and whole genome sequencing tests at our production facilities in Gaithersburg, Maryland. Our laboratories and the equipment we use to perform our tests would be costly to replace and could require substantial lead time to replace and qualify for use. Our laboratories may be harmed or rendered inoperable by natural or man-made disasters, including flooding, fire and power outages, or by health epidemics, which may render it difficult or impossible for us to perform our tests for some period of time. The inability to perform our tests or the backlog that could develop if our laboratories are inoperable for even a short period of time may result in the loss of customers or harm our reputation. Although we maintain insurance for damage to our</w:t>
      </w:r>
    </w:p>
    <w:p>
      <w:pPr>
        <w:sectPr>
          <w:pgSz w:w="12240" w:h="15840" w:orient="portrait"/>
          <w:cols w:equalWidth="0" w:num="1">
            <w:col w:w="9360"/>
          </w:cols>
          <w:pgMar w:left="1440" w:top="137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1372" w:right="1440" w:bottom="0" w:gutter="0" w:footer="0" w:header="0"/>
          <w:type w:val="continuous"/>
        </w:sectPr>
      </w:pPr>
    </w:p>
    <w:bookmarkStart w:id="26" w:name="page27"/>
    <w:bookmarkEnd w:id="26"/>
    <w:p>
      <w:pPr>
        <w:jc w:val="both"/>
        <w:spacing w:after="0" w:line="281" w:lineRule="auto"/>
        <w:rPr>
          <w:sz w:val="20"/>
          <w:szCs w:val="20"/>
          <w:color w:val="auto"/>
        </w:rPr>
      </w:pPr>
      <w:r>
        <w:rPr>
          <w:rFonts w:ascii="Times New Roman" w:cs="Times New Roman" w:eastAsia="Times New Roman" w:hAnsi="Times New Roman"/>
          <w:sz w:val="20"/>
          <w:szCs w:val="20"/>
          <w:color w:val="auto"/>
        </w:rPr>
        <w:t>property and the disruption of our business, this insurance may not be sufficient to cover all potential losses and may not continue to be available to us on acceptable terms, if at all.</w:t>
      </w:r>
    </w:p>
    <w:p>
      <w:pPr>
        <w:spacing w:after="0" w:line="11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Other companies or institutions may develop and market novel or improved technologies, which may make our technologies less competitive or obsolete.</w:t>
      </w:r>
    </w:p>
    <w:p>
      <w:pPr>
        <w:spacing w:after="0" w:line="11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exome and genome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testing and screening products, including exome and whole genome sequencing products, health information services, and analytics, and data science services, and other diagnostic products. These competitors include:</w:t>
      </w:r>
    </w:p>
    <w:p>
      <w:pPr>
        <w:spacing w:after="0" w:line="149" w:lineRule="exact"/>
        <w:rPr>
          <w:sz w:val="20"/>
          <w:szCs w:val="20"/>
          <w:color w:val="auto"/>
        </w:rPr>
      </w:pPr>
    </w:p>
    <w:p>
      <w:pPr>
        <w:jc w:val="both"/>
        <w:ind w:left="720" w:hanging="360"/>
        <w:spacing w:after="0" w:line="266"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35"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academic and scientific institutions;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governmental agencies; and</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and private research organizations.</w:t>
      </w:r>
    </w:p>
    <w:p>
      <w:pPr>
        <w:spacing w:after="0" w:line="19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exome and whole genome sequencing,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spacing w:after="0" w:line="14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face intense competition. If we do not continue to innovate and provide products and services that are useful to customers, including providers and patients, and partners, we may not remain competitive, which could harm our business and operating results.</w:t>
      </w:r>
    </w:p>
    <w:p>
      <w:pPr>
        <w:spacing w:after="0" w:line="13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spacing w:after="0" w:line="15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than our Company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1378" w:right="1440" w:bottom="0" w:gutter="0" w:footer="0" w:header="0"/>
          <w:type w:val="continuous"/>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20"/>
          <w:szCs w:val="20"/>
          <w:color w:val="auto"/>
        </w:rPr>
        <w:t>aggressively for our customers and partners in the market for genetic testing and screening, health information and data science products and services. Our competitors may be able to innovate and provide products and services faster than we can or may foresee the need for products and services before we do.</w:t>
      </w:r>
    </w:p>
    <w:p>
      <w:pPr>
        <w:spacing w:after="0" w:line="135"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genetic testing and screening, health information and data science products and services, our operating results could be harmed.</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3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correctly billed, and has received prior authorization. The commercial success of our current and future products, if approved, will depend on the extent to which our customers receive coverage and adequate reimbursement from third-party payors, including managed care organizations and government payers (e.g., Medicare and Medicaid).</w:t>
      </w:r>
    </w:p>
    <w:p>
      <w:pPr>
        <w:spacing w:after="0" w:line="14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(“CMS”).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5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 significant portion of the payments for our tests are paid or reimbursed under insurance programs with third-party payors. Billing and reimbursement for diagnostic tests is highly complex and closely scrutinized by payors. In particular, billing and reimbursement for multi-gene panel tests and other complex diagnostic tests continues to pose a particular risk of payor audit and potential overpayment obligations. Accurate billing requires sophisticated internal procedures and systems controls and ongoing oversight to ensure compliance with payor requirements.</w:t>
      </w:r>
    </w:p>
    <w:p>
      <w:pPr>
        <w:spacing w:after="0" w:line="14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43"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We have been required to repay certain amounts to payers as a result of such audits, including but not limited to the $42 million settlement</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1378" w:right="1440" w:bottom="0" w:gutter="0" w:footer="0" w:header="0"/>
          <w:type w:val="continuous"/>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20"/>
          <w:szCs w:val="20"/>
          <w:color w:val="auto"/>
        </w:rPr>
        <w:t>regarding certain overpayments to Legacy Sema4 allegedly received from a payor, and may be required to repay other payers for alleged overpayments due to lack of compliance with their reimbursement policies. For more information regarding this matter, see Note 4, “Revenue Recognition” to our consolidated financial statements included within this Annual Report. In addition to potential repayment obligations, failure to comply with payor reimbursement policies could result in government enforcement actions and, potentially, exclusion from certain payor programs, which could have a material adverse effect on our business.</w:t>
      </w:r>
    </w:p>
    <w:p>
      <w:pPr>
        <w:spacing w:after="0" w:line="14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3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limited experience with the development and commercialization of our databases and our health information and genomic platforms.</w:t>
      </w:r>
    </w:p>
    <w:p>
      <w:pPr>
        <w:spacing w:after="0" w:line="11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have limited experience with the development or commercialization of clinical or research products in connection with the databases we manage and to which we have access, including our Centrellis® platform.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(“GxP”) and data quality and integrity controls.</w:t>
      </w:r>
    </w:p>
    <w:p>
      <w:pPr>
        <w:spacing w:after="0" w:line="14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1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have incurred net losses and negative cash flows from operations since its inception, including net losses of $549.0 million, $245.4 million and $241.3 million for the years ended December 31, 2022, 2021 and 2020, respectively. As of December 31, 2022, we had an accumulated deficit of $1.1 billion. We expect to continue to generate significant operating losses for the foreseeable future.</w:t>
      </w:r>
    </w:p>
    <w:p>
      <w:pPr>
        <w:spacing w:after="0" w:line="14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We may seek to sell common or preferred equity or convertible debt securities, enter into a credit facility or another form of third-party funding or seek other debt financing. For example, we have an effective shelf registration statement that we filed with the SEC in August of 2022, registering $300 million shares of our Class A common stock and other securities. Following our recent public offerings of Class A common stock in January 2023, approximately $150 million of securities remained available under this registration statement.</w:t>
      </w:r>
    </w:p>
    <w:p>
      <w:pPr>
        <w:spacing w:after="0" w:line="144"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We may also consider raising additional capital in the future to expand our business, to pursue strategic investments, to take advantage of financing opportunities or for other reasons, including to:</w:t>
      </w:r>
    </w:p>
    <w:p>
      <w:pPr>
        <w:spacing w:after="0" w:line="121" w:lineRule="exact"/>
        <w:rPr>
          <w:sz w:val="20"/>
          <w:szCs w:val="20"/>
          <w:color w:val="auto"/>
        </w:rPr>
      </w:pPr>
    </w:p>
    <w:p>
      <w:pPr>
        <w:ind w:left="720" w:hanging="360"/>
        <w:spacing w:after="0" w:line="281"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our sales and marketing efforts to drive market adoption of our current and future products and services;</w:t>
      </w:r>
    </w:p>
    <w:p>
      <w:pPr>
        <w:spacing w:after="0" w:line="12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fund development efforts for our current and future products and services;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 our products and services into other disease indications and clinical applications;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license or invest in technologies;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1378" w:right="1440" w:bottom="0" w:gutter="0" w:footer="0" w:header="0"/>
          <w:type w:val="continuous"/>
        </w:sectPr>
      </w:pPr>
    </w:p>
    <w:bookmarkStart w:id="29" w:name="page30"/>
    <w:bookmarkEnd w:id="29"/>
    <w:p>
      <w:pPr>
        <w:ind w:left="720" w:hanging="36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or invest in complementary businesses or assets; and</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finance capital expenditures and general and administrative expenses.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present and future funding requirements will depend on many factors, including:</w:t>
      </w:r>
    </w:p>
    <w:p>
      <w:pPr>
        <w:spacing w:after="0" w:line="190" w:lineRule="exact"/>
        <w:rPr>
          <w:sz w:val="20"/>
          <w:szCs w:val="20"/>
          <w:color w:val="auto"/>
        </w:rPr>
      </w:pPr>
    </w:p>
    <w:p>
      <w:pPr>
        <w:ind w:left="720" w:hanging="36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revenue growth;</w:t>
      </w:r>
    </w:p>
    <w:p>
      <w:pPr>
        <w:spacing w:after="0" w:line="190"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rate of progress in establishing payor coverage and reimbursement arrangements with commercial third-party payors and government payors;</w:t>
      </w:r>
    </w:p>
    <w:p>
      <w:pPr>
        <w:spacing w:after="0" w:line="12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expanding our laboratory operations and offerings, including our sales and marketing efforts;</w:t>
      </w:r>
    </w:p>
    <w:p>
      <w:pPr>
        <w:spacing w:after="0" w:line="190"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rate of progress in, and cost of the sales and marketing activities associated with, establishing adoption of our Centrellis® solution;</w:t>
      </w:r>
    </w:p>
    <w:p>
      <w:pPr>
        <w:spacing w:after="0" w:line="12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rate of progress in, and cost of research and development activities associated with, products and services in research and early development;</w:t>
      </w:r>
    </w:p>
    <w:p>
      <w:pPr>
        <w:spacing w:after="0" w:line="12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competing technological, product and market developments;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related to international expansion; and</w:t>
      </w:r>
    </w:p>
    <w:p>
      <w:pPr>
        <w:spacing w:after="0" w:line="190"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cost of and delays in product development as a result of any regulatory oversight applicable to our products and services.</w:t>
      </w:r>
    </w:p>
    <w:p>
      <w:pPr>
        <w:spacing w:after="0" w:line="121"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Class A common stock.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1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Ethical, legal and social concerns related to the use of genomic medicine and health information analysis could reduce demand for our tests.</w:t>
      </w:r>
    </w:p>
    <w:p>
      <w:pPr>
        <w:spacing w:after="0" w:line="11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14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1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We are subject to Clinical Laboratory Improvement Amendments of 1988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1378" w:right="1440" w:bottom="0" w:gutter="0" w:footer="0" w:header="0"/>
          <w:type w:val="continuous"/>
        </w:sectPr>
      </w:pPr>
    </w:p>
    <w:bookmarkStart w:id="30" w:name="page31"/>
    <w:bookmarkEnd w:id="30"/>
    <w:p>
      <w:pPr>
        <w:jc w:val="both"/>
        <w:spacing w:after="0" w:line="260" w:lineRule="auto"/>
        <w:rPr>
          <w:sz w:val="20"/>
          <w:szCs w:val="20"/>
          <w:color w:val="auto"/>
        </w:rPr>
      </w:pPr>
      <w:r>
        <w:rPr>
          <w:rFonts w:ascii="Times New Roman" w:cs="Times New Roman" w:eastAsia="Times New Roman" w:hAnsi="Times New Roman"/>
          <w:sz w:val="20"/>
          <w:szCs w:val="20"/>
          <w:color w:val="auto"/>
        </w:rPr>
        <w:t>programs, as well as many private third-party payors, for our tests. We have current CLIA, CAP, and other certifications to conduct our tests at our laboratories in Maryland. To renew these certifications, we are subject to survey and inspection on a regular basis and at the request of the certifying bodies. Moreover, CLIA inspectors may make random inspections of our clinical reference laboratories.</w:t>
      </w:r>
    </w:p>
    <w:p>
      <w:pPr>
        <w:spacing w:after="0" w:line="143"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We would also be required to maintain in-state licenses if we were to conduct testing in other states. Several states require the licensure of out-of-state laboratories that accept specimens from certain states.</w:t>
      </w:r>
    </w:p>
    <w:p>
      <w:pPr>
        <w:spacing w:after="0" w:line="121"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In addition to having laboratory licenses in New York, our clinical reference laboratories are approved on test-specific bases for the tests they run as laboratory-developed tests (“LDTs”), by the New York State Department of Health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4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53"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The College of American Pathologists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 laboratories. Failure to maintain CAP accreditation could have a material adverse effect on the sales of our tests and the results of our operations.</w:t>
      </w:r>
    </w:p>
    <w:p>
      <w:pPr>
        <w:spacing w:after="0" w:line="1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15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1378" w:right="1440" w:bottom="0" w:gutter="0" w:footer="0" w:header="0"/>
          <w:type w:val="continuous"/>
        </w:sectPr>
      </w:pPr>
    </w:p>
    <w:bookmarkStart w:id="31" w:name="page32"/>
    <w:bookmarkEnd w:id="31"/>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In 2020, we received $5.4 million as part of the stimulus, comprised of $2.6 million received under the PRF and $2.8 million received under the ERC. In 2021, we received an additional $5.6 million under the PRF distribution. Funds provided under the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Funds provided under the ERC distributions are refundable tax credits for 50% of qualified wages paid to employees during the pandemic. A company is eligible for the ERC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our accounting records, which impacted the applicable periods and calculations for determining eligibility and may no longer meet the eligibility requirements. As such, we have deferred the recognition of the funds received under the ERC distribution and recorded the proceeds in other liabilities on the balance sheets as of December 31, 2022, and December 31, 2021.</w:t>
      </w:r>
    </w:p>
    <w:p>
      <w:pPr>
        <w:spacing w:after="0" w:line="15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Due to the high degree of uncertainty regarding the implementation of the CARES Act, the Consolidated Appropriations Act, 2021, other stimulus legislation and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terms and conditions of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14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COVID-19 pandemic affected and any similar public health emergency in the future may materially and adversely affect our business and financial results.</w:t>
      </w:r>
    </w:p>
    <w:p>
      <w:pPr>
        <w:spacing w:after="0" w:line="11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COVID-19 pandemic, together with related precautionary measures in response to the pandemic, materially disrupted our business during certain periods in 2021. Although our test volumes improved to what would be considered normalized market conditions during 2022, the COVID-19 pandemic, or other similar public health emergencies in the future, may disrupt our business in the future and materially and adversely affect our business and financial results.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Model</w:t>
      </w: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56"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9"/>
          <w:szCs w:val="19"/>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geographies in which we operate.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1378" w:right="144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color w:val="auto"/>
        </w:rPr>
        <w:t>organization grows, we may find it increasingly difficult to maintain the beneficial aspects of our corporate culture.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could negatively impact our ability to retain and attract employees and our future success.</w:t>
      </w:r>
    </w:p>
    <w:p>
      <w:pPr>
        <w:spacing w:after="0" w:line="18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loss of any member or change in structure of our senior management team could adversely affect our business.</w:t>
      </w:r>
    </w:p>
    <w:p>
      <w:pPr>
        <w:spacing w:after="0" w:line="13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Chief Executive Officer, Katherine Stueland,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In addition, we do not have long-term retention agreements in place with our executive officers.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1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manage our future growth effectively, which could make it difficult to execute our business strategy.</w:t>
      </w:r>
    </w:p>
    <w:p>
      <w:pPr>
        <w:spacing w:after="0" w:line="137"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w:t>
      </w:r>
      <w:r>
        <w:rPr>
          <w:rFonts w:ascii="Times New Roman" w:cs="Times New Roman" w:eastAsia="Times New Roman" w:hAnsi="Times New Roman"/>
          <w:sz w:val="31"/>
          <w:szCs w:val="31"/>
          <w:color w:val="4F4F4F"/>
          <w:vertAlign w:val="superscript"/>
        </w:rPr>
        <w:t>®</w:t>
      </w:r>
      <w:r>
        <w:rPr>
          <w:rFonts w:ascii="Times New Roman" w:cs="Times New Roman" w:eastAsia="Times New Roman" w:hAnsi="Times New Roman"/>
          <w:sz w:val="20"/>
          <w:szCs w:val="20"/>
          <w:color w:val="auto"/>
        </w:rPr>
        <w:t xml:space="preserve"> platform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spacing w:after="0" w:line="16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International expansion of our business could expose us to business, regulatory, political, operational, financial and economic risks associated with doing business outside of the United States and Canada.</w:t>
      </w:r>
    </w:p>
    <w:p>
      <w:pPr>
        <w:spacing w:after="0" w:line="13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spacing w:after="0" w:line="164" w:lineRule="exact"/>
        <w:rPr>
          <w:sz w:val="20"/>
          <w:szCs w:val="20"/>
          <w:color w:val="auto"/>
        </w:rPr>
      </w:pPr>
    </w:p>
    <w:p>
      <w:pPr>
        <w:jc w:val="both"/>
        <w:ind w:left="720" w:hanging="360"/>
        <w:spacing w:after="0" w:line="260"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payor regimes and other governmental approvals, permits and licenses;</w:t>
      </w:r>
    </w:p>
    <w:p>
      <w:pPr>
        <w:spacing w:after="0" w:line="163"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us, our collaborators or our distributors to obtain regulatory clearance, authorization or approval for the use of our products and services in various countries;</w:t>
      </w:r>
    </w:p>
    <w:p>
      <w:pPr>
        <w:spacing w:after="0" w:line="14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potentially relevant third-party patent rights;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1378" w:right="1440" w:bottom="0" w:gutter="0" w:footer="0" w:header="0"/>
          <w:type w:val="continuous"/>
        </w:sectPr>
      </w:pPr>
    </w:p>
    <w:bookmarkStart w:id="33" w:name="page34"/>
    <w:bookmarkEnd w:id="33"/>
    <w:p>
      <w:pPr>
        <w:ind w:left="720" w:hanging="36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complexities and difficulties in obtaining intellectual property protection and enforcing our intellectual property;</w:t>
      </w:r>
    </w:p>
    <w:p>
      <w:pPr>
        <w:spacing w:after="0" w:line="14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staffing and managing foreign operations, including repatriating foreign earned profits;</w:t>
      </w:r>
    </w:p>
    <w:p>
      <w:pPr>
        <w:spacing w:after="0" w:line="210"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complexities associated with managing multiple payor reimbursement regimes, government payors or patient self-pay systems;</w:t>
      </w:r>
    </w:p>
    <w:p>
      <w:pPr>
        <w:spacing w:after="0" w:line="14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negotiating favorable reimbursement negotiations with governmental authorities;</w:t>
      </w:r>
    </w:p>
    <w:p>
      <w:pPr>
        <w:spacing w:after="0" w:line="210"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logistics and regulations associated with shipping samples, including infrastructure conditions and transportation delays;</w:t>
      </w:r>
    </w:p>
    <w:p>
      <w:pPr>
        <w:spacing w:after="0" w:line="14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limits in our ability to penetrate international markets if we are not able to conduct our clinical diagnostic services locally;</w:t>
      </w:r>
    </w:p>
    <w:p>
      <w:pPr>
        <w:spacing w:after="0" w:line="141"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155"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international regulations and license requirements that may restrict foreign investment in and operation of the internet, IT infrastructure, data centers and other sectors, and international transfers of data;</w:t>
      </w:r>
    </w:p>
    <w:p>
      <w:pPr>
        <w:spacing w:after="0" w:line="14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natural disasters, political and economic instability, including wars, terrorism and political unrest, and outbreak of disease;</w:t>
      </w:r>
    </w:p>
    <w:p>
      <w:pPr>
        <w:spacing w:after="0" w:line="14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boycotts, curtailment of trade and other business restrictions; and</w:t>
      </w:r>
    </w:p>
    <w:p>
      <w:pPr>
        <w:spacing w:after="0" w:line="30" w:lineRule="exact"/>
        <w:rPr>
          <w:rFonts w:ascii="Times New Roman" w:cs="Times New Roman" w:eastAsia="Times New Roman" w:hAnsi="Times New Roman"/>
          <w:sz w:val="20"/>
          <w:szCs w:val="20"/>
          <w:color w:val="auto"/>
        </w:rPr>
      </w:pPr>
    </w:p>
    <w:p>
      <w:pPr>
        <w:ind w:left="720" w:right="20" w:hanging="360"/>
        <w:spacing w:after="0" w:line="236" w:lineRule="auto"/>
        <w:tabs>
          <w:tab w:leader="none" w:pos="720" w:val="left"/>
        </w:tabs>
        <w:numPr>
          <w:ilvl w:val="0"/>
          <w:numId w:val="22"/>
        </w:numPr>
        <w:rPr>
          <w:rFonts w:ascii="Calibri" w:cs="Calibri" w:eastAsia="Calibri" w:hAnsi="Calibri"/>
          <w:sz w:val="20"/>
          <w:szCs w:val="20"/>
          <w:b w:val="1"/>
          <w:bCs w:val="1"/>
          <w:color w:val="auto"/>
        </w:rPr>
      </w:pPr>
      <w:r>
        <w:rPr>
          <w:rFonts w:ascii="Times New Roman" w:cs="Times New Roman" w:eastAsia="Times New Roman" w:hAnsi="Times New Roman"/>
          <w:sz w:val="20"/>
          <w:szCs w:val="20"/>
          <w:color w:val="auto"/>
        </w:rPr>
        <w:t>regulatory and compliance risks that relate to maintaining accurate information and control over sales and distributors’ activities that may fall within the purview of the Foreign Corrupt Practices Act of 1977 (the “FCPA”), its books and records provisions, or its anti-bribery provisions, Canada’s Corruption of Foreign Public Officials Act, or laws similar to the FCPA in other jurisdictions in which we may in the future operate, such as the United Kingdom’s Bribery Act of 2010 and anti-bribery requirements of member states in the European Union (the “EU”).</w:t>
      </w:r>
    </w:p>
    <w:p>
      <w:pPr>
        <w:spacing w:after="0" w:line="153"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Any of these factors could significantly harm our future international expansion and operations and, consequently, our revenue and results of operations.</w:t>
      </w:r>
    </w:p>
    <w:p>
      <w:pPr>
        <w:spacing w:after="0" w:line="13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Unfavorable U.S. or global economic conditions could adversely affect our business, financial condition or results of operations.</w:t>
      </w:r>
    </w:p>
    <w:p>
      <w:pPr>
        <w:spacing w:after="0" w:line="13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Our results of operations could be adversely affected by general conditions in the global economy and financial markets. A severe or prolonged economic downturn or increase in inflation and interest rates could result in a variety of risks to our business, including weakened demand for our products and services, increased costs and expenses and a reduced ability to raise additional capital when needed on favorable terms, if at all. A weak declining or inflationary economy could also strain our collaborators and suppliers, resulting in supply disruption, or cause delays in their payments to us. For example, we have experienced and may continue to experience interruptions in the supply of the diagnostic testing materials necessary for our testing products and material and shipping cost increases. We also have significant supply contracts that are short-term and, as we enter into the renewal cycles for these contracts, we may face material price increases upon renewal.</w:t>
      </w:r>
    </w:p>
    <w:p>
      <w:pPr>
        <w:spacing w:after="0" w:line="16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In particular, challenging macroeconomic conditions, including cost inflation, decreases in per capita income and levels of disposable income, increased and/or prolonged unemployment or a decline in consumer confidence, as well as limited or significantly reduced points of access of our tests, could have a material adverse effect on the demand for our tests. Under difficult economic conditions, consumers may seek to reduce discretionary spending by forgoing our tests. Decreased demand for our tests, could negatively affect our overall financial performance.</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1378" w:right="1440" w:bottom="0" w:gutter="0" w:footer="0" w:header="0"/>
          <w:type w:val="continuous"/>
        </w:sectPr>
      </w:pPr>
    </w:p>
    <w:bookmarkStart w:id="34" w:name="page35"/>
    <w:bookmarkEnd w:id="34"/>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Any of the foregoing could harm our business and we cannot anticipate all of the ways in which the current economic climate and financial market conditions could adversely impact our business, financial condition, or results of operations.</w:t>
      </w:r>
    </w:p>
    <w:p>
      <w:pPr>
        <w:spacing w:after="0" w:line="14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5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15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7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we face.</w:t>
      </w:r>
    </w:p>
    <w:p>
      <w:pPr>
        <w:spacing w:after="0" w:line="17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pacing w:after="0" w:line="1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1378" w:right="1440" w:bottom="0" w:gutter="0" w:footer="0" w:header="0"/>
          <w:type w:val="continuous"/>
        </w:sectPr>
      </w:pPr>
    </w:p>
    <w:bookmarkStart w:id="35" w:name="page36"/>
    <w:bookmarkEnd w:id="35"/>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We currently rely upon third-party services for data storage and workflow management, including cloud storage solution providers, such as Microsoft Azure (“Azure”), Amazon Web Services, (“AWS”), and Google Cloud Platform (“GCP”). We rely on each of these providers to complete several vital workflows in our health information and data science service delivery. To varying degrees some of those services are proprietary to how each platform performs in connection with our current usage of the services.</w:t>
      </w:r>
    </w:p>
    <w:p>
      <w:pPr>
        <w:spacing w:after="0" w:line="164"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Nearly all of our data storage and analytics are conducted on, and the data and content we generate on our platforms are processed through, servers hosted by these providers, particularly Azure,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Azure, AWS or GCP, and if such agreements are terminated, we may not be able to enter into similar relationships in the future on reasonable terms or at all.</w:t>
      </w:r>
    </w:p>
    <w:p>
      <w:pPr>
        <w:spacing w:after="0" w:line="16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current and future products and services may never achieve significant commercial market acceptance.</w:t>
      </w:r>
    </w:p>
    <w:p>
      <w:pPr>
        <w:spacing w:after="0" w:line="219"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Our success depends on the market’s confidence that we can provide data-driven research and diagnostic products and services that improve clinical outcomes, lower healthcare costs and enable better product development by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w:t>
      </w:r>
      <w:r>
        <w:rPr>
          <w:rFonts w:ascii="Times New Roman" w:cs="Times New Roman" w:eastAsia="Times New Roman" w:hAnsi="Times New Roman"/>
          <w:sz w:val="31"/>
          <w:szCs w:val="31"/>
          <w:color w:val="4F4F4F"/>
          <w:vertAlign w:val="superscript"/>
        </w:rPr>
        <w:t>®</w:t>
      </w:r>
      <w:r>
        <w:rPr>
          <w:rFonts w:ascii="Times New Roman" w:cs="Times New Roman" w:eastAsia="Times New Roman" w:hAnsi="Times New Roman"/>
          <w:sz w:val="20"/>
          <w:szCs w:val="20"/>
          <w:color w:val="auto"/>
        </w:rPr>
        <w:t xml:space="preserve"> platform in general.</w:t>
      </w:r>
    </w:p>
    <w:p>
      <w:pPr>
        <w:spacing w:after="0" w:line="177"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We and our collaborators may not succeed in achieving significant commercial market acceptance for our current or future products and services due to a number of factors, including:</w:t>
      </w:r>
    </w:p>
    <w:p>
      <w:pPr>
        <w:spacing w:after="0" w:line="114" w:lineRule="exact"/>
        <w:rPr>
          <w:sz w:val="20"/>
          <w:szCs w:val="20"/>
          <w:color w:val="auto"/>
        </w:rPr>
      </w:pPr>
    </w:p>
    <w:p>
      <w:pPr>
        <w:ind w:left="720" w:right="100" w:hanging="360"/>
        <w:spacing w:after="0" w:line="271" w:lineRule="auto"/>
        <w:tabs>
          <w:tab w:leader="none" w:pos="720" w:val="left"/>
        </w:tabs>
        <w:numPr>
          <w:ilvl w:val="0"/>
          <w:numId w:val="23"/>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our ability to demonstrate the utility of our platforms including Centrellis</w:t>
      </w:r>
      <w:r>
        <w:rPr>
          <w:rFonts w:ascii="Times New Roman" w:cs="Times New Roman" w:eastAsia="Times New Roman" w:hAnsi="Times New Roman"/>
          <w:sz w:val="31"/>
          <w:szCs w:val="31"/>
          <w:color w:val="4F4F4F"/>
          <w:vertAlign w:val="superscript"/>
        </w:rPr>
        <w:t>®</w:t>
      </w:r>
      <w:r>
        <w:rPr>
          <w:rFonts w:ascii="Times New Roman" w:cs="Times New Roman" w:eastAsia="Times New Roman" w:hAnsi="Times New Roman"/>
          <w:sz w:val="20"/>
          <w:szCs w:val="20"/>
          <w:color w:val="auto"/>
        </w:rPr>
        <w:t>, and related products and services and their potential advantages over existing clinical artificial intelligence technology, life sciences research, clinical diagnostic and drug discovery technologies to academic institutions, biopharma companies and the medical community;</w:t>
      </w:r>
    </w:p>
    <w:p>
      <w:pPr>
        <w:spacing w:after="0" w:line="150" w:lineRule="exact"/>
        <w:rPr>
          <w:rFonts w:ascii="Arial" w:cs="Arial" w:eastAsia="Arial" w:hAnsi="Arial"/>
          <w:sz w:val="24"/>
          <w:szCs w:val="24"/>
          <w:b w:val="1"/>
          <w:bCs w:val="1"/>
          <w:color w:val="auto"/>
        </w:rPr>
      </w:pPr>
    </w:p>
    <w:p>
      <w:pPr>
        <w:jc w:val="both"/>
        <w:ind w:left="720" w:hanging="360"/>
        <w:spacing w:after="0" w:line="266"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1378" w:right="1440" w:bottom="0" w:gutter="0" w:footer="0" w:header="0"/>
          <w:type w:val="continuous"/>
        </w:sectPr>
      </w:pPr>
    </w:p>
    <w:bookmarkStart w:id="36" w:name="page37"/>
    <w:bookmarkEnd w:id="36"/>
    <w:p>
      <w:pPr>
        <w:jc w:val="both"/>
        <w:ind w:left="720" w:hanging="360"/>
        <w:spacing w:after="0" w:line="266"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155"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of adoption of our platforms and related products and services by academic institutions, clinicians, patients, key opinion leaders, advocacy groups and biopharma companies; and</w:t>
      </w:r>
    </w:p>
    <w:p>
      <w:pPr>
        <w:spacing w:after="0" w:line="14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our investments in product and services, and technological innovation and commercial growth.</w:t>
      </w:r>
    </w:p>
    <w:p>
      <w:pPr>
        <w:spacing w:after="0" w:line="141"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20"/>
          <w:szCs w:val="20"/>
          <w:color w:val="auto"/>
        </w:rPr>
        <w:t>Additionally, our customers and collaborators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1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5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w:t>
      </w:r>
    </w:p>
    <w:p>
      <w:pPr>
        <w:spacing w:after="0" w:line="1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estimated the global market opportunity for our current and future products and services, and these markets may be smaller than we estimate.</w:t>
      </w:r>
    </w:p>
    <w:p>
      <w:pPr>
        <w:spacing w:after="0" w:line="13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Our estimates of the global market opportunity for our current products and services and those under development are based on a number of internal and third-party estimates, including, the market opportunity for rare disease and pediatric developmental disorders, adult disorders and newborn screening.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1378" w:right="1440" w:bottom="0" w:gutter="0" w:footer="0" w:header="0"/>
          <w:type w:val="continuous"/>
        </w:sectPr>
      </w:pPr>
    </w:p>
    <w:bookmarkStart w:id="37" w:name="page38"/>
    <w:bookmarkEnd w:id="37"/>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3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Our success will depend in part on our ability to effectively introduce enhanced or new offerings, with a focus on expanding the clinical utility and application of exome and whole genome sequencing and developing solutions our health information platform can provide to partners.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7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have relatively limited experience developing and commercializing products and services outside of the diagnostics business,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Class A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w:t>
      </w:r>
    </w:p>
    <w:p>
      <w:pPr>
        <w:spacing w:after="0" w:line="17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cannot provide assurance that we can successfully complete the development of any new or enhanced product, or that we can establish or maintain the collaborative relationships that may be essential to our collaborators’ goals, including clinical development or commercialization efforts. For example,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spacing w:after="0" w:line="17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1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237" w:lineRule="exact"/>
        <w:rPr>
          <w:sz w:val="20"/>
          <w:szCs w:val="20"/>
          <w:color w:val="auto"/>
        </w:rPr>
      </w:pPr>
    </w:p>
    <w:p>
      <w:pPr>
        <w:ind w:right="480" w:firstLine="360"/>
        <w:spacing w:after="0" w:line="243" w:lineRule="auto"/>
        <w:rPr>
          <w:sz w:val="20"/>
          <w:szCs w:val="20"/>
          <w:color w:val="auto"/>
        </w:rPr>
      </w:pPr>
      <w:r>
        <w:rPr>
          <w:rFonts w:ascii="Times New Roman" w:cs="Times New Roman" w:eastAsia="Times New Roman" w:hAnsi="Times New Roman"/>
          <w:sz w:val="19"/>
          <w:szCs w:val="19"/>
          <w:color w:val="auto"/>
        </w:rPr>
        <w:t>Accessing, combining, curating, and analyzing health information, including longitudinal patient medical history data and genetic data, are core features of the Centrellis</w:t>
      </w:r>
      <w:r>
        <w:rPr>
          <w:rFonts w:ascii="Times New Roman" w:cs="Times New Roman" w:eastAsia="Times New Roman" w:hAnsi="Times New Roman"/>
          <w:sz w:val="30"/>
          <w:szCs w:val="30"/>
          <w:color w:val="4F4F4F"/>
          <w:vertAlign w:val="superscript"/>
        </w:rPr>
        <w:t>®</w:t>
      </w:r>
      <w:r>
        <w:rPr>
          <w:rFonts w:ascii="Times New Roman" w:cs="Times New Roman" w:eastAsia="Times New Roman" w:hAnsi="Times New Roman"/>
          <w:sz w:val="19"/>
          <w:szCs w:val="19"/>
          <w:color w:val="auto"/>
        </w:rPr>
        <w:t xml:space="preserve"> platform and key elements of our long-term business model. The regulatory landscape around the storage, processing and deidentification of genetic data is</w:t>
      </w:r>
    </w:p>
    <w:p>
      <w:pPr>
        <w:sectPr>
          <w:pgSz w:w="12240" w:h="15840" w:orient="portrait"/>
          <w:cols w:equalWidth="0" w:num="1">
            <w:col w:w="9360"/>
          </w:cols>
          <w:pgMar w:left="1440" w:top="1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1369" w:right="1440" w:bottom="0" w:gutter="0" w:footer="0" w:header="0"/>
          <w:type w:val="continuous"/>
        </w:sectPr>
      </w:pPr>
    </w:p>
    <w:bookmarkStart w:id="38" w:name="page39"/>
    <w:bookmarkEnd w:id="38"/>
    <w:p>
      <w:pPr>
        <w:ind w:right="20"/>
        <w:spacing w:after="0" w:line="281" w:lineRule="auto"/>
        <w:rPr>
          <w:sz w:val="20"/>
          <w:szCs w:val="20"/>
          <w:color w:val="auto"/>
        </w:rPr>
      </w:pPr>
      <w:r>
        <w:rPr>
          <w:rFonts w:ascii="Times New Roman" w:cs="Times New Roman" w:eastAsia="Times New Roman" w:hAnsi="Times New Roman"/>
          <w:sz w:val="20"/>
          <w:szCs w:val="20"/>
          <w:color w:val="auto"/>
        </w:rPr>
        <w:t>evolving globally and greatly impacts the ability of us, our strategic partners and collaborators to process and use the data in connection with our products and services.</w:t>
      </w:r>
    </w:p>
    <w:p>
      <w:pPr>
        <w:spacing w:after="0" w:line="141"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spacing w:after="0" w:line="173"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Our future success depends in part on our ability to maintain and grow our existing relationships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products and services do not perform as expected, we may not realize the expected benefits of such products and services.</w:t>
      </w:r>
    </w:p>
    <w:p>
      <w:pPr>
        <w:spacing w:after="0" w:line="13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163"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1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1378" w:right="1440" w:bottom="0" w:gutter="0" w:footer="0" w:header="0"/>
          <w:type w:val="continuous"/>
        </w:sectPr>
      </w:pPr>
    </w:p>
    <w:bookmarkStart w:id="39" w:name="page40"/>
    <w:bookmarkEnd w:id="39"/>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Class A common stock, which could result in additional dilution of the percentage ownership of our stockholders and could cause the price of our Class A common stock and warrants to decline.</w:t>
      </w:r>
    </w:p>
    <w:p>
      <w:pPr>
        <w:spacing w:after="0" w:line="18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14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3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never become profitable.</w:t>
      </w:r>
    </w:p>
    <w:p>
      <w:pPr>
        <w:spacing w:after="0" w:line="21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We have incurred losses since our formation and we expect to continue to generate significant operating losses for the foreseeable future. As of December 31, 2022, and December 31, 2021, we have an accumulated deficit of approximately $1.1 billion and $575.4 million, respectively. We expect to continue investing significantly toward development and commercialization of our products and services and expect to continue efforts to reduce operating costs. If our revenue does not grow significantly, or if we are unable to achieve planned cost reductions, we will not be profitable. We cannot be certain that the revenue from the sale of any products or services based on our technologies will be sufficient to make us profitable.</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operating results could be subject to significant fluctuation, which could increase the volatility of our stock and warrant prices and cause losses to our stockholders.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1378" w:right="1440" w:bottom="0" w:gutter="0" w:footer="0" w:header="0"/>
          <w:type w:val="continuous"/>
        </w:sectPr>
      </w:pPr>
    </w:p>
    <w:bookmarkStart w:id="40" w:name="page41"/>
    <w:bookmarkEnd w:id="40"/>
    <w:p>
      <w:pPr>
        <w:ind w:firstLine="360"/>
        <w:spacing w:after="0" w:line="281" w:lineRule="auto"/>
        <w:rPr>
          <w:sz w:val="20"/>
          <w:szCs w:val="20"/>
          <w:color w:val="auto"/>
        </w:rPr>
      </w:pPr>
      <w:r>
        <w:rPr>
          <w:rFonts w:ascii="Times New Roman" w:cs="Times New Roman" w:eastAsia="Times New Roman" w:hAnsi="Times New Roman"/>
          <w:sz w:val="20"/>
          <w:szCs w:val="20"/>
          <w:color w:val="auto"/>
        </w:rPr>
        <w:t>Our revenues and results of operations may fluctuate significantly, depending on a variety of factors, including the following:</w:t>
      </w:r>
    </w:p>
    <w:p>
      <w:pPr>
        <w:spacing w:after="0" w:line="141" w:lineRule="exact"/>
        <w:rPr>
          <w:sz w:val="20"/>
          <w:szCs w:val="20"/>
          <w:color w:val="auto"/>
        </w:rPr>
      </w:pPr>
    </w:p>
    <w:p>
      <w:pPr>
        <w:ind w:left="720" w:hanging="36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in marketing and selling, and changes in demand for, our tests, and the level of reimbursement and collection obtained for such tests;</w:t>
      </w:r>
    </w:p>
    <w:p>
      <w:pPr>
        <w:spacing w:after="0" w:line="141"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63"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in collecting payments from third-party payors, patients and collaborative partners, variation in the timing of these payments and recognition of these payments as revenues;</w:t>
      </w:r>
    </w:p>
    <w:p>
      <w:pPr>
        <w:spacing w:after="0" w:line="14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pricing of our tests, including potential changes in CMS or other reimbursement rates;</w:t>
      </w:r>
    </w:p>
    <w:p>
      <w:pPr>
        <w:spacing w:after="0" w:line="210"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spacing w:after="0" w:line="155"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155"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amount and timing of our selling and marketing costs and our ability to manage costs and expenses and effectively implement our business;</w:t>
      </w:r>
    </w:p>
    <w:p>
      <w:pPr>
        <w:spacing w:after="0" w:line="14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research and development activities; and</w:t>
      </w:r>
    </w:p>
    <w:p>
      <w:pPr>
        <w:spacing w:after="0" w:line="210"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collect, use, and commercialize data in a changing regulatory environment at a time when the public is growing increasingly concerned about privacy.</w:t>
      </w:r>
    </w:p>
    <w:p>
      <w:pPr>
        <w:spacing w:after="0" w:line="13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revenue growth rate could decline over time, and it may experience downward pressure on our operating margins in the future.</w:t>
      </w:r>
    </w:p>
    <w:p>
      <w:pPr>
        <w:spacing w:after="0" w:line="13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64"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spacing w:after="0" w:line="169"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Due to these factors and the evolving nature of our business, our historical projected revenue growth rate and historical gross operating margins may not be indicative of our future performance.</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1378" w:right="1440" w:bottom="0" w:gutter="0" w:footer="0" w:header="0"/>
          <w:type w:val="continuous"/>
        </w:sectPr>
      </w:pPr>
    </w:p>
    <w:bookmarkStart w:id="41" w:name="page42"/>
    <w:bookmarkEnd w:id="41"/>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4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In the course of preparing Legacy Sema4’s financial statements as of December 31, 2020, we previously identified material weaknesses in our internal control over financial reporting. Certain of these material weaknesses remain unremediated as of December 31, 2022. For a discussion of these material weaknesses, see “Item 9A. Controls and Procedures”,</w:t>
      </w:r>
    </w:p>
    <w:p>
      <w:pPr>
        <w:spacing w:after="0" w:line="16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Our management is actively engaged and committed to taking the steps necessary to remediate the control deficiencies that constituted the material weaknesses. However, we cannot guarantee that the steps we have taken or may subsequently take have been or will be sufficient to remediate the material weaknesses or ensure that our internal controls are effective. For a discussion of our remediation plan and actions, see “Item 9A. Controls and Procedures.”</w:t>
      </w:r>
    </w:p>
    <w:p>
      <w:pPr>
        <w:spacing w:after="0" w:line="164"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Times New Roman" w:cs="Times New Roman" w:eastAsia="Times New Roman" w:hAnsi="Times New Roman"/>
          <w:sz w:val="20"/>
          <w:szCs w:val="20"/>
          <w:b w:val="1"/>
          <w:bCs w:val="1"/>
          <w:i w:val="1"/>
          <w:iCs w:val="1"/>
          <w:color w:val="auto"/>
        </w:rPr>
        <w:t>Risks Related to Being a Public Company—Our 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controls over financial reporting may not be effective and our independent registered public accounting firm may not be able to certify as to their effectiveness, which could have a significant and adverse effect on our business and reputation.</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 carry forwards and certain other tax attributes may be limited.</w:t>
      </w:r>
    </w:p>
    <w:p>
      <w:pPr>
        <w:spacing w:after="0" w:line="219"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As of December 31, 2022, our total gross deferred tax assets were $281.0 million. Future realization of the tax benefits of existing temporary differences and carryforwards ultimately depends on the existence of sufficient taxable income within the carryforward period. As of December 31, 2022, 2021, and 2020, the Company performed an evaluation to determine whether a valuation allowance was needed. Based on the Company’s analysis, which considered all available evidence, both positive and negative, the Company determined that it is more likely than not that a significant portion of its deferred tax assets will not be realized. Accordingly, the Company maintained a partial valuation allowance as of December 31, 2022 and a full valuation allowance as of December 31, 2021 and 2020.</w:t>
      </w:r>
    </w:p>
    <w:p>
      <w:pPr>
        <w:spacing w:after="0" w:line="16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Furthermore, under Section 382 of the Internal Revenue Code of 1986, as amended (the “Internal Revenue Code”), if a corporation undergoes an “ownership change,” the corporation’s ability to use its pre-change net operating loss carryforwards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or the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Key Relationships</w:t>
      </w:r>
    </w:p>
    <w:p>
      <w:pPr>
        <w:spacing w:after="0" w:line="20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rely on Mount Sinai, a related party, for a portion of our data programs, and we have entered into certain other arrangements with Mount Sinai.</w:t>
      </w:r>
    </w:p>
    <w:p>
      <w:pPr>
        <w:sectPr>
          <w:pgSz w:w="12240" w:h="15840" w:orient="portrait"/>
          <w:cols w:equalWidth="0" w:num="1">
            <w:col w:w="9360"/>
          </w:cols>
          <w:pgMar w:left="1440" w:top="1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1369" w:right="1440" w:bottom="0" w:gutter="0" w:footer="0" w:header="0"/>
          <w:type w:val="continuous"/>
        </w:sectPr>
      </w:pPr>
    </w:p>
    <w:bookmarkStart w:id="42" w:name="page43"/>
    <w:bookmarkEnd w:id="42"/>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We rely on the Mount Sinai Health System (together with its related entities, (“Mount Sinai”), which is a related party, for substantially all of the de-identified clinical records in our databases. In addition, we sublease certain facilities from Mount Sinai, we provide certain research and data services to Mount Sinai, and we and Mount Sinai have entered into certain collaborative and commercial arrangements. Certain of our employees perform duties for or on behalf of Mount Sinai. Furthermore, we may in the future enter into other contracts for services or other engagements with Mount Sinai.</w:t>
      </w:r>
    </w:p>
    <w:p>
      <w:pPr>
        <w:spacing w:after="0" w:line="16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spacing w:after="0" w:line="16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spacing w:after="0" w:line="155"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In addition, Icahn School of Medicine at Mount Sinai (“ISMMS”) is one of our significant stockholders. ISMMS may choose to dispose of some or all of the shares of our Class A common stock held by it. Any disposal of shares of Class A common stock by ISMMS, or the perception that these sales could occur, could cause the market price of our stock or warrants to decline.</w:t>
      </w:r>
    </w:p>
    <w:p>
      <w:pPr>
        <w:spacing w:after="0" w:line="15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rely on commercial delivery services to transport samples to our facilities in a timely and cost-efficient manner and if these delivery services are disrupted, our business could be harmed.</w:t>
      </w:r>
    </w:p>
    <w:p>
      <w:pPr>
        <w:spacing w:after="0" w:line="13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Our core business depends on our ability to quickly and reliably deliver test results to our customers. We typically receive blood and saliva samples for analysis at our laboratory facilities within days of collection from the patient. Disruptions and errors in these delivery service and accessioning errors and breaches, whether due to error by the delivery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Acquisitions and Other Strategic Transactions</w:t>
      </w:r>
    </w:p>
    <w:p>
      <w:pPr>
        <w:spacing w:after="0" w:line="29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incurred and will continue to incur significant transaction and transition costs in connection with the Acquisition.</w:t>
      </w:r>
    </w:p>
    <w:p>
      <w:pPr>
        <w:spacing w:after="0" w:line="137"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We have incurred significant, non-recurring costs in connection with consummating the Acquisition and with the integration of the businesses, which may adversely affect our results of operations.</w:t>
      </w:r>
    </w:p>
    <w:p>
      <w:pPr>
        <w:spacing w:after="0" w:line="1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realize the level of the anticipated benefits that we expect from exiting businesses and restructuring our operations, which may adversely impact our business and results of operations.</w:t>
      </w:r>
    </w:p>
    <w:p>
      <w:pPr>
        <w:spacing w:after="0" w:line="213"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From time to time, we may decide to exit certain businesses or otherwise undertake restructuring, reorganization, or other strategic initiatives and business transformation plans to realign our resources with our growth strategies, operate more efficiently and control costs. The successful implementation of our restructuring activities may from time to time require us to effect business and asset dispositions, workforce reductions, management restructurings, decisions to limit investments in or otherwise exit businesses, facility consolidations and closures, and other actions, each of which may depend on a number of factors that may not be within our control. For example, as described in more detail elsewhere in this Annual Report, we exited our reproductive and women’s health testing business, during the first quarter of 2023 and we exited our somatic tumor testing business during the fourth quarter of 2022.</w:t>
      </w:r>
    </w:p>
    <w:p>
      <w:pPr>
        <w:spacing w:after="0" w:line="202"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20"/>
          <w:szCs w:val="20"/>
          <w:color w:val="auto"/>
        </w:rPr>
        <w:t>Any such effort to realign or streamline our organization may result in the recording of restructuring or other charges, such as asset impairment charges, contract and lease termination costs, exit costs, termination benefits and</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1378" w:right="1440" w:bottom="0" w:gutter="0" w:footer="0" w:header="0"/>
          <w:type w:val="continuous"/>
        </w:sectPr>
      </w:pPr>
    </w:p>
    <w:bookmarkStart w:id="43" w:name="page44"/>
    <w:bookmarkEnd w:id="43"/>
    <w:p>
      <w:pPr>
        <w:jc w:val="both"/>
        <w:spacing w:after="0" w:line="237" w:lineRule="auto"/>
        <w:rPr>
          <w:sz w:val="20"/>
          <w:szCs w:val="20"/>
          <w:color w:val="auto"/>
        </w:rPr>
      </w:pPr>
      <w:r>
        <w:rPr>
          <w:rFonts w:ascii="Times New Roman" w:cs="Times New Roman" w:eastAsia="Times New Roman" w:hAnsi="Times New Roman"/>
          <w:sz w:val="20"/>
          <w:szCs w:val="20"/>
          <w:color w:val="auto"/>
        </w:rPr>
        <w:t>other restructuring costs. In particular, we expect that material cash and non-cash charges will be incurred and recorded in our future reporting periods as a result of the exit of the reproductive and women’s health testing and somatic tumor testing businesses. Further, as a result of restructuring initiatives, we may experience a loss of continuity, loss of accumulated knowledge and proficiency, adverse effects on employee morale, loss of key employees and/or other retention issues during transitional periods. Reorganization and restructuring can impact a significant amount of management and other employees’ time and focus, which may divert attention from operating and growing our business. Further, upon completion of any restructuring initiatives, our business may not be more efficient or effective than prior to the implementation of the plan and we may be unable to achieve anticipated operating enhancements or cost reductions, which would adversely affect our business, competitive position, operating results and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assumed Legacy GeneDx’s risks arising from various legal proceedings.</w:t>
      </w:r>
    </w:p>
    <w:p>
      <w:pPr>
        <w:spacing w:after="0" w:line="21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In connection with the Acquisition, as of the closing, we assumed Legacy GeneDx’s risks arising from legal proceedings. In particular, Legacy GeneDx has received from the Medicaid offices of certain states requests for refunds of up to approximately $1.8 million of previously issued reimbursements for certain services and testing provided by Legacy GeneDx both prior to and following the Acquisition. This amount represents the initial amounts expressed in writing by the Medicaid offices as well as our estimate based on our participation in discussions with OPKO and the Medicaid offices. We are working with OPKO to investigate these issues and in discussions with these payors regarding their requests and, at this time, we can express no opinion as to the likelihood of an unfavorable outcome or the range of potential loss in this matter. Although we expect OPKO’s indemnification obligations under the merger agreement related to the Acquisition (the “Acquisition Merger Agreement”) would apply to certain of the requested refunds related to the services and testing provided prior to the closing of the Acquisition, we would be responsible for any refunds related to services and testing provided after the closing of the Acquisition. Furthermore, following the closing of the Acquisition, the strategies or motivations of a party or parties with respect to actual or potential litigation against us may change. We cannot predict with certainty the eventual outcome of Legacy GeneDx’s pending or future legal proceedings and the ultimate outcome of such matters could be material to our results of operations, cash flows and financial condition.</w:t>
      </w:r>
    </w:p>
    <w:p>
      <w:pPr>
        <w:spacing w:after="0" w:line="178"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Finally, the Acquisition may result in post-transaction disputes with OPKO or the other counterparties to the Acquisition Merger Agreement and the related agreements regarding a number of matters, including any post-closing adjustments to the Cash Consideration, the occurrence or non-occurrence of any Milestone Event (as defined in the Acquisition Merger Agreement for the Acquisition) or payment of any Milestone Payment (as defined in the Acquisition Merger Agreement) or any liabilities for which we or OPKO believes it was indemnified under the Acquisition Merger Agreement.</w:t>
      </w:r>
    </w:p>
    <w:p>
      <w:pPr>
        <w:spacing w:after="0" w:line="159"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may seek to grow our business through additional acquisitions of complementary products or technologies and we may from time to time dispose of businesses or assets, and the failure to manage these acquisitions or dispositions, or the failure to integrate acquired businesses with our existing business, could have a material adverse effect on our business, financial condition and operating results.</w:t>
      </w:r>
    </w:p>
    <w:p>
      <w:pPr>
        <w:spacing w:after="0" w:line="221"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0"/>
          <w:szCs w:val="20"/>
          <w:color w:val="auto"/>
        </w:rPr>
        <w:t>From time to time, we may consider additional opportunities to acquire other products or technologies that may enhance our product platform or technology, expand the breadth of our markets or customer base, or advance our business strategies. In addition, we exited both our reproductive and women's health testing business and our somatic tumor testing business, which involves the divestiture of these businesses, and we may consider disposing other assets or businesses in the future.</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Potential acquisitions involve numerous risks, including:</w:t>
      </w:r>
    </w:p>
    <w:p>
      <w:pPr>
        <w:spacing w:after="0" w:line="150" w:lineRule="exact"/>
        <w:rPr>
          <w:sz w:val="20"/>
          <w:szCs w:val="20"/>
          <w:color w:val="auto"/>
        </w:rPr>
      </w:pPr>
    </w:p>
    <w:p>
      <w:pPr>
        <w:ind w:left="1440" w:hanging="720"/>
        <w:spacing w:after="0"/>
        <w:tabs>
          <w:tab w:leader="none" w:pos="14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problems assimilating the acquired products or technologies;</w:t>
      </w:r>
    </w:p>
    <w:p>
      <w:pPr>
        <w:spacing w:after="0" w:line="1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issues maintaining uniform standards, procedures, controls and policies;</w:t>
      </w:r>
    </w:p>
    <w:p>
      <w:pPr>
        <w:spacing w:after="0" w:line="1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costs associated with acquisitions;</w:t>
      </w:r>
    </w:p>
    <w:p>
      <w:pPr>
        <w:spacing w:after="0" w:line="1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management’s attention from our existing business;</w:t>
      </w:r>
    </w:p>
    <w:p>
      <w:pPr>
        <w:spacing w:after="0" w:line="1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entering new markets in which we have limited or no experience; and</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1378" w:right="1440" w:bottom="0" w:gutter="0" w:footer="0" w:header="0"/>
          <w:type w:val="continuous"/>
        </w:sectPr>
      </w:pPr>
    </w:p>
    <w:bookmarkStart w:id="44" w:name="page45"/>
    <w:bookmarkEnd w:id="44"/>
    <w:p>
      <w:pPr>
        <w:ind w:left="1440" w:hanging="720"/>
        <w:spacing w:after="0" w:line="281" w:lineRule="auto"/>
        <w:tabs>
          <w:tab w:leader="none" w:pos="14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legal and accounting costs relating to the acquisitions or compliance with regulatory matters.</w:t>
      </w:r>
    </w:p>
    <w:p>
      <w:pPr>
        <w:spacing w:after="0" w:line="141"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163" w:lineRule="exact"/>
        <w:rPr>
          <w:sz w:val="20"/>
          <w:szCs w:val="20"/>
          <w:color w:val="auto"/>
        </w:rPr>
      </w:pPr>
    </w:p>
    <w:p>
      <w:pPr>
        <w:jc w:val="both"/>
        <w:ind w:firstLine="360"/>
        <w:spacing w:after="0" w:line="264" w:lineRule="auto"/>
        <w:rPr>
          <w:sz w:val="20"/>
          <w:szCs w:val="20"/>
          <w:color w:val="auto"/>
        </w:rPr>
      </w:pPr>
      <w:r>
        <w:rPr>
          <w:rFonts w:ascii="Times New Roman" w:cs="Times New Roman" w:eastAsia="Times New Roman" w:hAnsi="Times New Roman"/>
          <w:sz w:val="20"/>
          <w:szCs w:val="20"/>
          <w:color w:val="auto"/>
        </w:rPr>
        <w:t xml:space="preserve">Dispositions may similarly involve </w:t>
      </w:r>
      <w:r>
        <w:rPr>
          <w:rFonts w:ascii="Times New Roman" w:cs="Times New Roman" w:eastAsia="Times New Roman" w:hAnsi="Times New Roman"/>
          <w:sz w:val="20"/>
          <w:szCs w:val="20"/>
          <w:color w:val="121212"/>
        </w:rPr>
        <w:t>risks associated with the potential disruption of our ongoing business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21212"/>
        </w:rPr>
        <w:t xml:space="preserve">distraction of our management team, and the anticipated benefits and cost savings of these transactions may not be realized fully, or at all, or take longer to realize than anticipated. In addition, dispositions </w:t>
      </w:r>
      <w:r>
        <w:rPr>
          <w:rFonts w:ascii="Times New Roman" w:cs="Times New Roman" w:eastAsia="Times New Roman" w:hAnsi="Times New Roman"/>
          <w:sz w:val="20"/>
          <w:szCs w:val="20"/>
          <w:color w:val="000000"/>
        </w:rPr>
        <w:t>may involve our continued</w:t>
      </w:r>
      <w:r>
        <w:rPr>
          <w:rFonts w:ascii="Times New Roman" w:cs="Times New Roman" w:eastAsia="Times New Roman" w:hAnsi="Times New Roman"/>
          <w:sz w:val="20"/>
          <w:szCs w:val="20"/>
          <w:color w:val="121212"/>
        </w:rPr>
        <w:t xml:space="preserve"> </w:t>
      </w:r>
      <w:r>
        <w:rPr>
          <w:rFonts w:ascii="Times New Roman" w:cs="Times New Roman" w:eastAsia="Times New Roman" w:hAnsi="Times New Roman"/>
          <w:sz w:val="20"/>
          <w:szCs w:val="20"/>
          <w:color w:val="000000"/>
        </w:rPr>
        <w:t>financial involvement in a divested business, such as through continuing equity ownership, transition service agreements, guarantees, indemnities or other current or contingent financial obligations. Under these arrangements, performance by the acquired or divested business, or other conditions outside our control, could affect our future financial results.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Legal, Regulatory and Compliance</w:t>
      </w:r>
    </w:p>
    <w:p>
      <w:pPr>
        <w:spacing w:after="0" w:line="20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increased compliance risks as a result of our rapid growth, including our dependence on our sales, marketing and billing efforts.</w:t>
      </w:r>
    </w:p>
    <w:p>
      <w:pPr>
        <w:spacing w:after="0" w:line="13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use hazardous materials in a manner that causes injury, we could be liable for resulting damages.</w:t>
      </w:r>
    </w:p>
    <w:p>
      <w:pPr>
        <w:spacing w:after="0" w:line="21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Future changes in FDA enforcement discretion for LDTs could subject our operations to much more significant regulatory requirements.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1378" w:right="1440" w:bottom="0" w:gutter="0" w:footer="0" w:header="0"/>
          <w:type w:val="continuous"/>
        </w:sectPr>
      </w:pPr>
    </w:p>
    <w:bookmarkStart w:id="45" w:name="page46"/>
    <w:bookmarkEnd w:id="45"/>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 xml:space="preserve">We currently offer a laboratory-developed test (“LDT”) version of certain tests. The FDA has a policy of enforcement discretion with respect to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(“CDRH”) have expressed significant concerns regarding disparities between some LDTs and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its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Times New Roman" w:cs="Times New Roman" w:eastAsia="Times New Roman" w:hAnsi="Times New Roman"/>
          <w:sz w:val="20"/>
          <w:szCs w:val="20"/>
          <w:b w:val="1"/>
          <w:bCs w:val="1"/>
          <w:i w:val="1"/>
          <w:iCs w:val="1"/>
          <w:color w:val="auto"/>
        </w:rPr>
        <w:t>de novo</w:t>
      </w:r>
      <w:r>
        <w:rPr>
          <w:rFonts w:ascii="Times New Roman" w:cs="Times New Roman" w:eastAsia="Times New Roman" w:hAnsi="Times New Roman"/>
          <w:sz w:val="20"/>
          <w:szCs w:val="20"/>
          <w:color w:val="auto"/>
        </w:rPr>
        <w:t xml:space="preserve"> 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8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Recently, the FDA has also taken a more active role in certain diagnostic areas, including the oversight of pharmacogenetic (“PGx”)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6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37"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41"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In particular, the clinical laboratory and healthcare industry is subject to significant governmental certification and licensing regulations, as well as federal, state and foreign laws regarding:</w:t>
      </w:r>
    </w:p>
    <w:p>
      <w:pPr>
        <w:spacing w:after="0" w:line="141" w:lineRule="exact"/>
        <w:rPr>
          <w:sz w:val="20"/>
          <w:szCs w:val="20"/>
          <w:color w:val="auto"/>
        </w:rPr>
      </w:pPr>
    </w:p>
    <w:p>
      <w:pPr>
        <w:ind w:left="720" w:hanging="36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 ordering and billing practices;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marketing, sales and pricing practices;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health information privacy and security, including HIPAA and comparable state laws;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insurance;</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60"/>
          </w:cols>
          <w:pgMar w:left="1440" w:top="1378" w:right="1440" w:bottom="0" w:gutter="0" w:footer="0" w:header="0"/>
          <w:type w:val="continuous"/>
        </w:sectPr>
      </w:pPr>
    </w:p>
    <w:bookmarkStart w:id="46" w:name="page47"/>
    <w:bookmarkEnd w:id="46"/>
    <w:p>
      <w:pPr>
        <w:ind w:left="720" w:hanging="36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anti-markup legislation;</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fraud and abuse; and</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protection.</w:t>
      </w:r>
    </w:p>
    <w:p>
      <w:pPr>
        <w:spacing w:after="0" w:line="21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are also required to comply with FDA regulations, including with respect to our labeling and promotion activities. In addition, advertising and marketing of our clinical products are subject to regulation by the Federal Trade Commission (the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or products and services and our expansion outside of the U.S. may increase the potential of violating these laws, regulations or our internal policies and procedures.</w:t>
      </w:r>
    </w:p>
    <w:p>
      <w:pPr>
        <w:spacing w:after="0" w:line="168"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168"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Compliance with the HIPAA security, privacy and breach notification regulations may increase our costs.</w:t>
      </w:r>
    </w:p>
    <w:p>
      <w:pPr>
        <w:spacing w:after="0" w:line="21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The HIPAA privacy, security and breach notification regulations, which include requirements implemented under the HITECH Act, establish federal standards with respect to the uses and disclosures of protected health information (“PHI”), by health plans, healthcare providers and healthcare clearinghouses. The HIPAA regulations generally prohibit the use and disclosure of PHI without patient authorization, unless the use or disclosure is for payment, treatment or healthcare operations purposes. In setting standards to protect the confidentiality, integrity and security of PHI, the regulations establish a regulatory framework that addresses a variety of subjects, including:</w:t>
      </w:r>
    </w:p>
    <w:p>
      <w:pPr>
        <w:spacing w:after="0" w:line="168" w:lineRule="exact"/>
        <w:rPr>
          <w:sz w:val="20"/>
          <w:szCs w:val="20"/>
          <w:color w:val="auto"/>
        </w:rPr>
      </w:pPr>
    </w:p>
    <w:p>
      <w:pPr>
        <w:jc w:val="both"/>
        <w:ind w:left="720" w:hanging="360"/>
        <w:spacing w:after="0" w:line="266"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circumstances under which uses and disclosures of PHI are permitted or required without a written authorization from the patient, including but not limited to treatment purposes, activities to obtain payments for our services, and our healthcare operations activities;</w:t>
      </w:r>
    </w:p>
    <w:p>
      <w:pPr>
        <w:spacing w:after="0" w:line="155"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patient’s rights to access, amend and receive an accounting of certain disclosures of PHI;</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requirements to notify individuals if there is a breach of their PHI;</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contents of notices of privacy practices related to the use and disclosure of PHI;</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technical and physical safeguards required of entities that use or receive PHI;</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60"/>
          </w:cols>
          <w:pgMar w:left="1440" w:top="1378" w:right="1440" w:bottom="0" w:gutter="0" w:footer="0" w:header="0"/>
          <w:type w:val="continuous"/>
        </w:sectPr>
      </w:pPr>
    </w:p>
    <w:bookmarkStart w:id="47" w:name="page48"/>
    <w:bookmarkEnd w:id="47"/>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criteria related to the deidentification and aggregation of PHI; and</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and protection of electronic PHI.</w:t>
      </w:r>
    </w:p>
    <w:p>
      <w:pPr>
        <w:spacing w:after="0" w:line="234" w:lineRule="exact"/>
        <w:rPr>
          <w:sz w:val="20"/>
          <w:szCs w:val="20"/>
          <w:color w:val="auto"/>
        </w:rPr>
      </w:pPr>
    </w:p>
    <w:p>
      <w:pPr>
        <w:ind w:right="80" w:firstLine="360"/>
        <w:spacing w:after="0" w:line="237" w:lineRule="auto"/>
        <w:rPr>
          <w:sz w:val="20"/>
          <w:szCs w:val="20"/>
          <w:color w:val="auto"/>
        </w:rPr>
      </w:pPr>
      <w:r>
        <w:rPr>
          <w:rFonts w:ascii="Times New Roman" w:cs="Times New Roman" w:eastAsia="Times New Roman" w:hAnsi="Times New Roman"/>
          <w:sz w:val="20"/>
          <w:szCs w:val="20"/>
          <w:color w:val="auto"/>
        </w:rPr>
        <w:t>We are also required to comply with applicable state privacy, security and breach notification laws and regulations, which may be more stringent than federal HIPAA requirements. In addition, for healthcare data transfers from other countries relating to citizens and/or residents of those countries, we are also required to comply with the laws of those countries. Furthermore, on December 1, 2022, the U.S. Department of Health and Human Services, Office for Civil Rights (“OCR”) issued a Bulletin highlighting the obligations of HIPAA covered entities and business associates with respect to the use of online tracking technologies. To the extent that a covered entity or business associate permits a tracking technology vendor to collect PHI of its customers, the parties must enter into a business associate agreement. In addition, the PHI collected may only be used for treatment or health care operation purposes, in accordance with HIPAA. The PHI cannot be used for marketing purposes that are not connected with treatment or health care operations absent a HIPAA compliant authorization from each customer whose information is being shared.</w:t>
      </w:r>
    </w:p>
    <w:p>
      <w:pPr>
        <w:spacing w:after="0" w:line="190"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auto"/>
        </w:rPr>
        <w:t>Although HIPAA does not provide for private rights of action, HIPAA gives OCR and the Department of Justice the authority to assess significant fines and other penalties for wrongful use or disclosure of PHI, including potential civil and criminal fines and penalties. OCR may require an entity to enter into a settlement agreement which may include ongoing oversight and auditing of a company’s HIPAA compliance program.</w:t>
      </w:r>
    </w:p>
    <w:p>
      <w:pPr>
        <w:spacing w:after="0" w:line="183"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In addition,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Despite such protections, unauthorized persons may also be able to gain access to PHI stored in such third parties’ computer networks. Any wrongful use or disclosure of PHI by us or such third-parties, including disclosure due to data theft or unauthorized access to us or such third-parties’ computer networks, could subject us to fines or penalties that could adversely affect our business and results of operations. In addition, we distribute PHI to patients in physical form (e.g., test materials and/or test results), which introduces additional risk that human error will result in unauthorized disclosures of PHI. Although HIPAA does not expressly provide for a private right of action for damages, we could also be liable for damages under state privacy laws to private parties for the wrongful use or disclosure of confidential health information or other private personal information.</w:t>
      </w:r>
    </w:p>
    <w:p>
      <w:pPr>
        <w:spacing w:after="0" w:line="186" w:lineRule="exact"/>
        <w:rPr>
          <w:sz w:val="20"/>
          <w:szCs w:val="20"/>
          <w:color w:val="auto"/>
        </w:rPr>
      </w:pPr>
    </w:p>
    <w:p>
      <w:pPr>
        <w:jc w:val="both"/>
        <w:ind w:firstLine="360"/>
        <w:spacing w:after="0" w:line="227" w:lineRule="auto"/>
        <w:rPr>
          <w:sz w:val="20"/>
          <w:szCs w:val="20"/>
          <w:color w:val="auto"/>
        </w:rPr>
      </w:pPr>
      <w:r>
        <w:rPr>
          <w:rFonts w:ascii="Times New Roman" w:cs="Times New Roman" w:eastAsia="Times New Roman" w:hAnsi="Times New Roman"/>
          <w:sz w:val="20"/>
          <w:szCs w:val="20"/>
          <w:color w:val="auto"/>
        </w:rPr>
        <w:t>We have implemented practices intended to meet the requirements of the HIPAA privacy, security and breach notification regulations, as required by law, but cannot guarantee that such practices fully satisfy all applicable requirements under HIPAA. In addition, the Company has experienced a number of “security incidents” (as defined under HIPAA) that involved the unauthorized disclosure of PHI. A subset of these incidents was determined to be reportable breaches requiring disclosure to OCR, as well as to the affected patients. Moreover, we cannot confirm that we have identified all previous incidents that could constitute reportable breaches, or that the mitigation steps undertaken in response to known breaches are adequate to satisfy applicable regulatory requirements and prevent any future unauthorized disclosures.</w:t>
      </w:r>
    </w:p>
    <w:p>
      <w:pPr>
        <w:spacing w:after="0" w:line="186" w:lineRule="exact"/>
        <w:rPr>
          <w:sz w:val="20"/>
          <w:szCs w:val="20"/>
          <w:color w:val="auto"/>
        </w:rPr>
      </w:pPr>
    </w:p>
    <w:p>
      <w:pPr>
        <w:jc w:val="both"/>
        <w:ind w:firstLine="360"/>
        <w:spacing w:after="0" w:line="233" w:lineRule="auto"/>
        <w:rPr>
          <w:sz w:val="20"/>
          <w:szCs w:val="20"/>
          <w:color w:val="auto"/>
        </w:rPr>
      </w:pPr>
      <w:r>
        <w:rPr>
          <w:rFonts w:ascii="Times New Roman" w:cs="Times New Roman" w:eastAsia="Times New Roman" w:hAnsi="Times New Roman"/>
          <w:sz w:val="20"/>
          <w:szCs w:val="20"/>
          <w:color w:val="auto"/>
        </w:rPr>
        <w:t>As noted above, in addition to HIPAA, we are subject to myriad federal, state, and local requirements pertaining to the collection, retention, and disclosure of genetic material. While we endeavor to remain current with such requirements, we can provide no assurance that we are, or will remain, in compliance with all applicable requirements. Failure to comply with privacy and data security requirements could result in a variety of consequences, including significant fines and penalties as well as damage to our reputation, any of which could have a material adverse effect on our business.</w:t>
      </w:r>
    </w:p>
    <w:p>
      <w:pPr>
        <w:spacing w:after="0" w:line="14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Some of our activities may subject the Company to risks under federal and state laws prohibiting ‘kickbacks’ and false or fraudulent claims.</w:t>
      </w:r>
    </w:p>
    <w:p>
      <w:pPr>
        <w:spacing w:after="0" w:line="161" w:lineRule="exact"/>
        <w:rPr>
          <w:sz w:val="20"/>
          <w:szCs w:val="20"/>
          <w:color w:val="auto"/>
        </w:rPr>
      </w:pPr>
    </w:p>
    <w:p>
      <w:pPr>
        <w:jc w:val="both"/>
        <w:ind w:firstLine="360"/>
        <w:spacing w:after="0" w:line="232" w:lineRule="auto"/>
        <w:rPr>
          <w:sz w:val="20"/>
          <w:szCs w:val="20"/>
          <w:color w:val="auto"/>
        </w:rPr>
      </w:pPr>
      <w:r>
        <w:rPr>
          <w:rFonts w:ascii="Times New Roman" w:cs="Times New Roman" w:eastAsia="Times New Roman" w:hAnsi="Times New Roman"/>
          <w:sz w:val="20"/>
          <w:szCs w:val="20"/>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among others, a federal law commonly known as the federal Anti-Kickback Statute, the federal False Claims Act, the federal physician self-referral law, known as the Stark Law, and corollary state laws. These laws constrain, among other things, the sales, marketing and other promotional activities of manufacturers of medical devices and providers of laboratory services by limiting the kinds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1378" w:right="1440" w:bottom="0" w:gutter="0" w:footer="0" w:header="0"/>
          <w:type w:val="continuous"/>
        </w:sectPr>
      </w:pPr>
    </w:p>
    <w:bookmarkStart w:id="48" w:name="page49"/>
    <w:bookmarkEnd w:id="48"/>
    <w:p>
      <w:pPr>
        <w:jc w:val="both"/>
        <w:spacing w:after="0" w:line="230" w:lineRule="auto"/>
        <w:rPr>
          <w:sz w:val="20"/>
          <w:szCs w:val="20"/>
          <w:color w:val="auto"/>
        </w:rPr>
      </w:pPr>
      <w:r>
        <w:rPr>
          <w:rFonts w:ascii="Times New Roman" w:cs="Times New Roman" w:eastAsia="Times New Roman" w:hAnsi="Times New Roman"/>
          <w:sz w:val="20"/>
          <w:szCs w:val="20"/>
          <w:color w:val="auto"/>
        </w:rPr>
        <w:t>of financial arrangements, including sales programs, free goods and services, consulting arrangements, speaker programs, compensated service arrangements (including specimen collection and processing), and other non-monetary compensation (e.g., meals, gifts and other business courtesies), that may be used with hospitals, healthcare providers, laboratories and other potential purchasers or prescribers of medical devices and laboratory services. The federal and state fraud and abuse laws prescribe civil and, in some cases, criminal penalties (including fines) for noncompliance that can be substantial. In addition, various states have enacted false claim laws analogous to the federal laws that apply where a claim is submitted to any third-party payor and not only a governmental payer program. Moreover, any claim for reimbursement that is predicated on a violation of the Anti-Kickback Statute may constitute a “false claim” under the False Claims Act (discussed in further detail below).</w:t>
      </w:r>
    </w:p>
    <w:p>
      <w:pPr>
        <w:spacing w:after="0" w:line="184" w:lineRule="exact"/>
        <w:rPr>
          <w:sz w:val="20"/>
          <w:szCs w:val="20"/>
          <w:color w:val="auto"/>
        </w:rPr>
      </w:pPr>
    </w:p>
    <w:p>
      <w:pPr>
        <w:jc w:val="both"/>
        <w:ind w:firstLine="360"/>
        <w:spacing w:after="0" w:line="227" w:lineRule="auto"/>
        <w:rPr>
          <w:sz w:val="20"/>
          <w:szCs w:val="20"/>
          <w:color w:val="auto"/>
        </w:rPr>
      </w:pPr>
      <w:r>
        <w:rPr>
          <w:rFonts w:ascii="Times New Roman" w:cs="Times New Roman" w:eastAsia="Times New Roman" w:hAnsi="Times New Roman"/>
          <w:sz w:val="20"/>
          <w:szCs w:val="20"/>
          <w:color w:val="auto"/>
        </w:rPr>
        <w:t>In 2018, Congress passed the Eliminating Kickbacks in Recovery Act (“EKRA”), as part of the Substance Use-Disorder Prevention that Promotes Opioid Recovery and Treatment for Patients and Communities Act. Similar to the Anti-Kickback Statute,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Anti-Kickback Statute,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Anti-Kickback Statute, includes certain exceptions that are widely relied upon in the healthcare industry, including safe harbors applicable to certain employees and personal service contracts, and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two courts have addressed the application of EKRA and those courts reached opposite conclusions. One Court ruled that the commission-based compensation provisions of a laboratory employee’s contract did not violate EKRA while the other court expressly disagreed. Given the conflicting opinions, we cannot be assured that courts in our jurisdiction will reach the same conclusion or that the decision will not be overturned if there is an appeal. We cannot assure you that our relationships with healthcare providers, hospitals, customers, our own sales representatives, or any other party will not be subject to scrutiny or will survive regulatory challenge under EKRA or other anti-kickback laws.</w:t>
      </w:r>
    </w:p>
    <w:p>
      <w:pPr>
        <w:spacing w:after="0" w:line="192"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The False Claims Act prohibits knowingly presenting (or causing the presentation of) a false claim for reimbursement by a federal health care program. Violation of the False Claims Act can result in substantial penalties, including treble damages. Moreover, the False Claims Act permits enforcement by qui tam relators (i.e., whistleblowers), such as competitors, customers, or current/former employees, who will receive a portion of any settlement. As discussed above, violations of the Anti-Kickback statute can serve as the basis for enforcement under the False Claims Act. In addition, inaccurate or otherwise improper claims for reimbursement could constitute a false claim, meaning that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(“CERT”), program, and payments may be recouped by CMS if it is determined that they were improperly made. Currently, a small percentage of our revenues are generated by payments from Medicare.</w:t>
      </w:r>
    </w:p>
    <w:p>
      <w:pPr>
        <w:spacing w:after="0" w:line="183" w:lineRule="exact"/>
        <w:rPr>
          <w:sz w:val="20"/>
          <w:szCs w:val="20"/>
          <w:color w:val="auto"/>
        </w:rPr>
      </w:pPr>
    </w:p>
    <w:p>
      <w:pPr>
        <w:jc w:val="both"/>
        <w:ind w:firstLine="360"/>
        <w:spacing w:after="0" w:line="230" w:lineRule="auto"/>
        <w:rPr>
          <w:sz w:val="20"/>
          <w:szCs w:val="20"/>
          <w:color w:val="auto"/>
        </w:rPr>
      </w:pPr>
      <w:r>
        <w:rPr>
          <w:rFonts w:ascii="Times New Roman" w:cs="Times New Roman" w:eastAsia="Times New Roman" w:hAnsi="Times New Roman"/>
          <w:sz w:val="20"/>
          <w:szCs w:val="20"/>
          <w:color w:val="auto"/>
        </w:rPr>
        <w:t>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In addition, while we have and will continue to enter into certain financial arrangements with referral sources, and we endeavor to ensure that such arrangements are designed to comply with applicable rules, laws and regulations, we can offer no assurance that such arrangements will not result in regulatory or enforcement scrutiny.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360"/>
          </w:cols>
          <w:pgMar w:left="1440" w:top="1378" w:right="1440" w:bottom="0" w:gutter="0" w:footer="0" w:header="0"/>
          <w:type w:val="continuous"/>
        </w:sectPr>
      </w:pPr>
    </w:p>
    <w:bookmarkStart w:id="49" w:name="page50"/>
    <w:bookmarkEnd w:id="49"/>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7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4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156"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7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pacing w:after="0" w:line="16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37"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Our operations are subject to other extensive federal, state, local and foreign laws and regulations, all of which are subject to change. These laws and regulations currently include, among others:</w:t>
      </w:r>
    </w:p>
    <w:p>
      <w:pPr>
        <w:spacing w:after="0" w:line="141" w:lineRule="exact"/>
        <w:rPr>
          <w:sz w:val="20"/>
          <w:szCs w:val="20"/>
          <w:color w:val="auto"/>
        </w:rPr>
      </w:pPr>
    </w:p>
    <w:p>
      <w:pPr>
        <w:ind w:left="720" w:hanging="360"/>
        <w:spacing w:after="0" w:line="281"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HIPAA, which establishes comprehensive federal standards with respect to the privacy and security of protected health information and requirements for the use of certain standardized electronic transactions;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360"/>
          </w:cols>
          <w:pgMar w:left="1440" w:top="1378" w:right="1440" w:bottom="0" w:gutter="0" w:footer="0" w:header="0"/>
          <w:type w:val="continuous"/>
        </w:sectPr>
      </w:pPr>
    </w:p>
    <w:bookmarkStart w:id="50" w:name="page51"/>
    <w:bookmarkEnd w:id="50"/>
    <w:p>
      <w:pPr>
        <w:jc w:val="both"/>
        <w:ind w:left="720" w:hanging="360"/>
        <w:spacing w:after="0" w:line="266"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375"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Data Protection Regulation (“GDPR”) and UK Data Protection Act 2018 (“UK GDPR”),, which imposes strict privacy and security requirements on controllers and processors of European and UK personal data, including enhanced protections for “special categories” of personal data, including sensitive information such as health and genetic information of data subjects;</w:t>
      </w:r>
    </w:p>
    <w:p>
      <w:pPr>
        <w:spacing w:after="0" w:line="143" w:lineRule="exact"/>
        <w:rPr>
          <w:rFonts w:ascii="Times New Roman" w:cs="Times New Roman" w:eastAsia="Times New Roman" w:hAnsi="Times New Roman"/>
          <w:sz w:val="20"/>
          <w:szCs w:val="20"/>
          <w:color w:val="auto"/>
        </w:rPr>
      </w:pPr>
    </w:p>
    <w:p>
      <w:pPr>
        <w:jc w:val="both"/>
        <w:ind w:left="720" w:hanging="360"/>
        <w:spacing w:after="0" w:line="258"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CCPA , and similar consumer privacy laws in Colorado, Connecticut, Utah, and Virginia, which, among other things, regulate how subject businesses may collect, use, disclose and/or sell the personal information of consumers who reside in each state, affords rights to consumers that they may exercise against businesses that collect their information, and requires implementation of reasonable security measures to safeguard personal information of consumers;</w:t>
      </w:r>
    </w:p>
    <w:p>
      <w:pPr>
        <w:spacing w:after="0" w:line="143" w:lineRule="exact"/>
        <w:rPr>
          <w:rFonts w:ascii="Times New Roman" w:cs="Times New Roman" w:eastAsia="Times New Roman" w:hAnsi="Times New Roman"/>
          <w:sz w:val="20"/>
          <w:szCs w:val="20"/>
          <w:color w:val="auto"/>
        </w:rPr>
      </w:pPr>
    </w:p>
    <w:p>
      <w:pPr>
        <w:jc w:val="both"/>
        <w:ind w:left="720" w:hanging="360"/>
        <w:spacing w:after="0" w:line="253"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governing genetic counseling services, relating to, among other things, the adequacy of health care, the practice of medicine and other health professions (including the provision of remote care and cross-coverage practice), equipment, personnel, operating policies and procedures and the prerequisites for ordering laboratory tests. Some states have enacted regulations specific to providing services to patients via telehealth. Such regulations include, among other things, informed consent requirements that some states require providers to obtain from their patients before providing telehealth services. Health professionals who provide professional services using telehealth modalities must, in most instances, hold a valid license to practice the applicable health profession in the state in which the patient is located. In addition, certain states require a healthcare professional providing telehealth to be physically located in the same state as the patient. Any failure to comply with these laws and regulations could result in civil or criminal penalties against telehealth providers.</w:t>
      </w:r>
    </w:p>
    <w:p>
      <w:pPr>
        <w:spacing w:after="0" w:line="153"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and human subjects research regulations, including but not limited to the federal Policy for Protection of Human Subjects (45 C.F.R. Part 46), the FDCA and its applicable implementing regulations at 21 C.F.R. Parts 11, 50, 54, 56, 58 and 812, and all equivalent legal requirements in other jurisdictions.</w:t>
      </w:r>
    </w:p>
    <w:p>
      <w:pPr>
        <w:spacing w:after="0" w:line="135" w:lineRule="exact"/>
        <w:rPr>
          <w:rFonts w:ascii="Times New Roman" w:cs="Times New Roman" w:eastAsia="Times New Roman" w:hAnsi="Times New Roman"/>
          <w:sz w:val="20"/>
          <w:szCs w:val="20"/>
          <w:color w:val="auto"/>
        </w:rPr>
      </w:pPr>
    </w:p>
    <w:p>
      <w:pPr>
        <w:jc w:val="both"/>
        <w:ind w:left="720" w:hanging="360"/>
        <w:spacing w:after="0" w:line="256"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item or service for which payment may be made, in whole or in part, under a federal healthcare program;</w:t>
      </w:r>
    </w:p>
    <w:p>
      <w:pPr>
        <w:spacing w:after="0" w:line="168"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EKRA, which prohibits payments for referrals to recovery homes, clinical treatment facilities, and laboratories and reaches beyond federal health care programs, to include private insurance;</w:t>
      </w:r>
    </w:p>
    <w:p>
      <w:pPr>
        <w:spacing w:after="0" w:line="141" w:lineRule="exact"/>
        <w:rPr>
          <w:rFonts w:ascii="Times New Roman" w:cs="Times New Roman" w:eastAsia="Times New Roman" w:hAnsi="Times New Roman"/>
          <w:sz w:val="20"/>
          <w:szCs w:val="20"/>
          <w:color w:val="auto"/>
        </w:rPr>
      </w:pPr>
    </w:p>
    <w:p>
      <w:pPr>
        <w:jc w:val="both"/>
        <w:ind w:left="720" w:hanging="360"/>
        <w:spacing w:after="0" w:line="258"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63"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False Claims Act, which imposes liability on any person or entity that, among other things, knowingly presents, or causes to be presented, a false or fraudulent claim for payment to the federal government;</w:t>
      </w:r>
    </w:p>
    <w:p>
      <w:pPr>
        <w:spacing w:after="0" w:line="155"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360"/>
          </w:cols>
          <w:pgMar w:left="1440" w:top="1378" w:right="1440" w:bottom="0" w:gutter="0" w:footer="0" w:header="0"/>
          <w:type w:val="continuous"/>
        </w:sectPr>
      </w:pPr>
    </w:p>
    <w:bookmarkStart w:id="51" w:name="page52"/>
    <w:bookmarkEnd w:id="51"/>
    <w:p>
      <w:pPr>
        <w:jc w:val="both"/>
        <w:ind w:left="720" w:hanging="360"/>
        <w:spacing w:after="0" w:line="260"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63"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163" w:lineRule="exact"/>
        <w:rPr>
          <w:rFonts w:ascii="Times New Roman" w:cs="Times New Roman" w:eastAsia="Times New Roman" w:hAnsi="Times New Roman"/>
          <w:sz w:val="20"/>
          <w:szCs w:val="20"/>
          <w:color w:val="auto"/>
        </w:rPr>
      </w:pPr>
    </w:p>
    <w:p>
      <w:pPr>
        <w:jc w:val="both"/>
        <w:ind w:left="720" w:hanging="360"/>
        <w:spacing w:after="0" w:line="257"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 w:lineRule="exact"/>
        <w:rPr>
          <w:rFonts w:ascii="Times New Roman" w:cs="Times New Roman" w:eastAsia="Times New Roman" w:hAnsi="Times New Roman"/>
          <w:sz w:val="20"/>
          <w:szCs w:val="20"/>
          <w:color w:val="auto"/>
        </w:rPr>
      </w:pPr>
    </w:p>
    <w:p>
      <w:pPr>
        <w:ind w:left="720" w:right="80" w:hanging="360"/>
        <w:spacing w:after="0" w:line="250" w:lineRule="auto"/>
        <w:tabs>
          <w:tab w:leader="none" w:pos="72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of medicine, osteopathy, dentists, optometrists, podiatrists and chiropractors), physician assistants, nurse practitioners, clinical nurse specialists, certified registered nurse anesthetists, anesthesiologist assistants, certified nurse midwives and teaching hospitals as well as ownership and investment interests held by physicians and their immediate family members;</w:t>
      </w:r>
    </w:p>
    <w:p>
      <w:pPr>
        <w:spacing w:after="0" w:line="158" w:lineRule="exact"/>
        <w:rPr>
          <w:rFonts w:ascii="Times New Roman" w:cs="Times New Roman" w:eastAsia="Times New Roman" w:hAnsi="Times New Roman"/>
          <w:sz w:val="19"/>
          <w:szCs w:val="19"/>
          <w:color w:val="auto"/>
        </w:rPr>
      </w:pPr>
    </w:p>
    <w:p>
      <w:pPr>
        <w:ind w:left="720" w:hanging="360"/>
        <w:spacing w:after="0" w:line="281"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laws that limit or prohibit the provision of certain payments and other transfers of value to certain covered healthcare providers;</w:t>
      </w:r>
    </w:p>
    <w:p>
      <w:pPr>
        <w:spacing w:after="0" w:line="14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prohibition on reassignment of Medicare claims, which, subject to certain exceptions, precludes the reassignment of Medicare claims to any other party;</w:t>
      </w:r>
    </w:p>
    <w:p>
      <w:pPr>
        <w:spacing w:after="0" w:line="141"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155"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similar foreign laws and regulations that may apply to us in the countries in which we operate or may operate in the future; and</w:t>
      </w:r>
    </w:p>
    <w:p>
      <w:pPr>
        <w:spacing w:after="0" w:line="141"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that relate to maintaining accurate information and control over activities that may fall within the purview of the U.S. Foreign Corrupt Practices Act, its books and records provisions, or anti-bribery provisions.</w:t>
      </w:r>
    </w:p>
    <w:p>
      <w:pPr>
        <w:spacing w:after="0" w:line="179" w:lineRule="exact"/>
        <w:rPr>
          <w:sz w:val="20"/>
          <w:szCs w:val="20"/>
          <w:color w:val="auto"/>
        </w:rPr>
      </w:pPr>
    </w:p>
    <w:p>
      <w:pPr>
        <w:jc w:val="both"/>
        <w:ind w:firstLine="360"/>
        <w:spacing w:after="0" w:line="234" w:lineRule="auto"/>
        <w:rPr>
          <w:sz w:val="20"/>
          <w:szCs w:val="20"/>
          <w:color w:val="auto"/>
        </w:rPr>
      </w:pPr>
      <w:r>
        <w:rPr>
          <w:rFonts w:ascii="Times New Roman" w:cs="Times New Roman" w:eastAsia="Times New Roman" w:hAnsi="Times New Roman"/>
          <w:sz w:val="20"/>
          <w:szCs w:val="20"/>
          <w:color w:val="auto"/>
        </w:rPr>
        <w:t>We have adopted policies and procedures designed to comply with these laws and regulations. While the Company continues to develop and improve its compliance program, we acknowledge that further development will be necessary to help mitigate enforcement risk. Our compliance may also be subject to governmental review and, in the event of a violation of certain legal requirements, any deficiencies in our policies, procedures, and controls may subject us to increased sanctions that could materially affect our business..</w:t>
      </w:r>
    </w:p>
    <w:p>
      <w:pPr>
        <w:spacing w:after="0" w:line="183"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In addition,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60"/>
          </w:cols>
          <w:pgMar w:left="1440" w:top="1378" w:right="1440" w:bottom="0" w:gutter="0" w:footer="0" w:header="0"/>
          <w:type w:val="continuous"/>
        </w:sectPr>
      </w:pPr>
    </w:p>
    <w:bookmarkStart w:id="52" w:name="page53"/>
    <w:bookmarkEnd w:id="52"/>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face uncertainty related to healthcare reform, pricing, coverage and reimbursement, which could reduce our revenue.</w:t>
      </w:r>
    </w:p>
    <w:p>
      <w:pPr>
        <w:spacing w:after="0" w:line="13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Healthcare reform laws, including the Patient Protection and Affordable Care Act (“ACA,”) and the Protecting Access to Medicare Act of 2014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if the plaintiffs in any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173"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unless delayed by an act of Congress,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Product and professional liability suits against us could result in expensive and time-consuming litigation, payment of substantial damages and increases in our insurance rates.</w:t>
      </w:r>
    </w:p>
    <w:p>
      <w:pPr>
        <w:spacing w:after="0" w:line="13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Errors, defects, or mistakes in our products or services, and operations could harm our reputation, decrease market acceptance of our products or services.</w:t>
      </w:r>
    </w:p>
    <w:p>
      <w:pPr>
        <w:spacing w:after="0" w:line="137"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We are creating new products and services, many of which are initially based on largely untested technologies. As all of our products and services progress, we or others may determine that it made product or service-level</w:t>
      </w:r>
    </w:p>
    <w:p>
      <w:pPr>
        <w:sectPr>
          <w:pgSz w:w="12240" w:h="15840" w:orient="portrait"/>
          <w:cols w:equalWidth="0" w:num="1">
            <w:col w:w="9360"/>
          </w:cols>
          <w:pgMar w:left="1440" w:top="1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60"/>
          </w:cols>
          <w:pgMar w:left="1440" w:top="1369" w:right="1440" w:bottom="0" w:gutter="0" w:footer="0" w:header="0"/>
          <w:type w:val="continuous"/>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20"/>
          <w:szCs w:val="20"/>
          <w:color w:val="auto"/>
        </w:rPr>
        <w:t>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173"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pacing w:after="0" w:line="1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increasingly complex taxation rules and practices, which may affect how we conduct our business and our results of operations.</w:t>
      </w:r>
    </w:p>
    <w:p>
      <w:pPr>
        <w:spacing w:after="0" w:line="13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0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inability to effectively protect our proprietary products, processes, and technologies, could harm our competitive position.</w:t>
      </w:r>
    </w:p>
    <w:p>
      <w:pPr>
        <w:spacing w:after="0" w:line="137" w:lineRule="exact"/>
        <w:rPr>
          <w:sz w:val="20"/>
          <w:szCs w:val="20"/>
          <w:color w:val="auto"/>
        </w:rPr>
      </w:pPr>
    </w:p>
    <w:p>
      <w:pPr>
        <w:jc w:val="both"/>
        <w:ind w:firstLine="360"/>
        <w:spacing w:after="0" w:line="270" w:lineRule="auto"/>
        <w:rPr>
          <w:sz w:val="20"/>
          <w:szCs w:val="20"/>
          <w:color w:val="auto"/>
        </w:rPr>
      </w:pPr>
      <w:r>
        <w:rPr>
          <w:rFonts w:ascii="Times New Roman" w:cs="Times New Roman" w:eastAsia="Times New Roman" w:hAnsi="Times New Roman"/>
          <w:sz w:val="19"/>
          <w:szCs w:val="19"/>
          <w:color w:val="auto"/>
        </w:rPr>
        <w:t>We currently rely upon trade secret protection and copyright, as well as non-disclosure agreements and confidentiality and intellectual property ownership provisions in agreements with our consultants collaborators, vendors and other third parties, confidentiality and proprietary rights agreements, including invention assignment provisions, with our employees, and, to a limited extent, patent protection, to protect our confidential and proprietary information. As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60"/>
          </w:cols>
          <w:pgMar w:left="1440" w:top="1378" w:right="1440" w:bottom="0" w:gutter="0" w:footer="0" w:header="0"/>
          <w:type w:val="continuous"/>
        </w:sectPr>
      </w:pPr>
    </w:p>
    <w:bookmarkStart w:id="54" w:name="page55"/>
    <w:bookmarkEnd w:id="54"/>
    <w:p>
      <w:pPr>
        <w:jc w:val="both"/>
        <w:spacing w:after="0" w:line="281" w:lineRule="auto"/>
        <w:rPr>
          <w:sz w:val="20"/>
          <w:szCs w:val="20"/>
          <w:color w:val="auto"/>
        </w:rPr>
      </w:pPr>
      <w:r>
        <w:rPr>
          <w:rFonts w:ascii="Times New Roman" w:cs="Times New Roman" w:eastAsia="Times New Roman" w:hAnsi="Times New Roman"/>
          <w:sz w:val="20"/>
          <w:szCs w:val="20"/>
          <w:color w:val="auto"/>
        </w:rPr>
        <w:t>competitors may be able to use our methods and databases and thereby erode any competitive advantages we may have.</w:t>
      </w:r>
    </w:p>
    <w:p>
      <w:pPr>
        <w:spacing w:after="0" w:line="14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we deem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rejected during examination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It would be expensive, if we initiate lawsuits to protect or enforce our patents or trade secrets, or defend against third-party IP claims, and if we lose, we may lose some of our intellectual property rights. Furthermore, these lawsuits may divert the attention of our management and technical personnel.</w:t>
      </w:r>
    </w:p>
    <w:p>
      <w:pPr>
        <w:spacing w:after="0" w:line="17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expect to continue relying substantially upon trade secrets and proprietary know-how protection for our confidential and proprietary information, and we have taken security measures to maintain such protection for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become known.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5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Any inability to effectively protect our proprietary technologies under certain jurisdictions and legal regimes could harm our competitive position.</w:t>
      </w:r>
    </w:p>
    <w:p>
      <w:pPr>
        <w:spacing w:after="0" w:line="13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outside of the United States. The laws of some foreign countries do not protect proprietary rights to the same extent as the laws of the United States, and we may encounter difficulties in establishing and enforcing its proprietary rights in some jurisdictions.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issues arising under patents and patent applications owned or controlled by our collaborators and licensors.</w:t>
      </w:r>
    </w:p>
    <w:p>
      <w:pPr>
        <w:spacing w:after="0" w:line="176"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Any of these factors could adversely affect our ability to obtain commercially relevant or competitively advantageous patent protection for our products.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patent regulations or standards are modified, such changes could have a negative impact on our business.</w:t>
      </w:r>
    </w:p>
    <w:p>
      <w:pPr>
        <w:spacing w:after="0" w:line="243" w:lineRule="exact"/>
        <w:rPr>
          <w:sz w:val="20"/>
          <w:szCs w:val="20"/>
          <w:color w:val="auto"/>
        </w:rPr>
      </w:pPr>
    </w:p>
    <w:p>
      <w:pPr>
        <w:ind w:right="60" w:firstLine="360"/>
        <w:spacing w:after="0" w:line="249" w:lineRule="auto"/>
        <w:rPr>
          <w:sz w:val="20"/>
          <w:szCs w:val="20"/>
          <w:color w:val="auto"/>
        </w:rPr>
      </w:pPr>
      <w:r>
        <w:rPr>
          <w:rFonts w:ascii="Times New Roman" w:cs="Times New Roman" w:eastAsia="Times New Roman" w:hAnsi="Times New Roman"/>
          <w:sz w:val="20"/>
          <w:szCs w:val="20"/>
          <w:color w:val="auto"/>
        </w:rPr>
        <w:t>From time to time, the U.S. Supreme Court, other federal courts, the U.S. Congress or the U.S. Patent &amp; Trademark Office (“USPTO”) may change the standards of patentability and validity of patents within the screening and diagnostics space, and any such changes could have a negative impact on our business.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60"/>
          </w:cols>
          <w:pgMar w:left="1440" w:top="1378" w:right="1440" w:bottom="0" w:gutter="0" w:footer="0" w:header="0"/>
          <w:type w:val="continuous"/>
        </w:sectPr>
      </w:pPr>
    </w:p>
    <w:bookmarkStart w:id="55" w:name="page56"/>
    <w:bookmarkEnd w:id="55"/>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 xml:space="preserve">There have been several cases involving “gene patents” and diagnostic claims that have been considered by the U.S. Supreme Court. In March 2012, the Supreme Court </w:t>
      </w:r>
      <w:r>
        <w:rPr>
          <w:rFonts w:ascii="Times New Roman" w:cs="Times New Roman" w:eastAsia="Times New Roman" w:hAnsi="Times New Roman"/>
          <w:sz w:val="20"/>
          <w:szCs w:val="20"/>
          <w:b w:val="1"/>
          <w:bCs w:val="1"/>
          <w:i w:val="1"/>
          <w:iCs w:val="1"/>
          <w:color w:val="auto"/>
        </w:rPr>
        <w:t>in Mayo Collaborative Services v. Prometheus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Laboratories, Inc, </w:t>
      </w:r>
      <w:r>
        <w:rPr>
          <w:rFonts w:ascii="Times New Roman" w:cs="Times New Roman" w:eastAsia="Times New Roman" w:hAnsi="Times New Roman"/>
          <w:sz w:val="20"/>
          <w:szCs w:val="20"/>
          <w:color w:val="auto"/>
        </w:rPr>
        <w:t>found a patented diagnostic method claim unpatentable because the relationship between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metabolite concentration and optimized dosage was a patent-ineligible “law of nature.” In June 2013, the Supreme Court ruled in </w:t>
      </w:r>
      <w:r>
        <w:rPr>
          <w:rFonts w:ascii="Times New Roman" w:cs="Times New Roman" w:eastAsia="Times New Roman" w:hAnsi="Times New Roman"/>
          <w:sz w:val="20"/>
          <w:szCs w:val="20"/>
          <w:b w:val="1"/>
          <w:bCs w:val="1"/>
          <w:i w:val="1"/>
          <w:iCs w:val="1"/>
          <w:color w:val="auto"/>
        </w:rPr>
        <w:t>ACLU v. Myriad Genetics, Inc,</w:t>
      </w:r>
      <w:r>
        <w:rPr>
          <w:rFonts w:ascii="Times New Roman" w:cs="Times New Roman" w:eastAsia="Times New Roman" w:hAnsi="Times New Roman"/>
          <w:sz w:val="20"/>
          <w:szCs w:val="20"/>
          <w:color w:val="auto"/>
        </w:rPr>
        <w:t xml:space="preserve"> that an isolated genomic DNA sequence is not patent eligible while cDNA is eligible. The </w:t>
      </w:r>
      <w:r>
        <w:rPr>
          <w:rFonts w:ascii="Times New Roman" w:cs="Times New Roman" w:eastAsia="Times New Roman" w:hAnsi="Times New Roman"/>
          <w:sz w:val="20"/>
          <w:szCs w:val="20"/>
          <w:b w:val="1"/>
          <w:bCs w:val="1"/>
          <w:i w:val="1"/>
          <w:iCs w:val="1"/>
          <w:color w:val="auto"/>
        </w:rPr>
        <w:t>Prometheus and Myriad</w:t>
      </w:r>
      <w:r>
        <w:rPr>
          <w:rFonts w:ascii="Times New Roman" w:cs="Times New Roman" w:eastAsia="Times New Roman" w:hAnsi="Times New Roman"/>
          <w:sz w:val="20"/>
          <w:szCs w:val="20"/>
          <w:color w:val="auto"/>
        </w:rPr>
        <w:t xml:space="preserve"> decisions, as well as subsequent case law, affect the legal concept of subject matter eligibility by seemingly narrowing the scope of the statute defining patentable inventions.</w:t>
      </w:r>
    </w:p>
    <w:p>
      <w:pPr>
        <w:spacing w:after="0" w:line="170" w:lineRule="exact"/>
        <w:rPr>
          <w:sz w:val="20"/>
          <w:szCs w:val="20"/>
          <w:color w:val="auto"/>
        </w:rPr>
      </w:pPr>
    </w:p>
    <w:p>
      <w:pPr>
        <w:jc w:val="both"/>
        <w:ind w:firstLine="360"/>
        <w:spacing w:after="0" w:line="270" w:lineRule="auto"/>
        <w:rPr>
          <w:sz w:val="20"/>
          <w:szCs w:val="20"/>
          <w:color w:val="auto"/>
        </w:rPr>
      </w:pPr>
      <w:r>
        <w:rPr>
          <w:rFonts w:ascii="Times New Roman" w:cs="Times New Roman" w:eastAsia="Times New Roman" w:hAnsi="Times New Roman"/>
          <w:sz w:val="19"/>
          <w:szCs w:val="19"/>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Times New Roman" w:cs="Times New Roman" w:eastAsia="Times New Roman" w:hAnsi="Times New Roman"/>
          <w:sz w:val="19"/>
          <w:szCs w:val="19"/>
          <w:b w:val="1"/>
          <w:bCs w:val="1"/>
          <w:i w:val="1"/>
          <w:iCs w:val="1"/>
          <w:color w:val="auto"/>
        </w:rPr>
        <w:t>Mayo, Association for Molecular Pathology v. Myriad Genetics, Inc.</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b w:val="1"/>
          <w:bCs w:val="1"/>
          <w:i w:val="1"/>
          <w:iCs w:val="1"/>
          <w:color w:val="auto"/>
        </w:rPr>
        <w:t xml:space="preserve"> Alice Corporation Pty. Ltd. v. CLS Bank International</w:t>
      </w:r>
      <w:r>
        <w:rPr>
          <w:rFonts w:ascii="Times New Roman" w:cs="Times New Roman" w:eastAsia="Times New Roman" w:hAnsi="Times New Roman"/>
          <w:sz w:val="19"/>
          <w:szCs w:val="19"/>
          <w:color w:val="auto"/>
        </w:rPr>
        <w:t>, and others. The guidance indicates that claims directed to a law of nature, a natural phenomenon,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 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15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Additional substantive changes to patent law, whether new or associated with the America Invents Act which substantially revised the U.S. patent system,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adequately protect our trade secrets and other proprietary information, including the databases we manage and to which we have access, the value of our technology and products could be significantly diminished.</w:t>
      </w:r>
    </w:p>
    <w:p>
      <w:pPr>
        <w:spacing w:after="0" w:line="15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non-disclosure agreements and our employees to enter into confidentiality and proprietary rights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1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3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60"/>
          </w:cols>
          <w:pgMar w:left="1440" w:top="1378" w:right="1440" w:bottom="0" w:gutter="0" w:footer="0" w:header="0"/>
          <w:type w:val="continuous"/>
        </w:sectPr>
      </w:pPr>
    </w:p>
    <w:bookmarkStart w:id="56" w:name="page57"/>
    <w:bookmarkEnd w:id="56"/>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spacing w:after="0" w:line="15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156"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7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Because the USPTO maintains patent applications in secrecy until a patent application publishes or the patent is issued, we have no way of knowing if others may have filed patent applications covering technologies used by it or our partners. Additionally, there may be third-party patents, and other intellectual property rights relevant to our technologies that may block us from commercializing our technologies. From time-to-time, we have received correspondence from third parties alleging to hold intellectual property rights that could block our development or commercialization of products. While none of these inquiries to date have had any material effect on us,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we would prevail in any such suits to the extent necessary to conduct our business according to our strategic plan or that the damages or other remedies, if any, awarded against us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17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17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5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use of open-source software could subject our business to possible litigation or cause us to subject our platform to unwanted open-source license conditions that could negatively impact our sales.</w:t>
      </w:r>
    </w:p>
    <w:p>
      <w:pPr>
        <w:spacing w:after="0" w:line="137"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A limited but meaningful portion of our platforms and products incorporate open-source software, and we will incorporate open-source software into other offerings or products in the future. Such open-source software is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60"/>
          </w:cols>
          <w:pgMar w:left="1440" w:top="1378" w:right="1440" w:bottom="0" w:gutter="0" w:footer="0" w:header="0"/>
          <w:type w:val="continuous"/>
        </w:sectPr>
      </w:pPr>
    </w:p>
    <w:bookmarkStart w:id="57" w:name="page58"/>
    <w:bookmarkEnd w:id="57"/>
    <w:p>
      <w:pPr>
        <w:jc w:val="both"/>
        <w:spacing w:after="0" w:line="254" w:lineRule="auto"/>
        <w:rPr>
          <w:sz w:val="20"/>
          <w:szCs w:val="20"/>
          <w:color w:val="auto"/>
        </w:rPr>
      </w:pPr>
      <w:r>
        <w:rPr>
          <w:rFonts w:ascii="Times New Roman" w:cs="Times New Roman" w:eastAsia="Times New Roman" w:hAnsi="Times New Roman"/>
          <w:sz w:val="20"/>
          <w:szCs w:val="20"/>
          <w:color w:val="auto"/>
        </w:rPr>
        <w:t>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rely on strategic collaborative and licensing arrangements with third parties to develop intellectual property.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successfully establish and maintain such intellectual property.</w:t>
      </w:r>
    </w:p>
    <w:p>
      <w:pPr>
        <w:spacing w:after="0" w:line="19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7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Cybersecurity, Privacy and Information Technology</w:t>
      </w: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15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pacing w:after="0" w:line="169"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The occurrence of a natural disaster, closure of a facility, or other unanticipated problems at our data centers could result in lengthy interruptions in our service. In addition, our products and services are highly technical and</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60"/>
          </w:cols>
          <w:pgMar w:left="1440" w:top="1378" w:right="1440" w:bottom="0" w:gutter="0" w:footer="0" w:header="0"/>
          <w:type w:val="continuous"/>
        </w:sectPr>
      </w:pPr>
    </w:p>
    <w:bookmarkStart w:id="58" w:name="page59"/>
    <w:bookmarkEnd w:id="58"/>
    <w:p>
      <w:pPr>
        <w:jc w:val="both"/>
        <w:spacing w:after="0" w:line="281" w:lineRule="auto"/>
        <w:rPr>
          <w:sz w:val="20"/>
          <w:szCs w:val="20"/>
          <w:color w:val="auto"/>
        </w:rPr>
      </w:pPr>
      <w:r>
        <w:rPr>
          <w:rFonts w:ascii="Times New Roman" w:cs="Times New Roman" w:eastAsia="Times New Roman" w:hAnsi="Times New Roman"/>
          <w:sz w:val="20"/>
          <w:szCs w:val="20"/>
          <w:color w:val="auto"/>
        </w:rPr>
        <w:t>complex and may contain errors or vulnerabilities, which could result in interruptions in or failure of our services or systems.</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Security breaches, privacy issues, loss of data and other incidents could continue to compromise sensitive, protected, or personal information related to our business, could prevent it from accessing critical information, and could expose it to regulatory liability, which could adversely affect our business.</w:t>
      </w:r>
    </w:p>
    <w:p>
      <w:pPr>
        <w:spacing w:after="0" w:line="15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In the ordinary course of our business, our collection and storing of PHI also includes more sensitive data, such as genetic information, as well as personally identifiable information, genetic information, credit card information, financial information, intellectual property and proprietary business information owned or controlled by us or our customers, payers and other parties. We manage and maintain our applications and data utilizing a combination of on-site systems, managed data center systems and cloud-based systems. We also communicate PHI and other sensitive patient data through our various customer tools and platforms, and in physical form.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continue to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7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lost or stolen technology, or other disruptions. Any such breach or interruption could compromise our networks and the information stored therein could be accessed by unauthorized parties, altered, publicly disclosed, lost or stolen.</w:t>
      </w:r>
    </w:p>
    <w:p>
      <w:pPr>
        <w:spacing w:after="0" w:line="16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For example, as noted above, pursuant to guidance recently issued by OCR, HIPAA covered entities and business associates who permit tracking technology vendors to collect PHI from their patients must enter into a HIPAA compliant business associate agreement with that vendor or obtain advance consent. We have utilized, and may continue to utilize, tracking technologies on one or more of our websites, and may not be able to do so in a manner that is consistent with what HIPAA requires. Should we actually violate, or be perceived to have violated, any privacy promises our business makes to patients or consumers, we could be subject to a complaint from an affected individual or interested privacy regulator, such as OCR, the FTC, a state Attorney General, an EU Member State Data Protection Authority, or a data protection authority in another international jurisdiction. This risk is heightened given the sensitivity of the data we collect.</w:t>
      </w:r>
    </w:p>
    <w:p>
      <w:pPr>
        <w:spacing w:after="0" w:line="176"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360"/>
          </w:cols>
          <w:pgMar w:left="1440" w:top="1378" w:right="1440" w:bottom="0" w:gutter="0" w:footer="0" w:header="0"/>
          <w:type w:val="continuous"/>
        </w:sectPr>
      </w:pPr>
    </w:p>
    <w:bookmarkStart w:id="59" w:name="page60"/>
    <w:bookmarkEnd w:id="59"/>
    <w:p>
      <w:pPr>
        <w:jc w:val="both"/>
        <w:spacing w:after="0" w:line="255" w:lineRule="auto"/>
        <w:rPr>
          <w:sz w:val="20"/>
          <w:szCs w:val="20"/>
          <w:color w:val="auto"/>
        </w:rPr>
      </w:pPr>
      <w:r>
        <w:rPr>
          <w:rFonts w:ascii="Times New Roman" w:cs="Times New Roman" w:eastAsia="Times New Roman" w:hAnsi="Times New Roman"/>
          <w:sz w:val="20"/>
          <w:szCs w:val="20"/>
          <w:color w:val="auto"/>
        </w:rPr>
        <w:t>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(“UDAP”), statutes may also vary significantly.</w:t>
      </w:r>
    </w:p>
    <w:p>
      <w:pPr>
        <w:spacing w:after="0" w:line="170"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13"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0"/>
          <w:szCs w:val="20"/>
          <w:color w:val="auto"/>
        </w:rPr>
        <w:t>Further, the United Kingdom’s decision to leave the EU, often referred to as Brexit, has created uncertainty with regard to data protection regulation in the United Kingdom. In particular, it is still unclear whether the transfer of personal information from the EU to the United Kingdom will in the future remain lawful under the GDPR. The United Kingdom-EU post-Brexit trade deal provides that transfers of personal information to the United Kingdom will not be treated as restricted transfers to a non-EU country for a period of up to six months from January 1, 2021. However, unless the EU Commission makes an “adequacy finding” with respect to the United Kingdom before the end of that transition period, from that date the United Kingdom will be a “third country” under the GDPR and transfers of personal information from the EU to the United Kingdom will require an “adequacy mechanism,” such as the SCCs.</w:t>
      </w:r>
    </w:p>
    <w:p>
      <w:pPr>
        <w:spacing w:after="0" w:line="169"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(“CPRA,”) that went into effect on January 1, 2023. The CPRA among other things, amends the CCPA to give California residents the ability to limit the use of their sensitive information provides for penalties for CPRA violations concerning California residents under the age of 16, and establishes a new California Privacy Protection Agency to implement and enforce the law. Other jurisdictions in the United States are beginning to propose laws similar to CCPA. Some observers have noted that</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1378" w:right="1440" w:bottom="0" w:gutter="0" w:footer="0" w:header="0"/>
          <w:type w:val="continuous"/>
        </w:sectPr>
      </w:pPr>
    </w:p>
    <w:bookmarkStart w:id="60" w:name="page61"/>
    <w:bookmarkEnd w:id="60"/>
    <w:p>
      <w:pPr>
        <w:jc w:val="both"/>
        <w:spacing w:after="0" w:line="281" w:lineRule="auto"/>
        <w:rPr>
          <w:sz w:val="20"/>
          <w:szCs w:val="20"/>
          <w:color w:val="auto"/>
        </w:rPr>
      </w:pPr>
      <w:r>
        <w:rPr>
          <w:rFonts w:ascii="Times New Roman" w:cs="Times New Roman" w:eastAsia="Times New Roman" w:hAnsi="Times New Roman"/>
          <w:sz w:val="20"/>
          <w:szCs w:val="20"/>
          <w:color w:val="auto"/>
        </w:rPr>
        <w:t>the CCPA could mark the beginning of a trend toward more stringent privacy legislation, which could increase our potential liability and adversely affect our business, results of operations, and financial condition.</w:t>
      </w:r>
    </w:p>
    <w:p>
      <w:pPr>
        <w:spacing w:after="0" w:line="14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6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63"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Our products and services involve the storage and transmission of protected health information and other personal information,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173"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17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5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depend on our scientific computing and information technology and management systems and any failure of these systems could harm our business.</w:t>
      </w:r>
    </w:p>
    <w:p>
      <w:pPr>
        <w:spacing w:after="0" w:line="137"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We depend on scientific computing and information technology and management systems, including third-party cloud computing infrastructure, operating systems and artificial intelligence platforms, for significant elements of</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360"/>
          </w:cols>
          <w:pgMar w:left="1440" w:top="1378" w:right="1440" w:bottom="0" w:gutter="0" w:footer="0" w:header="0"/>
          <w:type w:val="continuous"/>
        </w:sectPr>
      </w:pPr>
    </w:p>
    <w:bookmarkStart w:id="61" w:name="page62"/>
    <w:bookmarkEnd w:id="61"/>
    <w:p>
      <w:pPr>
        <w:jc w:val="both"/>
        <w:spacing w:after="0" w:line="266" w:lineRule="auto"/>
        <w:rPr>
          <w:sz w:val="20"/>
          <w:szCs w:val="20"/>
          <w:color w:val="auto"/>
        </w:rPr>
      </w:pPr>
      <w:r>
        <w:rPr>
          <w:rFonts w:ascii="Times New Roman" w:cs="Times New Roman" w:eastAsia="Times New Roman" w:hAnsi="Times New Roman"/>
          <w:sz w:val="20"/>
          <w:szCs w:val="20"/>
          <w:color w:val="auto"/>
        </w:rPr>
        <w:t>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15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5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have installed, and expect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17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payors,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16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transfer data stored outside of the United States could be limited by international regulations or other action by foreign governments, which could adversely affect our business.</w:t>
      </w:r>
    </w:p>
    <w:p>
      <w:pPr>
        <w:spacing w:after="0" w:line="13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Some of the data we process in the ordinary course of our business may be stored outside of the United States.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Being a Public Company</w:t>
      </w:r>
    </w:p>
    <w:p>
      <w:pPr>
        <w:spacing w:after="0" w:line="20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3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As a public company, we incur significant legal, accounting and other expenses, including costs associated with public company reporting requirements. In addition, the Sarbanes-Oxley Act of 2002 (the “Sarbanes-Oxley Act”) as well as rules implemented by the SEC and the Nasdaq Stock Market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1378" w:right="1440" w:bottom="0" w:gutter="0" w:footer="0" w:header="0"/>
          <w:type w:val="continuous"/>
        </w:sectPr>
      </w:pPr>
    </w:p>
    <w:bookmarkStart w:id="62" w:name="page63"/>
    <w:bookmarkEnd w:id="62"/>
    <w:p>
      <w:pPr>
        <w:jc w:val="both"/>
        <w:spacing w:after="0" w:line="260" w:lineRule="auto"/>
        <w:rPr>
          <w:sz w:val="20"/>
          <w:szCs w:val="20"/>
          <w:color w:val="auto"/>
        </w:rPr>
      </w:pPr>
      <w:r>
        <w:rPr>
          <w:rFonts w:ascii="Times New Roman" w:cs="Times New Roman" w:eastAsia="Times New Roman" w:hAnsi="Times New Roman"/>
          <w:sz w:val="20"/>
          <w:szCs w:val="20"/>
          <w:color w:val="auto"/>
        </w:rPr>
        <w:t>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15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 market for our securities may not continue, which would adversely affect the liquidity and price of our securities.</w:t>
      </w:r>
    </w:p>
    <w:p>
      <w:pPr>
        <w:spacing w:after="0" w:line="13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The price of our securities may fluctuate significantly due to general market and economic conditions. An active trading market for our securities may not be sustained, including if we fail to comply with the continued listing requirements of Nasdaq and our securities are delisted from the Nasdaq. See "--Risks Related to Our Common Stock and Warrants--If we fail to comply with the continued listing requirements of the Nasdaq, our Class A common stock and our public warrants may be delisted and the price of our Class A common stock and our warrants and our ability to access the capital markets could be negatively impacted.".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do not meet the expectations of investors, stockholders or financial analysts, the market price of our securities may decline.</w:t>
      </w:r>
    </w:p>
    <w:p>
      <w:pPr>
        <w:spacing w:after="0" w:line="13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Factors affecting the trading price of our securities may include:</w:t>
      </w:r>
    </w:p>
    <w:p>
      <w:pPr>
        <w:spacing w:after="0" w:line="210" w:lineRule="exact"/>
        <w:rPr>
          <w:sz w:val="20"/>
          <w:szCs w:val="20"/>
          <w:color w:val="auto"/>
        </w:rPr>
      </w:pPr>
    </w:p>
    <w:p>
      <w:pPr>
        <w:ind w:left="720" w:hanging="360"/>
        <w:spacing w:after="0" w:line="281"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quarterly financial results or the quarterly financial results of companies perceived to be similar to us;</w:t>
      </w:r>
    </w:p>
    <w:p>
      <w:pPr>
        <w:spacing w:after="0" w:line="14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market’s expectations about our operating results;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public’s reaction to our press releases, our other public announcements and our filings with the SEC;</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speculation in the press or investment community;</w:t>
      </w:r>
    </w:p>
    <w:p>
      <w:pPr>
        <w:spacing w:after="0" w:line="210"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of technological innovation, new products, acquisitions, strategic alliances, significant agreements by us or competitors;</w:t>
      </w:r>
    </w:p>
    <w:p>
      <w:pPr>
        <w:spacing w:after="0" w:line="14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 of competitors;</w:t>
      </w:r>
    </w:p>
    <w:p>
      <w:pPr>
        <w:spacing w:after="0" w:line="210"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results falling below our financial guidance or other projections or failing to meet the expectation of securities analysts or investors in a particular period;</w:t>
      </w:r>
    </w:p>
    <w:p>
      <w:pPr>
        <w:spacing w:after="0" w:line="14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financial estimates and recommendations by securities analysts concerning us or the market in general;</w:t>
      </w:r>
    </w:p>
    <w:p>
      <w:pPr>
        <w:spacing w:after="0" w:line="14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and stock price performance of other companies that investors deem comparable to us;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market new and enhanced products on a timely basis;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and regulations affecting our business;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360"/>
          </w:cols>
          <w:pgMar w:left="1440" w:top="1378" w:right="1440" w:bottom="0" w:gutter="0" w:footer="0" w:header="0"/>
          <w:type w:val="continuous"/>
        </w:sectPr>
      </w:pPr>
    </w:p>
    <w:bookmarkStart w:id="63" w:name="page64"/>
    <w:bookmarkEnd w:id="63"/>
    <w:p>
      <w:pPr>
        <w:ind w:left="720" w:hanging="36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commencement of, or involvement in, litigation involving us;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capital structure, such as future issuances of securities or the incurrence of additional debt;</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volume of shares of our Class A common stock available for public sale;</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major change in our Board or management;</w:t>
      </w:r>
    </w:p>
    <w:p>
      <w:pPr>
        <w:spacing w:after="0" w:line="210"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substantial amounts of Class A common stock by our directors, officers or significant stockholders or the perception that such sales could occur;</w:t>
      </w:r>
    </w:p>
    <w:p>
      <w:pPr>
        <w:spacing w:after="0" w:line="14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of the market stand-off or contractual lock-up agreements;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realization of any of the risk factors described herein;</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key personnel;</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comply with the requirements of the Nasdaq;</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comply with the Sarbanes-Oxley Act or other laws or regulations;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potential or perceived control, accounting or reporting problems;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principles, policies and guidelines; and</w:t>
      </w:r>
    </w:p>
    <w:p>
      <w:pPr>
        <w:spacing w:after="0" w:line="210"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and political conditions such as recessions, rising inflation and interest rates, global conflicts such as the war in Ukraine, fuel prices, international currency fluctuations and acts of war or terrorism.</w:t>
      </w:r>
    </w:p>
    <w:p>
      <w:pPr>
        <w:spacing w:after="0" w:line="15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7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In the past, securities class action litigation has often been initiated against companies following periods of volatility in their stock price. In particular, on September 7, 2022, a shareholder class action lawsuit was filed in the United States District Court for the District of Connecticut against the Company and certain of the Company’s current and former officers. For more information, see “Item 3. Legal Proceedings.” This type of litigation could result in substantial costs and divert our management’s attention and resources, and could also require us to make substantial payments to satisfy judgments or to settle litigation.</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cease publishing research or reports about us, our business, or our market, or if they change their recommendations regarding our Class A common stock adversely, then the price and trading volume of our Class A common stock could decline.</w:t>
      </w:r>
    </w:p>
    <w:p>
      <w:pPr>
        <w:spacing w:after="0" w:line="156"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The trading market for our Class A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Class A common stock would likely decline. If any analyst who covers us were to cease coverage of us or fail to regularly publish reports on us, we could lose visibility in the financial markets, which could cause our stock price or trading volume to decline.</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360"/>
          </w:cols>
          <w:pgMar w:left="1440" w:top="1378" w:right="1440" w:bottom="0" w:gutter="0" w:footer="0" w:header="0"/>
          <w:type w:val="continuous"/>
        </w:sectPr>
      </w:pPr>
    </w:p>
    <w:bookmarkStart w:id="64" w:name="page65"/>
    <w:bookmarkEnd w:id="64"/>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Changes in laws, regulations or rules, or a failure to comply with any laws, regulations or rules, may adversely affect our business, investments and results of operations.</w:t>
      </w:r>
    </w:p>
    <w:p>
      <w:pPr>
        <w:spacing w:after="0" w:line="13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contained in our Charter and Bylaws, as well as provisions of Delaware law, could impair a takeover attempt.</w:t>
      </w:r>
    </w:p>
    <w:p>
      <w:pPr>
        <w:spacing w:after="0" w:line="13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Our Amended and Restated Certificate of Incorporation, as amended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68" w:lineRule="exact"/>
        <w:rPr>
          <w:sz w:val="20"/>
          <w:szCs w:val="20"/>
          <w:color w:val="auto"/>
        </w:rPr>
      </w:pPr>
    </w:p>
    <w:p>
      <w:pPr>
        <w:ind w:left="720" w:hanging="360"/>
        <w:spacing w:after="0" w:line="281"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cumulative voting in the election of directors, which limits the ability of minority stockholders to elect director candidates;</w:t>
      </w:r>
    </w:p>
    <w:p>
      <w:pPr>
        <w:spacing w:after="0" w:line="14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classified board of directors with three-year staggered terms, which could delay the ability of stockholders to change the membership of a majority of the Board;</w:t>
      </w:r>
    </w:p>
    <w:p>
      <w:pPr>
        <w:spacing w:after="0" w:line="14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directors may only be removed from the Board for cause;</w:t>
      </w:r>
    </w:p>
    <w:p>
      <w:pPr>
        <w:spacing w:after="0" w:line="210"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55"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prohibition on stockholder action by written consent, which forces stockholder action to be taken at an annual or special meeting of our stockholders;</w:t>
      </w:r>
    </w:p>
    <w:p>
      <w:pPr>
        <w:spacing w:after="0" w:line="141"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pacing w:after="0" w:line="163"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changes or amendments to certain provisions of our Charter must be approved by holders of at least two-thirds of our Class A common stock; and</w:t>
      </w:r>
    </w:p>
    <w:p>
      <w:pPr>
        <w:spacing w:after="0" w:line="141"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5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3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w:t>
      </w:r>
    </w:p>
    <w:p>
      <w:pPr>
        <w:sectPr>
          <w:pgSz w:w="12240" w:h="15840" w:orient="portrait"/>
          <w:cols w:equalWidth="0" w:num="1">
            <w:col w:w="9360"/>
          </w:cols>
          <w:pgMar w:left="1440" w:top="1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360"/>
          </w:cols>
          <w:pgMar w:left="1440" w:top="1369" w:right="1440" w:bottom="0" w:gutter="0" w:footer="0" w:header="0"/>
          <w:type w:val="continuous"/>
        </w:sectPr>
      </w:pPr>
    </w:p>
    <w:bookmarkStart w:id="65" w:name="page66"/>
    <w:bookmarkEnd w:id="65"/>
    <w:p>
      <w:pPr>
        <w:jc w:val="both"/>
        <w:spacing w:after="0" w:line="254" w:lineRule="auto"/>
        <w:rPr>
          <w:sz w:val="20"/>
          <w:szCs w:val="20"/>
          <w:color w:val="auto"/>
        </w:rPr>
      </w:pPr>
      <w:r>
        <w:rPr>
          <w:rFonts w:ascii="Times New Roman" w:cs="Times New Roman" w:eastAsia="Times New Roman" w:hAnsi="Times New Roman"/>
          <w:sz w:val="20"/>
          <w:szCs w:val="20"/>
          <w:color w:val="auto"/>
        </w:rPr>
        <w:t>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$1.235 billion; or (c) in which we are deemed to be a large accelerated filer, which means the market value of our Class A common stock that is held by non-affiliates exceeds $700.0 million as of the prior June 30th, and (ii) the date on which we have issued more than $1.0 billion in non-convertible debt during the prior three-year period.</w:t>
      </w:r>
    </w:p>
    <w:p>
      <w:pPr>
        <w:spacing w:after="0" w:line="16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Class A common stock held by non-affiliates exceeds $250 million as of the prior June 30, or (ii) our annual revenues exceeded $100 million during such completed fiscal year and the market value of our Class A common stock held by non-affiliates exceeds $700 million as of the prior June 30.</w:t>
      </w:r>
    </w:p>
    <w:p>
      <w:pPr>
        <w:spacing w:after="0" w:line="17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spacing w:after="0" w:line="14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internal controls over financial reporting may not be effective which could have a significant and adverse effect on our business and reputation.</w:t>
      </w:r>
    </w:p>
    <w:p>
      <w:pPr>
        <w:spacing w:after="0" w:line="13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7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360"/>
          </w:cols>
          <w:pgMar w:left="1440" w:top="1378" w:right="1440" w:bottom="0" w:gutter="0" w:footer="0" w:header="0"/>
          <w:type w:val="continuous"/>
        </w:sectPr>
      </w:pPr>
    </w:p>
    <w:bookmarkStart w:id="66" w:name="page67"/>
    <w:bookmarkEnd w:id="66"/>
    <w:p>
      <w:pPr>
        <w:jc w:val="both"/>
        <w:spacing w:after="0" w:line="260" w:lineRule="auto"/>
        <w:rPr>
          <w:sz w:val="20"/>
          <w:szCs w:val="20"/>
          <w:color w:val="auto"/>
        </w:rPr>
      </w:pPr>
      <w:r>
        <w:rPr>
          <w:rFonts w:ascii="Times New Roman" w:cs="Times New Roman" w:eastAsia="Times New Roman" w:hAnsi="Times New Roman"/>
          <w:sz w:val="20"/>
          <w:szCs w:val="20"/>
          <w:color w:val="auto"/>
        </w:rPr>
        <w:t>as an emerging growth company, investors may lose confidence in the accuracy and completeness of our financial reports and the market price of our Class A common stock could be negatively affected, and we could become subject to investigations by the SEC or other regulatory authorities, which could require additional financial and management resources.</w:t>
      </w:r>
    </w:p>
    <w:p>
      <w:pPr>
        <w:spacing w:after="0" w:line="154" w:lineRule="exact"/>
        <w:rPr>
          <w:sz w:val="20"/>
          <w:szCs w:val="20"/>
          <w:color w:val="auto"/>
        </w:rPr>
      </w:pPr>
    </w:p>
    <w:p>
      <w:pPr>
        <w:jc w:val="both"/>
        <w:ind w:hanging="27"/>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Charter and our Bylaws designate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200" w:lineRule="exact"/>
        <w:rPr>
          <w:sz w:val="20"/>
          <w:szCs w:val="20"/>
          <w:color w:val="auto"/>
        </w:rPr>
      </w:pPr>
    </w:p>
    <w:p>
      <w:pPr>
        <w:spacing w:after="0" w:line="201" w:lineRule="exact"/>
        <w:rPr>
          <w:sz w:val="20"/>
          <w:szCs w:val="20"/>
          <w:color w:val="auto"/>
        </w:rPr>
      </w:pPr>
    </w:p>
    <w:p>
      <w:pPr>
        <w:ind w:right="160" w:firstLine="360"/>
        <w:spacing w:after="0" w:line="244" w:lineRule="auto"/>
        <w:rPr>
          <w:sz w:val="20"/>
          <w:szCs w:val="20"/>
          <w:color w:val="auto"/>
        </w:rPr>
      </w:pPr>
      <w:r>
        <w:rPr>
          <w:rFonts w:ascii="Times New Roman" w:cs="Times New Roman" w:eastAsia="Times New Roman" w:hAnsi="Times New Roman"/>
          <w:sz w:val="20"/>
          <w:szCs w:val="20"/>
          <w:color w:val="auto"/>
        </w:rPr>
        <w:t>Our Charter and our Amended and Restated Bylaws (our “Bylaws”) designate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Charter and our Bylaws provide that, subject to limited exceptions, the Court of Chancery of the State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Delaware and federal court within the State of Delaware will be exclusive forums for any:</w:t>
      </w:r>
    </w:p>
    <w:p>
      <w:pPr>
        <w:spacing w:after="0" w:line="190" w:lineRule="exact"/>
        <w:rPr>
          <w:sz w:val="20"/>
          <w:szCs w:val="20"/>
          <w:color w:val="auto"/>
        </w:rPr>
      </w:pPr>
    </w:p>
    <w:p>
      <w:pPr>
        <w:ind w:left="720" w:hanging="36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 action or proceeding brought on our behalf;</w:t>
      </w:r>
    </w:p>
    <w:p>
      <w:pPr>
        <w:spacing w:after="0" w:line="210"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 asserting a claim of breach of a fiduciary duty owed by, or other wrongdoing by, any of our directors, officers, stockholders, employees or agents to us or our stockholders;</w:t>
      </w:r>
    </w:p>
    <w:p>
      <w:pPr>
        <w:spacing w:after="0" w:line="141"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 asserting a claim against the us or any of our directors, officers, stockholders, employees or agents arising pursuant to any provision of the General Corporation Law, our Charter or our Bylaws or as to which the General Corporation Law confers jurisdiction on the Court of Chancery of the State of Delaware:</w:t>
      </w:r>
    </w:p>
    <w:p>
      <w:pPr>
        <w:spacing w:after="0" w:line="155"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 to interpret, apply, enforce or determine the validity of our Charter or our Bylaws; or</w:t>
      </w:r>
    </w:p>
    <w:p>
      <w:pPr>
        <w:spacing w:after="0" w:line="210"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action asserting a claim against us or any of our directors, officers, stockholders, employees or agents that is governed by the internal affairs doctrine.</w:t>
      </w:r>
    </w:p>
    <w:p>
      <w:pPr>
        <w:spacing w:after="0" w:line="14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These provisions do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these provisions in our Charter and our Bylaws.</w:t>
      </w:r>
    </w:p>
    <w:p>
      <w:pPr>
        <w:spacing w:after="0" w:line="17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provisions contained in our Charter and our Bylaws to be inapplicable or unenforceable in an action, we may incur additional costs associated with resolving such action in other jurisdictions, which could harm our business, results of operations and financial condition.</w:t>
      </w:r>
    </w:p>
    <w:p>
      <w:pPr>
        <w:spacing w:after="0" w:line="164"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The stockholders will not be deemed to have waived our compliance with the federal securities laws and the regulations promulgated thereunder.</w:t>
      </w:r>
    </w:p>
    <w:p>
      <w:pPr>
        <w:spacing w:after="0" w:line="14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Any person or entity purchasing or otherwise acquiring or holding any interest in any of our securities shall be deemed to have notice of and consented to our exclusive forum provisions.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360"/>
          </w:cols>
          <w:pgMar w:left="1440" w:top="1378" w:right="144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 and Warrants</w:t>
      </w:r>
    </w:p>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spacing w:after="0" w:line="16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redeem unexpired public warrants prior to their exercise at a time that is disadvantageous to warrant holders, thereby making their public warrants worthless.</w:t>
      </w:r>
    </w:p>
    <w:p>
      <w:pPr>
        <w:spacing w:after="0" w:line="13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CMLS Holdings LLC, (the “Former Sponsor”) or its permitted transferees.</w:t>
      </w:r>
    </w:p>
    <w:p>
      <w:pPr>
        <w:spacing w:after="0" w:line="16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warrants are exercisable for our Class A common stock, which will increase the number of shares eligible for future resale in the public market and result in dilution to our stockholders.</w:t>
      </w:r>
    </w:p>
    <w:p>
      <w:pPr>
        <w:spacing w:after="0" w:line="13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As of December 31, 2022, our public warrants are exercisable for 14,758,305 shares of Class A common stock at $11.50 per share. Our private warrants are exercisable for 7,236,667 shares of Class A common stock at $11.50 per share. The additional shares of our Class A common stock issuable upon exercise of our warrants will result in dilution to the then existing holders of our Class A common stock and increase the number of shares eligible for resale in the public market. Sales of substantial numbers of such shares in the public market could adversely affect the market price of our Class A common stock.</w:t>
      </w:r>
    </w:p>
    <w:p>
      <w:pPr>
        <w:spacing w:after="0" w:line="15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warrants are accounted for as liabilities and the changes in value of our warrants could have a material effect on our financial results.</w:t>
      </w:r>
    </w:p>
    <w:p>
      <w:pPr>
        <w:spacing w:after="0" w:line="13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Included on our consolidated balance sheet as of December 31, 2022 are derivative liabilities related to our warrants. Accounting Standards Codification 815, Derivatives and Hedging (“ASC 815”), provides for the remeasurement of the fair value of such derivatives at each balance sheet date, with a resulting non-cash gain or loss</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360"/>
          </w:cols>
          <w:pgMar w:left="1440" w:top="1371" w:right="1440" w:bottom="0" w:gutter="0" w:footer="0" w:header="0"/>
          <w:type w:val="continuous"/>
        </w:sectPr>
      </w:pPr>
    </w:p>
    <w:bookmarkStart w:id="68" w:name="page69"/>
    <w:bookmarkEnd w:id="68"/>
    <w:p>
      <w:pPr>
        <w:jc w:val="both"/>
        <w:spacing w:after="0" w:line="255" w:lineRule="auto"/>
        <w:rPr>
          <w:sz w:val="20"/>
          <w:szCs w:val="20"/>
          <w:color w:val="auto"/>
        </w:rPr>
      </w:pPr>
      <w:r>
        <w:rPr>
          <w:rFonts w:ascii="Times New Roman" w:cs="Times New Roman" w:eastAsia="Times New Roman" w:hAnsi="Times New Roman"/>
          <w:sz w:val="20"/>
          <w:szCs w:val="20"/>
          <w:color w:val="auto"/>
        </w:rPr>
        <w:t>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 For example, during 2022, we recognized $21.1 million in non-cash gains on our warrants due to the change in fair market value. If the price of our Class A common stock increases, we expect we would incur non-cash losses on our warrants in future reporting periods.</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Future resales of our Class A common stock could cause the market price of our Class A common stock to drop significantly, even if our business is doing well.</w:t>
      </w:r>
    </w:p>
    <w:p>
      <w:pPr>
        <w:spacing w:after="0" w:line="13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15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We had outstanding 388,511,138 shares of Class A common stock as of December 31, 2022. We have filed a registration statement which registers the offer and sale from time to time by certain selling stockholders of up to 356,524,688 shares of our Class A common stock, although the 110,864,198 shares of our Class A common stock registered on behalf of OPKO pursuant to this registration statement will be subject to certain transfer restrictions pursuant to the shareholder agreements that were entered into in connection with the Acquisition. To the extent shares of our Class A common stock are sold into the market pursuant to an effective registration statement, under Rule 144 under the Securities Act or otherwise, particularly in substantial quantities and following the end of the transfer restrictions provided for in the shareholder agreements in the case of OPKO and the other stockholders party to such shareholder agreements, the market price of our Class A common stock could decline.</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There is no guarantee that the public warrants will ever be in the money, and they may expire worthless and the terms of our public warrants may be amended.</w:t>
      </w:r>
    </w:p>
    <w:p>
      <w:pPr>
        <w:spacing w:after="0" w:line="13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The exercise price for the public warrants is $11.50 per share of Class A common stock. There is no guarantee that the public warrants will ever be in the money prior to their expiration, and as such, the public warrants may expire worthless.</w:t>
      </w:r>
    </w:p>
    <w:p>
      <w:pPr>
        <w:spacing w:after="0" w:line="22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the continued listing requirements of the Nasdaq, our Class A common stock and our public warrants may be delisted and the price of our Class A common stock and our public warrants and our ability to access the capital markets could be negatively impacted.</w:t>
      </w:r>
    </w:p>
    <w:p>
      <w:pPr>
        <w:spacing w:after="0" w:line="212" w:lineRule="exact"/>
        <w:rPr>
          <w:sz w:val="20"/>
          <w:szCs w:val="20"/>
          <w:color w:val="auto"/>
        </w:rPr>
      </w:pPr>
    </w:p>
    <w:p>
      <w:pPr>
        <w:jc w:val="both"/>
        <w:ind w:firstLine="360"/>
        <w:spacing w:after="0" w:line="225" w:lineRule="auto"/>
        <w:rPr>
          <w:sz w:val="20"/>
          <w:szCs w:val="20"/>
          <w:color w:val="auto"/>
        </w:rPr>
      </w:pPr>
      <w:r>
        <w:rPr>
          <w:rFonts w:ascii="Times New Roman" w:cs="Times New Roman" w:eastAsia="Times New Roman" w:hAnsi="Times New Roman"/>
          <w:sz w:val="20"/>
          <w:szCs w:val="20"/>
          <w:color w:val="auto"/>
        </w:rPr>
        <w:t>Our Class A common stock and public warrants are listed on the Nasdaq under the symbols “WGS” and “WGSWW,” respectively. On December 28, 2022, we received a written notice from the Listing Qualifications Department of The Nasdaq Stock Market LLC that we were not in compliance with the Minimum Bid Price Requirement set forth in Nasdaq Listing Rule 5450(a)(1) for the last 30 consecutive trading days for continued listing on the Nasdaq. The Minimum Bid Price Requirement requires listed securities to maintain a minimum bid price of $1.00 per share, and Nasdaq Listing Rule 5810(c)(3)(A) provides that a failure to meet the Minimum Bid Price Requirement exists if the deficiency continues for a period of 30 consecutive trading days. The notification provided that we had 180 calendar days, or until June 26, 2023, to regain compliance with the Minimum Bid Price Requirement. To regain compliance, the closing bid price of our Class A common stock must be at least $1.00 per share for a minimum of 10 consecutive trading days prior to June 26, 2023, and we must otherwise satisfy The Nasdaq’s requirements for listing.</w:t>
      </w:r>
    </w:p>
    <w:p>
      <w:pPr>
        <w:spacing w:after="0" w:line="160"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No assurance can be given that we will meet applicable Nasdaq continued listing standards or that future noncompliance will not occur. Failure to meet applicable Nasdaq continued listing standards could result in a delisting of our Class A common stock or our public warrants from the Nasdaq, which could materially reduce the liquidity of our Class A common stock or public warrants and result in a corresponding material reduction in the price of our Class A common stock or public warrants. Investors’ ability to sell or purchase our securities when they wish to do so would also be impaired. In addition, delisting could harm our ability to raise capital through alternative financing sources on terms acceptable to us, or at all, and may result in the inability to expand our business, potential</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360"/>
          </w:cols>
          <w:pgMar w:left="1440" w:top="1378" w:right="1440" w:bottom="0" w:gutter="0" w:footer="0" w:header="0"/>
          <w:type w:val="continuous"/>
        </w:sectPr>
      </w:pPr>
    </w:p>
    <w:bookmarkStart w:id="69" w:name="page70"/>
    <w:bookmarkEnd w:id="69"/>
    <w:p>
      <w:pPr>
        <w:jc w:val="both"/>
        <w:spacing w:after="0" w:line="281" w:lineRule="auto"/>
        <w:rPr>
          <w:sz w:val="20"/>
          <w:szCs w:val="20"/>
          <w:color w:val="auto"/>
        </w:rPr>
      </w:pPr>
      <w:r>
        <w:rPr>
          <w:rFonts w:ascii="Times New Roman" w:cs="Times New Roman" w:eastAsia="Times New Roman" w:hAnsi="Times New Roman"/>
          <w:sz w:val="20"/>
          <w:szCs w:val="20"/>
          <w:color w:val="auto"/>
        </w:rPr>
        <w:t>loss of confidence by investors and employees, and fewer business development and strategic investment opportunities.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9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Properties for our core operations include our corporate office and headquarters located at 333 Ludlow Street, Stamford, Connecticut 06902, our primary operating laboratory located at 207 Perry Parkway, Gaithersburg, Maryland 20877, and a satellite meeting space located at 200 Park Avenue South, New York, NY 10002; each are leased spaces. As of the date of this Annual Report, our laboratory in Stamford, CT will fully cease operations by the end of March 2023 and, as of the date of this Annual Report, our laboratory in Branford, CT has fully ceased operations as part of the Company’s announced exits in 2022 from reproductive health and somatic tumor testing. These facilities are actively being marketed for sublet; however, the outstanding lease obligations remain obligations of the Company.</w:t>
      </w:r>
    </w:p>
    <w:p>
      <w:pPr>
        <w:spacing w:after="0" w:line="213"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Our material lease agreements for our offices and laboratory facilities as shown in the table below. We believe that our current facilities are suitable and adequate to meet our current needs.</w:t>
      </w:r>
    </w:p>
    <w:p>
      <w:pPr>
        <w:spacing w:after="0" w:line="11" w:lineRule="exact"/>
        <w:rPr>
          <w:sz w:val="20"/>
          <w:szCs w:val="20"/>
          <w:color w:val="auto"/>
        </w:rPr>
      </w:pPr>
    </w:p>
    <w:tbl>
      <w:tblPr>
        <w:tblLayout w:type="fixed"/>
        <w:tblInd w:w="1000" w:type="dxa"/>
        <w:tblCellMar>
          <w:top w:w="0" w:type="dxa"/>
          <w:left w:w="0" w:type="dxa"/>
          <w:bottom w:w="0" w:type="dxa"/>
          <w:right w:w="0" w:type="dxa"/>
        </w:tblCellMar>
      </w:tblPr>
      <w:tr>
        <w:trPr>
          <w:trHeight w:val="264"/>
        </w:trPr>
        <w:tc>
          <w:tcPr>
            <w:tcW w:w="3460" w:type="dxa"/>
            <w:vAlign w:val="bottom"/>
          </w:tcPr>
          <w:p>
            <w:pPr>
              <w:jc w:val="center"/>
              <w:ind w:right="689"/>
              <w:spacing w:after="0"/>
              <w:rPr>
                <w:sz w:val="20"/>
                <w:szCs w:val="20"/>
                <w:color w:val="auto"/>
              </w:rPr>
            </w:pPr>
            <w:r>
              <w:rPr>
                <w:rFonts w:ascii="Times New Roman" w:cs="Times New Roman" w:eastAsia="Times New Roman" w:hAnsi="Times New Roman"/>
                <w:sz w:val="20"/>
                <w:szCs w:val="20"/>
                <w:b w:val="1"/>
                <w:bCs w:val="1"/>
                <w:color w:val="auto"/>
                <w:w w:val="98"/>
              </w:rPr>
              <w:t>Properties</w:t>
            </w:r>
          </w:p>
        </w:tc>
        <w:tc>
          <w:tcPr>
            <w:tcW w:w="2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Term</w:t>
            </w:r>
          </w:p>
        </w:tc>
        <w:tc>
          <w:tcPr>
            <w:tcW w:w="1580" w:type="dxa"/>
            <w:vAlign w:val="bottom"/>
          </w:tcPr>
          <w:p>
            <w:pPr>
              <w:jc w:val="center"/>
              <w:ind w:left="589"/>
              <w:spacing w:after="0"/>
              <w:rPr>
                <w:sz w:val="20"/>
                <w:szCs w:val="20"/>
                <w:color w:val="auto"/>
              </w:rPr>
            </w:pPr>
            <w:r>
              <w:rPr>
                <w:rFonts w:ascii="Times New Roman" w:cs="Times New Roman" w:eastAsia="Times New Roman" w:hAnsi="Times New Roman"/>
                <w:sz w:val="20"/>
                <w:szCs w:val="20"/>
                <w:b w:val="1"/>
                <w:bCs w:val="1"/>
                <w:color w:val="auto"/>
                <w:w w:val="99"/>
              </w:rPr>
              <w:t>Space</w:t>
            </w:r>
          </w:p>
        </w:tc>
      </w:tr>
      <w:tr>
        <w:trPr>
          <w:trHeight w:val="253"/>
        </w:trPr>
        <w:tc>
          <w:tcPr>
            <w:tcW w:w="3460" w:type="dxa"/>
            <w:vAlign w:val="bottom"/>
          </w:tcPr>
          <w:p>
            <w:pPr>
              <w:jc w:val="center"/>
              <w:ind w:right="689"/>
              <w:spacing w:after="0"/>
              <w:rPr>
                <w:sz w:val="20"/>
                <w:szCs w:val="20"/>
                <w:color w:val="auto"/>
              </w:rPr>
            </w:pPr>
            <w:r>
              <w:rPr>
                <w:rFonts w:ascii="Times New Roman" w:cs="Times New Roman" w:eastAsia="Times New Roman" w:hAnsi="Times New Roman"/>
                <w:sz w:val="18"/>
                <w:szCs w:val="18"/>
                <w:color w:val="auto"/>
                <w:w w:val="99"/>
              </w:rPr>
              <w:t>Stamford, CT Corporate Headquarter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 2033</w:t>
            </w:r>
          </w:p>
        </w:tc>
        <w:tc>
          <w:tcPr>
            <w:tcW w:w="1580" w:type="dxa"/>
            <w:vAlign w:val="bottom"/>
          </w:tcPr>
          <w:p>
            <w:pPr>
              <w:jc w:val="center"/>
              <w:ind w:left="589"/>
              <w:spacing w:after="0"/>
              <w:rPr>
                <w:sz w:val="20"/>
                <w:szCs w:val="20"/>
                <w:color w:val="auto"/>
              </w:rPr>
            </w:pPr>
            <w:r>
              <w:rPr>
                <w:rFonts w:ascii="Times New Roman" w:cs="Times New Roman" w:eastAsia="Times New Roman" w:hAnsi="Times New Roman"/>
                <w:sz w:val="18"/>
                <w:szCs w:val="18"/>
                <w:color w:val="auto"/>
                <w:w w:val="99"/>
              </w:rPr>
              <w:t>30,000 sq.ft.</w:t>
            </w:r>
          </w:p>
        </w:tc>
      </w:tr>
      <w:tr>
        <w:trPr>
          <w:trHeight w:val="255"/>
        </w:trPr>
        <w:tc>
          <w:tcPr>
            <w:tcW w:w="3460" w:type="dxa"/>
            <w:vAlign w:val="bottom"/>
          </w:tcPr>
          <w:p>
            <w:pPr>
              <w:jc w:val="center"/>
              <w:ind w:right="689"/>
              <w:spacing w:after="0"/>
              <w:rPr>
                <w:sz w:val="20"/>
                <w:szCs w:val="20"/>
                <w:color w:val="auto"/>
              </w:rPr>
            </w:pPr>
            <w:r>
              <w:rPr>
                <w:rFonts w:ascii="Times New Roman" w:cs="Times New Roman" w:eastAsia="Times New Roman" w:hAnsi="Times New Roman"/>
                <w:sz w:val="18"/>
                <w:szCs w:val="18"/>
                <w:color w:val="auto"/>
                <w:w w:val="98"/>
              </w:rPr>
              <w:t>Stamford, CT Office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 2033</w:t>
            </w:r>
          </w:p>
        </w:tc>
        <w:tc>
          <w:tcPr>
            <w:tcW w:w="1580" w:type="dxa"/>
            <w:vAlign w:val="bottom"/>
          </w:tcPr>
          <w:p>
            <w:pPr>
              <w:jc w:val="center"/>
              <w:ind w:left="589"/>
              <w:spacing w:after="0"/>
              <w:rPr>
                <w:sz w:val="20"/>
                <w:szCs w:val="20"/>
                <w:color w:val="auto"/>
              </w:rPr>
            </w:pPr>
            <w:r>
              <w:rPr>
                <w:rFonts w:ascii="Times New Roman" w:cs="Times New Roman" w:eastAsia="Times New Roman" w:hAnsi="Times New Roman"/>
                <w:sz w:val="18"/>
                <w:szCs w:val="18"/>
                <w:color w:val="auto"/>
                <w:w w:val="99"/>
              </w:rPr>
              <w:t>60,000 sq.ft.</w:t>
            </w:r>
          </w:p>
        </w:tc>
      </w:tr>
      <w:tr>
        <w:trPr>
          <w:trHeight w:val="255"/>
        </w:trPr>
        <w:tc>
          <w:tcPr>
            <w:tcW w:w="3460" w:type="dxa"/>
            <w:vAlign w:val="bottom"/>
          </w:tcPr>
          <w:p>
            <w:pPr>
              <w:jc w:val="center"/>
              <w:ind w:right="689"/>
              <w:spacing w:after="0"/>
              <w:rPr>
                <w:sz w:val="20"/>
                <w:szCs w:val="20"/>
                <w:color w:val="auto"/>
              </w:rPr>
            </w:pPr>
            <w:r>
              <w:rPr>
                <w:rFonts w:ascii="Times New Roman" w:cs="Times New Roman" w:eastAsia="Times New Roman" w:hAnsi="Times New Roman"/>
                <w:sz w:val="18"/>
                <w:szCs w:val="18"/>
                <w:color w:val="auto"/>
              </w:rPr>
              <w:t>Branford, CT Laboratory (1)</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 2030</w:t>
            </w:r>
          </w:p>
        </w:tc>
        <w:tc>
          <w:tcPr>
            <w:tcW w:w="1580" w:type="dxa"/>
            <w:vAlign w:val="bottom"/>
          </w:tcPr>
          <w:p>
            <w:pPr>
              <w:jc w:val="center"/>
              <w:ind w:left="589"/>
              <w:spacing w:after="0"/>
              <w:rPr>
                <w:sz w:val="20"/>
                <w:szCs w:val="20"/>
                <w:color w:val="auto"/>
              </w:rPr>
            </w:pPr>
            <w:r>
              <w:rPr>
                <w:rFonts w:ascii="Times New Roman" w:cs="Times New Roman" w:eastAsia="Times New Roman" w:hAnsi="Times New Roman"/>
                <w:sz w:val="18"/>
                <w:szCs w:val="18"/>
                <w:color w:val="auto"/>
                <w:w w:val="99"/>
              </w:rPr>
              <w:t>40,000 sq ft.</w:t>
            </w:r>
          </w:p>
        </w:tc>
      </w:tr>
      <w:tr>
        <w:trPr>
          <w:trHeight w:val="255"/>
        </w:trPr>
        <w:tc>
          <w:tcPr>
            <w:tcW w:w="3460" w:type="dxa"/>
            <w:vAlign w:val="bottom"/>
          </w:tcPr>
          <w:p>
            <w:pPr>
              <w:jc w:val="center"/>
              <w:ind w:right="689"/>
              <w:spacing w:after="0"/>
              <w:rPr>
                <w:sz w:val="20"/>
                <w:szCs w:val="20"/>
                <w:color w:val="auto"/>
              </w:rPr>
            </w:pPr>
            <w:r>
              <w:rPr>
                <w:rFonts w:ascii="Times New Roman" w:cs="Times New Roman" w:eastAsia="Times New Roman" w:hAnsi="Times New Roman"/>
                <w:sz w:val="18"/>
                <w:szCs w:val="18"/>
                <w:color w:val="auto"/>
                <w:w w:val="99"/>
              </w:rPr>
              <w:t>Stamford, CT Laboratory (1)</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 2046</w:t>
            </w:r>
          </w:p>
        </w:tc>
        <w:tc>
          <w:tcPr>
            <w:tcW w:w="1580" w:type="dxa"/>
            <w:vAlign w:val="bottom"/>
          </w:tcPr>
          <w:p>
            <w:pPr>
              <w:jc w:val="center"/>
              <w:ind w:left="589"/>
              <w:spacing w:after="0"/>
              <w:rPr>
                <w:sz w:val="20"/>
                <w:szCs w:val="20"/>
                <w:color w:val="auto"/>
              </w:rPr>
            </w:pPr>
            <w:r>
              <w:rPr>
                <w:rFonts w:ascii="Times New Roman" w:cs="Times New Roman" w:eastAsia="Times New Roman" w:hAnsi="Times New Roman"/>
                <w:sz w:val="18"/>
                <w:szCs w:val="18"/>
                <w:color w:val="auto"/>
                <w:w w:val="99"/>
              </w:rPr>
              <w:t>67,000 sq.ft.</w:t>
            </w:r>
          </w:p>
        </w:tc>
      </w:tr>
      <w:tr>
        <w:trPr>
          <w:trHeight w:val="255"/>
        </w:trPr>
        <w:tc>
          <w:tcPr>
            <w:tcW w:w="3460" w:type="dxa"/>
            <w:vAlign w:val="bottom"/>
          </w:tcPr>
          <w:p>
            <w:pPr>
              <w:jc w:val="center"/>
              <w:ind w:right="689"/>
              <w:spacing w:after="0"/>
              <w:rPr>
                <w:sz w:val="20"/>
                <w:szCs w:val="20"/>
                <w:color w:val="auto"/>
              </w:rPr>
            </w:pPr>
            <w:r>
              <w:rPr>
                <w:rFonts w:ascii="Times New Roman" w:cs="Times New Roman" w:eastAsia="Times New Roman" w:hAnsi="Times New Roman"/>
                <w:sz w:val="18"/>
                <w:szCs w:val="18"/>
                <w:color w:val="auto"/>
                <w:w w:val="99"/>
              </w:rPr>
              <w:t>New York, NY Office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 2023</w:t>
            </w:r>
          </w:p>
        </w:tc>
        <w:tc>
          <w:tcPr>
            <w:tcW w:w="1580" w:type="dxa"/>
            <w:vAlign w:val="bottom"/>
          </w:tcPr>
          <w:p>
            <w:pPr>
              <w:jc w:val="center"/>
              <w:ind w:left="589"/>
              <w:spacing w:after="0"/>
              <w:rPr>
                <w:sz w:val="20"/>
                <w:szCs w:val="20"/>
                <w:color w:val="auto"/>
              </w:rPr>
            </w:pPr>
            <w:r>
              <w:rPr>
                <w:rFonts w:ascii="Times New Roman" w:cs="Times New Roman" w:eastAsia="Times New Roman" w:hAnsi="Times New Roman"/>
                <w:sz w:val="18"/>
                <w:szCs w:val="18"/>
                <w:color w:val="auto"/>
                <w:w w:val="99"/>
              </w:rPr>
              <w:t>10,000 sq.ft.</w:t>
            </w:r>
          </w:p>
        </w:tc>
      </w:tr>
      <w:tr>
        <w:trPr>
          <w:trHeight w:val="255"/>
        </w:trPr>
        <w:tc>
          <w:tcPr>
            <w:tcW w:w="3460" w:type="dxa"/>
            <w:vAlign w:val="bottom"/>
          </w:tcPr>
          <w:p>
            <w:pPr>
              <w:jc w:val="center"/>
              <w:ind w:right="689"/>
              <w:spacing w:after="0"/>
              <w:rPr>
                <w:sz w:val="20"/>
                <w:szCs w:val="20"/>
                <w:color w:val="auto"/>
              </w:rPr>
            </w:pPr>
            <w:r>
              <w:rPr>
                <w:rFonts w:ascii="Times New Roman" w:cs="Times New Roman" w:eastAsia="Times New Roman" w:hAnsi="Times New Roman"/>
                <w:sz w:val="18"/>
                <w:szCs w:val="18"/>
                <w:color w:val="auto"/>
                <w:w w:val="99"/>
              </w:rPr>
              <w:t>Gaithersburg, MD Laboratory</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 2031</w:t>
            </w:r>
          </w:p>
        </w:tc>
        <w:tc>
          <w:tcPr>
            <w:tcW w:w="1580" w:type="dxa"/>
            <w:vAlign w:val="bottom"/>
          </w:tcPr>
          <w:p>
            <w:pPr>
              <w:jc w:val="center"/>
              <w:ind w:left="589"/>
              <w:spacing w:after="0"/>
              <w:rPr>
                <w:sz w:val="20"/>
                <w:szCs w:val="20"/>
                <w:color w:val="auto"/>
              </w:rPr>
            </w:pPr>
            <w:r>
              <w:rPr>
                <w:rFonts w:ascii="Times New Roman" w:cs="Times New Roman" w:eastAsia="Times New Roman" w:hAnsi="Times New Roman"/>
                <w:sz w:val="18"/>
                <w:szCs w:val="18"/>
                <w:color w:val="auto"/>
                <w:w w:val="99"/>
              </w:rPr>
              <w:t>84,000 sq.ft.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-974090</wp:posOffset>
            </wp:positionV>
            <wp:extent cx="5816600" cy="996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5816600" cy="996950"/>
                    </a:xfrm>
                    <a:prstGeom prst="rect">
                      <a:avLst/>
                    </a:prstGeom>
                    <a:noFill/>
                  </pic:spPr>
                </pic:pic>
              </a:graphicData>
            </a:graphic>
          </wp:anchor>
        </w:drawing>
      </w:r>
    </w:p>
    <w:p>
      <w:pPr>
        <w:spacing w:after="0" w:line="213" w:lineRule="exact"/>
        <w:rPr>
          <w:sz w:val="20"/>
          <w:szCs w:val="20"/>
          <w:color w:val="auto"/>
        </w:rPr>
      </w:pPr>
    </w:p>
    <w:p>
      <w:pPr>
        <w:jc w:val="both"/>
        <w:ind w:right="380" w:firstLine="360"/>
        <w:spacing w:after="0" w:line="298" w:lineRule="auto"/>
        <w:tabs>
          <w:tab w:leader="none" w:pos="643"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Laboratory has ceased operations and is actively being marketed for sublet. In an effort to downsize our corporate headquarter space, we are also actively marketing certain floors of the headquarter building for sublet.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17" w:lineRule="exact"/>
        <w:rPr>
          <w:sz w:val="20"/>
          <w:szCs w:val="20"/>
          <w:color w:val="auto"/>
        </w:rPr>
      </w:pPr>
    </w:p>
    <w:p>
      <w:pPr>
        <w:ind w:right="480" w:firstLine="360"/>
        <w:spacing w:after="0" w:line="266" w:lineRule="auto"/>
        <w:rPr>
          <w:sz w:val="20"/>
          <w:szCs w:val="20"/>
          <w:color w:val="auto"/>
        </w:rPr>
      </w:pPr>
      <w:r>
        <w:rPr>
          <w:rFonts w:ascii="Times New Roman" w:cs="Times New Roman" w:eastAsia="Times New Roman" w:hAnsi="Times New Roman"/>
          <w:sz w:val="20"/>
          <w:szCs w:val="20"/>
          <w:color w:val="auto"/>
        </w:rPr>
        <w:t>Except as described below, we, and our subsidiaries, are currently not a party to, and our property is not currently the subject of, any material pending legal proceedings; however, we may become involved in various claims and legal actions arising in the ordinary course of business.</w:t>
      </w:r>
    </w:p>
    <w:p>
      <w:pPr>
        <w:spacing w:after="0" w:line="135" w:lineRule="exact"/>
        <w:rPr>
          <w:sz w:val="20"/>
          <w:szCs w:val="20"/>
          <w:color w:val="auto"/>
        </w:rPr>
      </w:pPr>
    </w:p>
    <w:p>
      <w:pPr>
        <w:ind w:right="240" w:firstLine="350"/>
        <w:spacing w:after="0" w:line="265" w:lineRule="auto"/>
        <w:rPr>
          <w:sz w:val="20"/>
          <w:szCs w:val="20"/>
          <w:color w:val="auto"/>
        </w:rPr>
      </w:pPr>
      <w:r>
        <w:rPr>
          <w:rFonts w:ascii="Times New Roman" w:cs="Times New Roman" w:eastAsia="Times New Roman" w:hAnsi="Times New Roman"/>
          <w:sz w:val="19"/>
          <w:szCs w:val="19"/>
          <w:color w:val="auto"/>
        </w:rPr>
        <w:t>On September 7, 2022, a shareholder class action lawsuit was filed in the United States District Court for the District of Connecticut against the Company and certain of the Company’s current and former officers. Following</w:t>
      </w:r>
    </w:p>
    <w:p>
      <w:pPr>
        <w:spacing w:after="0" w:line="2"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20"/>
          <w:szCs w:val="20"/>
          <w:color w:val="auto"/>
        </w:rPr>
        <w:t>the appointment of a lead plaintiff, an amended complaint was filed on January 30, 2023. As amended, the complaint purports to bring suit on behalf of stockholders who purchased the Company’s publicly traded securities between March 14, 2022 and August 15, 2022. The complaint purports to allege that defendants made false and misleading statements about the Company’s business, operations and prospects in violation of Sections 10(b) and 20(a) of the Securities Exchange Act of 1934, and seeks unspecified compensatory damages, fees and costs. The Company believes the allegations and claims made in the complaint are without merit.</w:t>
      </w:r>
    </w:p>
    <w:p>
      <w:pPr>
        <w:spacing w:after="0" w:line="264" w:lineRule="exact"/>
        <w:rPr>
          <w:sz w:val="20"/>
          <w:szCs w:val="20"/>
          <w:color w:val="auto"/>
        </w:rPr>
      </w:pPr>
    </w:p>
    <w:p>
      <w:pPr>
        <w:jc w:val="both"/>
        <w:ind w:firstLine="577"/>
        <w:spacing w:after="0"/>
        <w:rPr>
          <w:sz w:val="20"/>
          <w:szCs w:val="20"/>
          <w:color w:val="auto"/>
        </w:rPr>
      </w:pPr>
      <w:r>
        <w:rPr>
          <w:rFonts w:ascii="Times New Roman" w:cs="Times New Roman" w:eastAsia="Times New Roman" w:hAnsi="Times New Roman"/>
          <w:sz w:val="20"/>
          <w:szCs w:val="20"/>
          <w:color w:val="auto"/>
        </w:rPr>
        <w:t>On February 7, 2023, a stockholder commenced a lawsuit in the Delaware Court of Chancery. The suit is brought as a class action on behalf of stockholders of CMLS who did not redeem their shares in connection with the Business Combination. The suit names as defendants all directors of CMLS at the time of the transaction, including directors who continue to serve on the Company’s board of directors, as well as CMLS Holdings LLC, the Former Sponsor. The Company is not named as a defendant. The complaint alleges that the July 2, 2021 proxy statement mailed to CMLS stockholders in connection with the transaction contained false and misleading statements, and purports to assert a claim of breach of fiduciary duty against all individual defendants, and a similar claim against the Former Sponsor and certain individuals for breach of fiduciary duty as control persons. The suit seeks to recover</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360"/>
          </w:cols>
          <w:pgMar w:left="1440" w:top="1378" w:right="1440" w:bottom="0" w:gutter="0" w:footer="0" w:header="0"/>
          <w:type w:val="continuous"/>
        </w:sectPr>
      </w:pPr>
    </w:p>
    <w:bookmarkStart w:id="70" w:name="page71"/>
    <w:bookmarkEnd w:id="70"/>
    <w:p>
      <w:pPr>
        <w:jc w:val="both"/>
        <w:spacing w:after="0" w:line="287" w:lineRule="auto"/>
        <w:rPr>
          <w:sz w:val="20"/>
          <w:szCs w:val="20"/>
          <w:color w:val="auto"/>
        </w:rPr>
      </w:pPr>
      <w:r>
        <w:rPr>
          <w:rFonts w:ascii="Times New Roman" w:cs="Times New Roman" w:eastAsia="Times New Roman" w:hAnsi="Times New Roman"/>
          <w:sz w:val="20"/>
          <w:szCs w:val="20"/>
          <w:color w:val="auto"/>
        </w:rPr>
        <w:t>unspecified damages on behalf of the alleged class, among other relief. The Company believes the allegations and claims made in the complaint are without merit. The Company is subject to certain claims for advancement and indemnification by the individual defendants in this proceeding.</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360"/>
          </w:cols>
          <w:pgMar w:left="1440" w:top="1378" w:right="1440" w:bottom="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9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Market Information</w:t>
      </w:r>
    </w:p>
    <w:p>
      <w:pPr>
        <w:spacing w:after="0" w:line="199" w:lineRule="exact"/>
        <w:rPr>
          <w:sz w:val="20"/>
          <w:szCs w:val="20"/>
          <w:color w:val="auto"/>
        </w:rPr>
      </w:pPr>
    </w:p>
    <w:p>
      <w:pPr>
        <w:ind w:right="60" w:firstLine="360"/>
        <w:spacing w:after="0"/>
        <w:rPr>
          <w:sz w:val="20"/>
          <w:szCs w:val="20"/>
          <w:color w:val="auto"/>
        </w:rPr>
      </w:pPr>
      <w:r>
        <w:rPr>
          <w:rFonts w:ascii="Times New Roman" w:cs="Times New Roman" w:eastAsia="Times New Roman" w:hAnsi="Times New Roman"/>
          <w:sz w:val="20"/>
          <w:szCs w:val="20"/>
          <w:color w:val="auto"/>
        </w:rPr>
        <w:t>Since January 10, 2023, our Class A common stock and public warrants have been trading on the Nasdaq Global Select Market under the symbols “WGS” and “WGSWW,” respectively. From July 23, 2021 to January 9, 2023, our Class A common stock and public warrants traded on the Nasdaq Global Select Market under the symbols “SMFR” and “SMFRW”, respectively. Prior to the Business Combination, CMLS’s Class A common stock, CMLS’s public warrants, and CMLS’s public units were listed on the Nasdaq Capital Market under the symbols “CMLF”, “CMFLW”, and “CMLFU” respectively.</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Holders</w:t>
      </w:r>
    </w:p>
    <w:p>
      <w:pPr>
        <w:spacing w:after="0" w:line="19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As of March 6, 2023, there were 44 record holders of our Class A common stock and 4 record holders of our public warrants, based upon information received from our transfer agent. However, this number does not reflect beneficial owners whose shares were held of record by nominees or broker dealers. We believe a substantially greater number of beneficial owners hold shares of our Class A common stock or public warrants through brokers, banks, or other nominees.</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Dividend Policy</w:t>
      </w:r>
    </w:p>
    <w:p>
      <w:pPr>
        <w:spacing w:after="0" w:line="19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We have never paid any cash dividends on our capital stock. We anticipate that we will retain earnings, if any, to support operations and to finance the growth and development of our business. In addition, the terms of the revolving credit facility with Silicon Valley Bank (“SVB,”) preclude us from paying cash dividends without the prior written consent of SVB, which credit facility was recently assumed by Silicon Valley Bridge Bank, N.A. following the closure of SVB by banking regulators. Therefore, we do not expect to pay cash dividends for the foreseeable future.</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Sale of Unregistered Securities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Purchases of Equity Securities by the Issuer and Affiliated Purchasers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13"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You should read the following discussion and analysis of our financial condition and results of operations together with our consolidated financial statements and related notes appearing elsewhere in this Annual Report on Form 10-K.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9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are a leading genomics company—one that sits at the intersection of diagnostics and data science, pairing decades of genomic expertise with an ability to interpret clinical data at scale. We are focused on delivering personalized and actionable health insights to inform diagnosis, direct treatment and improve drug discovery. We believe we are well-positioned to accelerate the use of genomics and leverage large-scale clinical data to enable</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360"/>
          </w:cols>
          <w:pgMar w:left="1440" w:top="1371" w:right="1440" w:bottom="0" w:gutter="0" w:footer="0" w:header="0"/>
          <w:type w:val="continuous"/>
        </w:sectPr>
      </w:pPr>
    </w:p>
    <w:bookmarkStart w:id="72" w:name="page73"/>
    <w:bookmarkEnd w:id="72"/>
    <w:p>
      <w:pPr>
        <w:jc w:val="both"/>
        <w:spacing w:after="0" w:line="281" w:lineRule="auto"/>
        <w:rPr>
          <w:sz w:val="20"/>
          <w:szCs w:val="20"/>
          <w:color w:val="auto"/>
        </w:rPr>
      </w:pPr>
      <w:r>
        <w:rPr>
          <w:rFonts w:ascii="Times New Roman" w:cs="Times New Roman" w:eastAsia="Times New Roman" w:hAnsi="Times New Roman"/>
          <w:sz w:val="20"/>
          <w:szCs w:val="20"/>
          <w:color w:val="auto"/>
        </w:rPr>
        <w:t>precision medicine as the standard of care. Our initial focus is in pediatric and rare diseases, two areas in which we believe we have competitive advantage and can deliver on our vision today.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Corporate History Overview</w:t>
      </w:r>
    </w:p>
    <w:p>
      <w:pPr>
        <w:spacing w:after="0" w:line="21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Legacy Sema4 was established out of the Mount Sinai Health System and commenced operations as a commercial entity on June 1, 2017. Legacy Sema4 derived the majority of its revenue from diagnostic testing services, which primarily related to reproductive and women’s health and somatic tumor testing. In addition, between May 2020 through March 31, 2022, Legacy Sema4 provided COVID-19 diagnostic testing services.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w:t>
      </w:r>
    </w:p>
    <w:p>
      <w:pPr>
        <w:spacing w:after="0" w:line="25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On July 22, 2021, Legacy Sema4 completed the Business Combination with CMLS, received net cash proceeds of $510 million, and CMLS changed its name to Sema4 Holdings. The Business Combination was accounted for as a reverse recapitalization with Legacy Sema4 as the accounting acquirer and CMLS as the acquired company for accounting purposes.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Legacy GeneDx</w:t>
      </w:r>
    </w:p>
    <w:p>
      <w:pPr>
        <w:spacing w:after="0" w:line="25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Legacy GeneDx was founded in 2000 by scientists from the National Institutes of Health and, prior to the Acquisition by the Company, was a wholly-owned subsidiary of OPKO Health, Inc. (“OPKO”). Legacy GeneDx derived its revenue primarily from diagnostic testing services, including revenue related to exome sequencing and whole genome sequencing.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w:t>
      </w:r>
    </w:p>
    <w:p>
      <w:pPr>
        <w:spacing w:after="0" w:line="25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On April 29, 2022, Sema4 Holdings acquired Legacy GeneDx from OPKO for an upfront payment of $150 million in cash, and 80 million shares of Class A common stock, subject to adjustment, with up to an additional $150 million revenue-based milestones (payable in cash or up to 30.9 million shares of Class A common stock at our discretion). Our results of operations include the results of operations of Legacy GeneDx from the date of acquisition. For more information, see “—Acquisition of Legacy GeneDx” below.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New Strategic Direction for GeneDx and Legacy Sema4 Business Exits</w:t>
      </w:r>
    </w:p>
    <w:p>
      <w:pPr>
        <w:spacing w:after="0" w:line="25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On August 11, 2022, our board of directors approved a restructuring plan that contemplated exiting Legacy Sema4’s somatic tumor testing services and the closing of the laboratory in Branford, CT, which we completed as of December 31, 2022. In connection with the plan, we also eliminated approximately 250 positions.</w:t>
      </w:r>
    </w:p>
    <w:p>
      <w:pPr>
        <w:spacing w:after="0" w:line="21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On November 14, 2022, we announced our plan to pursue a new strategic direction focused on our exome and whole genome sequencing business coupled with our Centrellis data platform. As part of our strategic realignment, on November 11, 2022, our board of directors approved our exit from Legacy Sema4’s reproductive and women’s health testing business, which includes carrier screening, noninvasive prenatal, and other ancillary reproductive testing offerings. We exited the operations of the reproductive and women’s health testing services during the first quarter of 2023. As a result of this business exit, we eliminated approximately 500 positions, and ceased operations at the Stamford, CT laboratory. The combined reductions in workforce eliminated approximately 32.5% of our workforce in 2022. Our go-forward testing services will be consolidated and performed out of our Gaithersburg, MD laboratory which was primarily used for our pediatric and rare disease testing services.</w:t>
      </w:r>
    </w:p>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Effective January 9, 2023, Sema4 Holdings Corp. changed its name to GeneDx Holdings Corp.</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360"/>
          </w:cols>
          <w:pgMar w:left="1440" w:top="1378" w:right="1440" w:bottom="0" w:gutter="0" w:footer="0" w:header="0"/>
          <w:type w:val="continuous"/>
        </w:sectPr>
      </w:pPr>
    </w:p>
    <w:bookmarkStart w:id="73" w:name="page74"/>
    <w:bookmarkEnd w:id="73"/>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Factors Affecting Our Performance</w:t>
      </w:r>
    </w:p>
    <w:p>
      <w:pPr>
        <w:spacing w:after="0" w:line="21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Times New Roman" w:cs="Times New Roman" w:eastAsia="Times New Roman" w:hAnsi="Times New Roman"/>
          <w:sz w:val="20"/>
          <w:szCs w:val="20"/>
          <w:b w:val="1"/>
          <w:bCs w:val="1"/>
          <w:i w:val="1"/>
          <w:iCs w:val="1"/>
          <w:color w:val="auto"/>
        </w:rPr>
        <w:t>“Item 1A. Risk Factors”</w:t>
      </w:r>
      <w:r>
        <w:rPr>
          <w:rFonts w:ascii="Times New Roman" w:cs="Times New Roman" w:eastAsia="Times New Roman" w:hAnsi="Times New Roman"/>
          <w:sz w:val="20"/>
          <w:szCs w:val="20"/>
          <w:color w:val="auto"/>
        </w:rPr>
        <w:t xml:space="preserve"> for more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Number of resulted tests</w:t>
      </w:r>
    </w:p>
    <w:p>
      <w:pPr>
        <w:spacing w:after="0" w:line="21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 test is resulted once the appropriate workflow is completed and details are provided to the ordered patients or healthcare professional for reviews, which corresponds to the timing of our revenue recognition. We believe the number of resulted tests in any period is important and useful to our investors because it directly correlates with long-term patient relationships and the size of our genomic database.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Success obtaining and maintaining reimbursement</w:t>
      </w:r>
    </w:p>
    <w:p>
      <w:pPr>
        <w:spacing w:after="0" w:line="21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6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16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 In particular, the Legacy Sema4 business recently entered into a settlement agreement with one of its third-party payors in order to settle the claims related to coverage and billing matters allegedly resulting in the overpayments by the payor to the Legacy Sema4 business including those related to multi-gene tests, such as carrier screening services the “Disputed Claims”). Under the settlement agreement, the total settlement amount is $42 million, to be paid by us to the payor in a series of installments over the next four years with the final installment payment scheduled to be on or before June 30, 2026. The first payment of $15 million was made on December 30, 2022. In consideration for the payments, the payor has agreed to provide releases of the Disputed Claims, which releases will become effective on or about April 1, 2023. For more information regarding this matter, see Note 4, “Revenue Recognition” to our audited consolidated financial statements included within this Annual Report.</w:t>
      </w:r>
    </w:p>
    <w:p>
      <w:pPr>
        <w:spacing w:after="0" w:line="16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Ability to lower the costs associated with performing our tests</w:t>
      </w:r>
    </w:p>
    <w:p>
      <w:pPr>
        <w:spacing w:after="0" w:line="21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ectPr>
          <w:pgSz w:w="12240" w:h="15840" w:orient="portrait"/>
          <w:cols w:equalWidth="0" w:num="1">
            <w:col w:w="936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360"/>
          </w:cols>
          <w:pgMar w:left="1440" w:top="1440" w:right="144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i w:val="1"/>
          <w:iCs w:val="1"/>
          <w:color w:val="auto"/>
        </w:rPr>
        <w:t>Increasing adoption of our services by existing and new customers</w:t>
      </w:r>
    </w:p>
    <w:p>
      <w:pPr>
        <w:spacing w:after="0" w:line="21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in platform innovation to support commercial growth</w:t>
      </w:r>
    </w:p>
    <w:p>
      <w:pPr>
        <w:spacing w:after="0" w:line="21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We are seeking to leverage and deploy our platforms to develop a pipeline of future disease-specific research and diagnostic and therapeutic products and services. We have limited experience in the development or commercialization of clinical or research products in connection with our database and platform.</w:t>
      </w:r>
    </w:p>
    <w:p>
      <w:pPr>
        <w:spacing w:after="0" w:line="15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7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Performance Indicators</w:t>
      </w:r>
    </w:p>
    <w:p>
      <w:pPr>
        <w:spacing w:after="0" w:line="21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consolidated financial statements and the related notes and other financial information included elsewhere in this report.</w:t>
      </w:r>
    </w:p>
    <w:p>
      <w:pPr>
        <w:spacing w:after="0" w:line="164"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and the mix of test results, with a focus on driving whole exome and whole genome sequencing, are key indicators that we use to assess the operational efficiency of our business. Once the appropriate workflow is completed, the test is resulted and details are provided to ordered patients or healthcare professionals for reviews.</w:t>
      </w:r>
    </w:p>
    <w:p>
      <w:pPr>
        <w:spacing w:after="0" w:line="21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During the year ended December 31, 2022, we resulted 528,876 tests in our laboratories, 121,214 of which were processed by Legacy GeneDx compared to the period ended December 31, 2021, in which we resulted approximately 709,942 tests in Legacy Sema4 laboratories. This decrease in resulted volume from 2021 to 2022 largely resulted from the Company’s decision to discontinue COVID-19, somatic oncology and reproductive health testing in 2022, which was partially offset by inclusion of volumes from GeneDx’s laboratory following the closing of the Acquisition of GeneDx as further discussed below.</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 of Legacy GeneDx</w:t>
      </w:r>
    </w:p>
    <w:p>
      <w:pPr>
        <w:spacing w:after="0" w:line="19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In January 2022, we and our wholly-owned subsidiaries, Orion Merger Sub I, Inc. (“Merger Sub I”) and Orion Merger Sub II, LLC (“Merger Sub II”) entered into an Agreement and Plan of Merger and Reorganization (as amended, the “Acquisition Merger Agreement”), with GeneDx, Inc., a New Jersey corporation (“Legacy GeneDx”)</w:t>
      </w:r>
    </w:p>
    <w:p>
      <w:pPr>
        <w:sectPr>
          <w:pgSz w:w="12240" w:h="15840" w:orient="portrait"/>
          <w:cols w:equalWidth="0" w:num="1">
            <w:col w:w="9360"/>
          </w:cols>
          <w:pgMar w:left="1440" w:top="1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360"/>
          </w:cols>
          <w:pgMar w:left="1440" w:top="1369" w:right="1440" w:bottom="0" w:gutter="0" w:footer="0" w:header="0"/>
          <w:type w:val="continuous"/>
        </w:sectPr>
      </w:pPr>
    </w:p>
    <w:bookmarkStart w:id="75" w:name="page76"/>
    <w:bookmarkEnd w:id="75"/>
    <w:p>
      <w:pPr>
        <w:jc w:val="both"/>
        <w:spacing w:after="0" w:line="253" w:lineRule="auto"/>
        <w:rPr>
          <w:sz w:val="20"/>
          <w:szCs w:val="20"/>
          <w:color w:val="auto"/>
        </w:rPr>
      </w:pPr>
      <w:r>
        <w:rPr>
          <w:rFonts w:ascii="Times New Roman" w:cs="Times New Roman" w:eastAsia="Times New Roman" w:hAnsi="Times New Roman"/>
          <w:sz w:val="20"/>
          <w:szCs w:val="20"/>
          <w:color w:val="auto"/>
        </w:rPr>
        <w:t>and a wholly-owned subsidiary of OPKO, GeneDx Holding 2, Inc. (“Holdco”), and OPKO to acquire 100% of Legacy GeneDx (the “Acquisition”). Subject to the terms and conditions of the Acquisition Merger Agreement, we agreed to pay consideration to OPKO for the Acquisition of (i) $150 million in cash at the closing of the Acquisition, subject to certain adjustments as provided in the Acquisition Merger Agreement, (ii) 80 million shares of our Class A common stock to be issued at the closing of the Acquisition and (iii) up to $150 million payable following the closing of the Acquisition, if certain revenue-based milestones were achieved for each of the fiscal years ending December 31, 2022 and December 31, 2023. These milestone payments, if and to the extent earned under the terms of the Acquisition Merger Agreement, will be satisfied through the payment and/or issuance of a combination of cash and/or shares of our Class A common stock (valued at a fixed $4.86 per share, subject to adjustment for stock splits and similar changes), with such mix to be determined in our sole discretion.</w:t>
      </w:r>
    </w:p>
    <w:p>
      <w:pPr>
        <w:spacing w:after="0" w:line="156"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The Acquisition closed on April 29, 2022. Our net loss for the year ended December 31, 2022 includes the results of operations of Legacy GeneDx from the date of acquisition.</w:t>
      </w:r>
    </w:p>
    <w:p>
      <w:pPr>
        <w:spacing w:after="0" w:line="12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Concurrently with the execution of the Acquisition Merger Agreement, we entered into subscription agreements with certain institutional investors, pursuant to, and on the terms and subject to the conditions of which, these investors collectively subscribed for 50 million shares of our Class A common stock for an aggregate purchase price equal to $200 million (the “Acquisition PIPE Investment”). The Acquisition PIPE Investment was consummated substantially concurrently with the closing of the Acquisition.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Russia and Ukraine Conflict</w:t>
      </w:r>
    </w:p>
    <w:p>
      <w:pPr>
        <w:spacing w:after="0" w:line="19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During the first quarter of 2022, Russia commenced a military invasion of Ukraine, and the ensuing conflict has created disruption in the region and around the world. We continue to utilize Ukraine-based contractors as of December 31, 2022. To date, this has not had a material effect on our operations, and we have taken additional measures in securing and monitoring data and remote access.</w:t>
      </w:r>
    </w:p>
    <w:p>
      <w:pPr>
        <w:spacing w:after="0" w:line="143"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We continue to closely monitor the ongoing conflict and related sanctions, which could impact our business, financial results and results of operations in the future.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COVID-19 Impact</w:t>
      </w:r>
    </w:p>
    <w:p>
      <w:pPr>
        <w:spacing w:after="0" w:line="197"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2022, we resulted 73,408 COVID-19 tests, compared to the year ended December 31, 2021, in which we resulted 418,053 COVID-19 tests.</w:t>
      </w:r>
    </w:p>
    <w:p>
      <w:pPr>
        <w:spacing w:after="0" w:line="14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In March 2020, the Coronavirus Aid, Relief and Economic Security Act (“CARES Act”), was signed into law. The CARES Act was a stimulus bill that, among other things, provided assistance to qualifying businesses and individuals and included funding for the healthcare system. We received $5.4 million in 2020 as part of the stimulus, comprised of $2.6 million received under the Provider Relief Fund (the “PRF”), and $2.8 million received under the Employee Retention Credit (the “ERC”). In 2021, we received an additional $5.6 million under the PRF.</w:t>
      </w:r>
    </w:p>
    <w:p>
      <w:pPr>
        <w:spacing w:after="0" w:line="164"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Funds provided under the PRF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funds received under the PRF distribution have been met. As a result, we recorded the funds received under the PRF in other income in the statements of operations and comprehensive loss during the periods in which we received the funds.</w:t>
      </w:r>
    </w:p>
    <w:p>
      <w:pPr>
        <w:spacing w:after="0" w:line="11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Funds provided under the ERC are refundable tax credits for 50% of qualified wages paid to employees during the pandemic. A company is eligible for the ERC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360"/>
          </w:cols>
          <w:pgMar w:left="1440" w:top="1378" w:right="1440" w:bottom="0" w:gutter="0" w:footer="0" w:header="0"/>
          <w:type w:val="continuous"/>
        </w:sectPr>
      </w:pPr>
    </w:p>
    <w:bookmarkStart w:id="76" w:name="page77"/>
    <w:bookmarkEnd w:id="76"/>
    <w:p>
      <w:pPr>
        <w:jc w:val="both"/>
        <w:spacing w:after="0" w:line="281" w:lineRule="auto"/>
        <w:rPr>
          <w:sz w:val="20"/>
          <w:szCs w:val="20"/>
          <w:color w:val="auto"/>
        </w:rPr>
      </w:pPr>
      <w:r>
        <w:rPr>
          <w:rFonts w:ascii="Times New Roman" w:cs="Times New Roman" w:eastAsia="Times New Roman" w:hAnsi="Times New Roman"/>
          <w:sz w:val="20"/>
          <w:szCs w:val="20"/>
          <w:color w:val="auto"/>
        </w:rPr>
        <w:t>the recognition of the funds received under the ERC and recorded the proceeds in other current liabilities on the audited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Effective January 9, 2023 Sema4 Holdings Corp. changed its name to GeneDx Holdings Corp.</w:t>
      </w:r>
    </w:p>
    <w:p>
      <w:pPr>
        <w:spacing w:after="0" w:line="19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January 2023, the Company raised approximately $150.0 million in gross proceeds from the sale of an aggregate 328,571,429 shares of its Class A common stock in an underwritten public offering and the sale of 100,000,000 shares of its Class A common stock shares directly to institutional investors affiliated with a member of our board of directors, in a concurrent registered direct offering. Both transactions were executed at $0.35 per share. 77,663,376 shares in the direct offering were issued and the remaining 22,336,624 shares are subject to stockholder approval to satisfy Nasdaq requirements with respect to the issuance of such shares of Class A common stock. The net offering proceeds received after deducting underwriters' discounts and commissions payable by the Company were approximately $137.6 million. As part of the underwritten offering, the Company granted the underwriter a 30-day option to purchase up to an additional 49,285,714 shares of Class A common stock at the same price. On January 27, 2023, the underwriter partially exercised the option to purchase an additional 185,000 shares of Class A common stock.</w:t>
      </w:r>
    </w:p>
    <w:p>
      <w:pPr>
        <w:spacing w:after="0" w:line="153"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Additional net proceeds of $7.6 million are expected to be received during the second quarter of 2023 once the issuance of the remaining 22,336,624 shares receives stockholder approval and the Company issues such shares. .</w:t>
      </w:r>
    </w:p>
    <w:p>
      <w:pPr>
        <w:spacing w:after="0" w:line="121"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On March 14, 2023, we announced that 100% of our cash, cash equivalents, and restricted cash now resides at a designated systematically important financial institution.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19"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During the periods discussed below, we derived the majority of our revenue from genetic and genomic diagnostic testing services. We recognized revenue from collaboration service agreements with biopharma companies and other third parties pursuant to which we provide health information and patient identification support services. The Legacy GeneDx business provided genetic and genomic diagnostic testing related to pediatrics, rare disease and hereditary cancer screening. The Legacy Sema4 diagnostics business provided reproductive and women’s health testing and screening, as well as somatic tumor testing. As discussed above, we discontinued Legacy Sema4’s COVID-19 testing services as of March 31, 2022 and no longer provide such testing services. We also discontinued Legacy Sema4’s somatic tumor profiling business as of December 31, 2022 and we ceased the operations of Legacy Sema4’s reproductive and women’s health testing services during the first quarter of 2023.</w:t>
      </w:r>
    </w:p>
    <w:p>
      <w:pPr>
        <w:spacing w:after="0" w:line="172"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20"/>
          <w:szCs w:val="20"/>
          <w:color w:val="auto"/>
        </w:rPr>
        <w:t>We recognize revenue when control of the promised goods or services is transferred to the customer in an amount that reflects the consideration which we expect to be entitled to in exchange for those goods or services.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Diagnostic Test Revenue</w:t>
      </w:r>
    </w:p>
    <w:p>
      <w:pPr>
        <w:spacing w:after="0" w:line="214"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We primarily generate revenue from performing diagnostic testing services for three groups of customers: healthcare professionals working with patients with third-party insurance coverage or without third-party insurance coverage, institutional clients such as hospitals, clinics, state governments and reference laboratories, or self-pay patients.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w:t>
      </w:r>
    </w:p>
    <w:p>
      <w:pPr>
        <w:spacing w:after="0" w:line="17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Our ability to increase our diagnostic test revenue will depend on our ability to increase our market penetration, obtain contracted reimbursement coverage from third-party payors, enter into contracts with institutions, and increase our reimbursement rate for tests performed.</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360"/>
          </w:cols>
          <w:pgMar w:left="1440" w:top="1378" w:right="144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Revenue</w:t>
      </w:r>
    </w:p>
    <w:p>
      <w:pPr>
        <w:spacing w:after="0" w:line="21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generate revenue from health information and patient identification support services under both short-term and long-term project-based collaboration and service agreements with third parties. Certain of these contracts provide non-refundable payments, which we record as contract liabilities, and variable payments based upon the achievement of certain milestones during the contract term.</w:t>
      </w:r>
    </w:p>
    <w:p>
      <w:pPr>
        <w:spacing w:after="0" w:line="16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Services</w:t>
      </w:r>
    </w:p>
    <w:p>
      <w:pPr>
        <w:spacing w:after="0" w:line="21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The cost of services reflect the aggregate costs incurred in performing services. These costs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if any,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spacing w:after="0" w:line="168"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1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76"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and Marketing Expenses</w:t>
      </w:r>
    </w:p>
    <w:p>
      <w:pPr>
        <w:spacing w:after="0" w:line="199"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Selling and marketing expenses primarily consist of personnel-related expenses (comprising salaries and benefits) and stock-based compensation for employees performing commercial sales, account management, marketing, and allocation of genetic counseling services. Selling and marketing costs are expensed as incurred.</w:t>
      </w:r>
    </w:p>
    <w:p>
      <w:pPr>
        <w:spacing w:after="0" w:line="180"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We generally expect our selling and marketing expenses will continue to increase in absolute dollars as we expand our commercial sales and marketing and counseling teams and increase marketing activities. However, we</w:t>
      </w:r>
    </w:p>
    <w:p>
      <w:pPr>
        <w:sectPr>
          <w:pgSz w:w="12240" w:h="15840" w:orient="portrait"/>
          <w:cols w:equalWidth="0" w:num="1">
            <w:col w:w="9360"/>
          </w:cols>
          <w:pgMar w:left="1440" w:top="137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360"/>
          </w:cols>
          <w:pgMar w:left="1440" w:top="1374" w:right="1440" w:bottom="0" w:gutter="0" w:footer="0" w:header="0"/>
          <w:type w:val="continuous"/>
        </w:sectPr>
      </w:pPr>
    </w:p>
    <w:bookmarkStart w:id="78" w:name="page79"/>
    <w:bookmarkEnd w:id="78"/>
    <w:p>
      <w:pPr>
        <w:jc w:val="both"/>
        <w:spacing w:after="0" w:line="281" w:lineRule="auto"/>
        <w:rPr>
          <w:sz w:val="20"/>
          <w:szCs w:val="20"/>
          <w:color w:val="auto"/>
        </w:rPr>
      </w:pPr>
      <w:r>
        <w:rPr>
          <w:rFonts w:ascii="Times New Roman" w:cs="Times New Roman" w:eastAsia="Times New Roman" w:hAnsi="Times New Roman"/>
          <w:sz w:val="20"/>
          <w:szCs w:val="20"/>
          <w:color w:val="auto"/>
        </w:rPr>
        <w:t>expect selling and marketing expenses to decrease as a percentage of revenue in the long term, subject to fluctuations from period to period due to the timing and magnitude of these expenses.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9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General and administrative expenses primarily consist of personnel-related expenses (comprising salaries and benefits) and stock-based compensation for employees in executive leadership, legal, finance and accounting, human resources, information technology, and other administrative functions. In addition, these expenses include office occupancy and information technology costs. General and administrative costs are expensed as incurred.</w:t>
      </w:r>
    </w:p>
    <w:p>
      <w:pPr>
        <w:spacing w:after="0" w:line="14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Nasdaq and of the SEC, director and officer insurance premiums. We expect these expenses to decrease as a percentage of revenue in the long term as revenue increases, although the percentage may fluctuate from period to period due to fluctuations in our compensation-related charges.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Related Party Expenses</w:t>
      </w:r>
    </w:p>
    <w:p>
      <w:pPr>
        <w:spacing w:after="0" w:line="21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 xml:space="preserve">Related party expenses consist of amounts due to ISMMS for expenses under our Transition Services Agreement with ISMMS (the “ISMMS TSA”) which expired at the end of the first quarter of 2021, and other service agreements. In addition, Legacy GeneDx and OPKO entered into a Transition Services Agreement dated as of April 29, 2022 (the “OPKO TSA”), pursuant to which OPKO agreed to provide, at cost, certain services in support of the Acquisition of the Legacy GeneDx business through December 31, 2022, subject to certain limited exceptions, in order to facilitate the transactions contemplated by the Acquisition Merger Agreement. Additional information can be found in the audited financial statements in Note 7, </w:t>
      </w:r>
      <w:r>
        <w:rPr>
          <w:rFonts w:ascii="Times New Roman" w:cs="Times New Roman" w:eastAsia="Times New Roman" w:hAnsi="Times New Roman"/>
          <w:sz w:val="20"/>
          <w:szCs w:val="20"/>
          <w:b w:val="1"/>
          <w:bCs w:val="1"/>
          <w:i w:val="1"/>
          <w:iCs w:val="1"/>
          <w:color w:val="auto"/>
        </w:rPr>
        <w:t>“Related Party Transactions”</w:t>
      </w:r>
      <w:r>
        <w:rPr>
          <w:rFonts w:ascii="Times New Roman" w:cs="Times New Roman" w:eastAsia="Times New Roman" w:hAnsi="Times New Roman"/>
          <w:sz w:val="20"/>
          <w:szCs w:val="20"/>
          <w:color w:val="auto"/>
        </w:rPr>
        <w:t xml:space="preserve"> included within this Annual Report.</w:t>
      </w:r>
    </w:p>
    <w:p>
      <w:pPr>
        <w:spacing w:after="0" w:line="17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We generally expect related party expenses to decrease as we establish our own internal and external resources to fulfill the administrative and other services we have historically procured from ISMMS and following the expiration of the OPKO TSA.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Interest income consists of interest earned on money market funds.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19" w:lineRule="exact"/>
        <w:rPr>
          <w:sz w:val="20"/>
          <w:szCs w:val="20"/>
          <w:color w:val="auto"/>
        </w:rPr>
      </w:pPr>
    </w:p>
    <w:p>
      <w:pPr>
        <w:ind w:right="320" w:firstLine="360"/>
        <w:spacing w:after="0" w:line="258" w:lineRule="auto"/>
        <w:rPr>
          <w:sz w:val="20"/>
          <w:szCs w:val="20"/>
          <w:color w:val="auto"/>
        </w:rPr>
      </w:pPr>
      <w:r>
        <w:rPr>
          <w:rFonts w:ascii="Times New Roman" w:cs="Times New Roman" w:eastAsia="Times New Roman" w:hAnsi="Times New Roman"/>
          <w:sz w:val="20"/>
          <w:szCs w:val="20"/>
          <w:color w:val="auto"/>
        </w:rPr>
        <w:t>Interest expense consists of interest costs incurred related to our finance leases and our long-term debt arrangements, including unused line fee and the amortization of deferred transaction costs related to the loan and security agreement originally entered into with Silicon Valley Bank that provides a $125 million revolving credit facility described elsewhere in this report. No amounts have been drawn under the revolving credit facility as of December 31,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21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Other income, net primarily consists of funding received under the CARES Act. We recognized $5.6 million of additional funding received under the CARES Act during the year ended December 31, 2021 and the amount is included in other income, net for the year ended December 31, 2021.</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97" w:lineRule="exact"/>
        <w:rPr>
          <w:sz w:val="20"/>
          <w:szCs w:val="20"/>
          <w:color w:val="auto"/>
        </w:rPr>
      </w:pPr>
    </w:p>
    <w:p>
      <w:pPr>
        <w:ind w:right="460" w:firstLine="360"/>
        <w:spacing w:after="0" w:line="249" w:lineRule="auto"/>
        <w:rPr>
          <w:sz w:val="20"/>
          <w:szCs w:val="20"/>
          <w:color w:val="auto"/>
        </w:rPr>
      </w:pPr>
      <w:r>
        <w:rPr>
          <w:rFonts w:ascii="Times New Roman" w:cs="Times New Roman" w:eastAsia="Times New Roman" w:hAnsi="Times New Roman"/>
          <w:sz w:val="20"/>
          <w:szCs w:val="20"/>
          <w:color w:val="auto"/>
        </w:rPr>
        <w:t>A discussion regarding our financial condition and results of consolidated operations for the year ended December 31, 2022 compared to the year ended December 31, 2021 and for the year ended December 31, 2021 compared to the year ended December 31, 2020 is presented below.</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360"/>
          </w:cols>
          <w:pgMar w:left="1440" w:top="1378" w:right="144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w:t>Comparison of the Years Ended December 31, 2022 and 2021</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sets forth our results of operations for the periods presented: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65"/>
        </w:trPr>
        <w:tc>
          <w:tcPr>
            <w:tcW w:w="39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59"/>
        </w:trPr>
        <w:tc>
          <w:tcPr>
            <w:tcW w:w="3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3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Revenue</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 xml:space="preserve">Diagnostic test revenue </w:t>
            </w:r>
            <w:r>
              <w:rPr>
                <w:rFonts w:ascii="Times New Roman" w:cs="Times New Roman" w:eastAsia="Times New Roman" w:hAnsi="Times New Roman"/>
                <w:sz w:val="20"/>
                <w:szCs w:val="20"/>
                <w:color w:val="989898"/>
                <w:w w:val="79"/>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227,334</w:t>
            </w:r>
          </w:p>
        </w:tc>
        <w:tc>
          <w:tcPr>
            <w:tcW w:w="40" w:type="dxa"/>
            <w:vAlign w:val="bottom"/>
          </w:tcPr>
          <w:p>
            <w:pPr>
              <w:spacing w:after="0"/>
              <w:rPr>
                <w:sz w:val="24"/>
                <w:szCs w:val="24"/>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205,100</w:t>
            </w:r>
          </w:p>
        </w:tc>
        <w:tc>
          <w:tcPr>
            <w:tcW w:w="0" w:type="dxa"/>
            <w:vAlign w:val="bottom"/>
          </w:tcPr>
          <w:p>
            <w:pPr>
              <w:spacing w:after="0"/>
              <w:rPr>
                <w:sz w:val="1"/>
                <w:szCs w:val="1"/>
                <w:color w:val="auto"/>
              </w:rPr>
            </w:pPr>
          </w:p>
        </w:tc>
      </w:tr>
      <w:tr>
        <w:trPr>
          <w:trHeight w:val="288"/>
        </w:trPr>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 xml:space="preserve">Other revenue </w:t>
            </w:r>
            <w:r>
              <w:rPr>
                <w:rFonts w:ascii="Times New Roman" w:cs="Times New Roman" w:eastAsia="Times New Roman" w:hAnsi="Times New Roman"/>
                <w:sz w:val="20"/>
                <w:szCs w:val="20"/>
                <w:color w:val="989898"/>
                <w:w w:val="79"/>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7,360</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7,095</w:t>
            </w:r>
          </w:p>
        </w:tc>
        <w:tc>
          <w:tcPr>
            <w:tcW w:w="0" w:type="dxa"/>
            <w:vAlign w:val="bottom"/>
          </w:tcPr>
          <w:p>
            <w:pPr>
              <w:spacing w:after="0"/>
              <w:rPr>
                <w:sz w:val="1"/>
                <w:szCs w:val="1"/>
                <w:color w:val="auto"/>
              </w:rPr>
            </w:pPr>
          </w:p>
        </w:tc>
      </w:tr>
      <w:tr>
        <w:trPr>
          <w:trHeight w:val="265"/>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 xml:space="preserve">Total revenue </w:t>
            </w:r>
            <w:r>
              <w:rPr>
                <w:rFonts w:ascii="Times New Roman" w:cs="Times New Roman" w:eastAsia="Times New Roman" w:hAnsi="Times New Roman"/>
                <w:sz w:val="20"/>
                <w:szCs w:val="20"/>
                <w:color w:val="989898"/>
                <w:w w:val="83"/>
              </w:rPr>
              <w:t>............................................................................................</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234,694</w:t>
            </w:r>
          </w:p>
        </w:tc>
        <w:tc>
          <w:tcPr>
            <w:tcW w:w="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212,195</w:t>
            </w:r>
          </w:p>
        </w:tc>
        <w:tc>
          <w:tcPr>
            <w:tcW w:w="0" w:type="dxa"/>
            <w:vAlign w:val="bottom"/>
          </w:tcPr>
          <w:p>
            <w:pPr>
              <w:spacing w:after="0"/>
              <w:rPr>
                <w:sz w:val="1"/>
                <w:szCs w:val="1"/>
                <w:color w:val="auto"/>
              </w:rPr>
            </w:pPr>
          </w:p>
        </w:tc>
      </w:tr>
      <w:tr>
        <w:trPr>
          <w:trHeight w:val="265"/>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8"/>
              </w:rPr>
              <w:t>Cost of services</w:t>
            </w:r>
            <w:r>
              <w:rPr>
                <w:rFonts w:ascii="Times New Roman" w:cs="Times New Roman" w:eastAsia="Times New Roman" w:hAnsi="Times New Roman"/>
                <w:sz w:val="20"/>
                <w:szCs w:val="20"/>
                <w:color w:val="989898"/>
                <w:w w:val="78"/>
              </w:rPr>
              <w:t>..................................................................................................</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261,444</w:t>
            </w:r>
          </w:p>
        </w:tc>
        <w:tc>
          <w:tcPr>
            <w:tcW w:w="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228,797</w:t>
            </w:r>
          </w:p>
        </w:tc>
        <w:tc>
          <w:tcPr>
            <w:tcW w:w="0" w:type="dxa"/>
            <w:vAlign w:val="bottom"/>
          </w:tcPr>
          <w:p>
            <w:pPr>
              <w:spacing w:after="0"/>
              <w:rPr>
                <w:sz w:val="1"/>
                <w:szCs w:val="1"/>
                <w:color w:val="auto"/>
              </w:rPr>
            </w:pPr>
          </w:p>
        </w:tc>
      </w:tr>
      <w:tr>
        <w:trPr>
          <w:trHeight w:val="265"/>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4"/>
              </w:rPr>
              <w:t>Gross loss</w:t>
            </w:r>
            <w:r>
              <w:rPr>
                <w:rFonts w:ascii="Times New Roman" w:cs="Times New Roman" w:eastAsia="Times New Roman" w:hAnsi="Times New Roman"/>
                <w:sz w:val="20"/>
                <w:szCs w:val="20"/>
                <w:color w:val="989898"/>
                <w:w w:val="84"/>
              </w:rPr>
              <w:t>..................................................................................................</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(26,750)</w:t>
            </w: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(16,602)</w:t>
            </w:r>
          </w:p>
        </w:tc>
        <w:tc>
          <w:tcPr>
            <w:tcW w:w="0" w:type="dxa"/>
            <w:vAlign w:val="bottom"/>
          </w:tcPr>
          <w:p>
            <w:pPr>
              <w:spacing w:after="0"/>
              <w:rPr>
                <w:sz w:val="1"/>
                <w:szCs w:val="1"/>
                <w:color w:val="auto"/>
              </w:rPr>
            </w:pPr>
          </w:p>
        </w:tc>
      </w:tr>
      <w:tr>
        <w:trPr>
          <w:trHeight w:val="262"/>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7"/>
              </w:rPr>
              <w:t xml:space="preserve">Research and development </w:t>
            </w:r>
            <w:r>
              <w:rPr>
                <w:rFonts w:ascii="Times New Roman" w:cs="Times New Roman" w:eastAsia="Times New Roman" w:hAnsi="Times New Roman"/>
                <w:sz w:val="20"/>
                <w:szCs w:val="20"/>
                <w:color w:val="989898"/>
                <w:w w:val="77"/>
              </w:rPr>
              <w:t>................................................................................</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86,203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105,162</w:t>
            </w:r>
          </w:p>
        </w:tc>
        <w:tc>
          <w:tcPr>
            <w:tcW w:w="0" w:type="dxa"/>
            <w:vAlign w:val="bottom"/>
          </w:tcPr>
          <w:p>
            <w:pPr>
              <w:spacing w:after="0"/>
              <w:rPr>
                <w:sz w:val="1"/>
                <w:szCs w:val="1"/>
                <w:color w:val="auto"/>
              </w:rPr>
            </w:pPr>
          </w:p>
        </w:tc>
      </w:tr>
      <w:tr>
        <w:trPr>
          <w:trHeight w:val="285"/>
        </w:trPr>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7"/>
              </w:rPr>
              <w:t xml:space="preserve">Selling and marketing </w:t>
            </w:r>
            <w:r>
              <w:rPr>
                <w:rFonts w:ascii="Times New Roman" w:cs="Times New Roman" w:eastAsia="Times New Roman" w:hAnsi="Times New Roman"/>
                <w:sz w:val="20"/>
                <w:szCs w:val="20"/>
                <w:color w:val="989898"/>
                <w:w w:val="77"/>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134,913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112,738</w:t>
            </w:r>
          </w:p>
        </w:tc>
        <w:tc>
          <w:tcPr>
            <w:tcW w:w="0" w:type="dxa"/>
            <w:vAlign w:val="bottom"/>
          </w:tcPr>
          <w:p>
            <w:pPr>
              <w:spacing w:after="0"/>
              <w:rPr>
                <w:sz w:val="1"/>
                <w:szCs w:val="1"/>
                <w:color w:val="auto"/>
              </w:rPr>
            </w:pPr>
          </w:p>
        </w:tc>
      </w:tr>
      <w:tr>
        <w:trPr>
          <w:trHeight w:val="285"/>
        </w:trPr>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7"/>
              </w:rPr>
              <w:t xml:space="preserve">General and administrative </w:t>
            </w:r>
            <w:r>
              <w:rPr>
                <w:rFonts w:ascii="Times New Roman" w:cs="Times New Roman" w:eastAsia="Times New Roman" w:hAnsi="Times New Roman"/>
                <w:sz w:val="20"/>
                <w:szCs w:val="20"/>
                <w:color w:val="989898"/>
                <w:w w:val="77"/>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203,329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205,988</w:t>
            </w:r>
          </w:p>
        </w:tc>
        <w:tc>
          <w:tcPr>
            <w:tcW w:w="0" w:type="dxa"/>
            <w:vAlign w:val="bottom"/>
          </w:tcPr>
          <w:p>
            <w:pPr>
              <w:spacing w:after="0"/>
              <w:rPr>
                <w:sz w:val="1"/>
                <w:szCs w:val="1"/>
                <w:color w:val="auto"/>
              </w:rPr>
            </w:pPr>
          </w:p>
        </w:tc>
      </w:tr>
      <w:tr>
        <w:trPr>
          <w:trHeight w:val="285"/>
        </w:trPr>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7"/>
              </w:rPr>
              <w:t xml:space="preserve">Related party expenses </w:t>
            </w:r>
            <w:r>
              <w:rPr>
                <w:rFonts w:ascii="Times New Roman" w:cs="Times New Roman" w:eastAsia="Times New Roman" w:hAnsi="Times New Roman"/>
                <w:sz w:val="20"/>
                <w:szCs w:val="20"/>
                <w:color w:val="989898"/>
                <w:w w:val="77"/>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6,312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5,659</w:t>
            </w:r>
          </w:p>
        </w:tc>
        <w:tc>
          <w:tcPr>
            <w:tcW w:w="0" w:type="dxa"/>
            <w:vAlign w:val="bottom"/>
          </w:tcPr>
          <w:p>
            <w:pPr>
              <w:spacing w:after="0"/>
              <w:rPr>
                <w:sz w:val="1"/>
                <w:szCs w:val="1"/>
                <w:color w:val="auto"/>
              </w:rPr>
            </w:pPr>
          </w:p>
        </w:tc>
      </w:tr>
      <w:tr>
        <w:trPr>
          <w:trHeight w:val="288"/>
        </w:trPr>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7"/>
              </w:rPr>
              <w:t xml:space="preserve">Impairment Loss </w:t>
            </w:r>
            <w:r>
              <w:rPr>
                <w:rFonts w:ascii="Times New Roman" w:cs="Times New Roman" w:eastAsia="Times New Roman" w:hAnsi="Times New Roman"/>
                <w:sz w:val="20"/>
                <w:szCs w:val="20"/>
                <w:color w:val="989898"/>
                <w:w w:val="77"/>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210,145</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5"/>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 xml:space="preserve">Loss from operations </w:t>
            </w:r>
            <w:r>
              <w:rPr>
                <w:rFonts w:ascii="Times New Roman" w:cs="Times New Roman" w:eastAsia="Times New Roman" w:hAnsi="Times New Roman"/>
                <w:sz w:val="20"/>
                <w:szCs w:val="20"/>
                <w:color w:val="989898"/>
                <w:w w:val="83"/>
              </w:rPr>
              <w:t>................................................................................</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(667,652)</w:t>
            </w: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(446,149)</w:t>
            </w:r>
          </w:p>
        </w:tc>
        <w:tc>
          <w:tcPr>
            <w:tcW w:w="0" w:type="dxa"/>
            <w:vAlign w:val="bottom"/>
          </w:tcPr>
          <w:p>
            <w:pPr>
              <w:spacing w:after="0"/>
              <w:rPr>
                <w:sz w:val="1"/>
                <w:szCs w:val="1"/>
                <w:color w:val="auto"/>
              </w:rPr>
            </w:pPr>
          </w:p>
        </w:tc>
      </w:tr>
      <w:tr>
        <w:trPr>
          <w:trHeight w:val="262"/>
        </w:trPr>
        <w:tc>
          <w:tcPr>
            <w:tcW w:w="3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income (expense):</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800" w:type="dxa"/>
            <w:vAlign w:val="bottom"/>
            <w:gridSpan w:val="8"/>
          </w:tcPr>
          <w:p>
            <w:pPr>
              <w:jc w:val="right"/>
              <w:ind w:right="340"/>
              <w:spacing w:after="0"/>
              <w:rPr>
                <w:sz w:val="20"/>
                <w:szCs w:val="20"/>
                <w:color w:val="auto"/>
              </w:rPr>
            </w:pPr>
            <w:r>
              <w:rPr>
                <w:rFonts w:ascii="Times New Roman" w:cs="Times New Roman" w:eastAsia="Times New Roman" w:hAnsi="Times New Roman"/>
                <w:sz w:val="20"/>
                <w:szCs w:val="20"/>
                <w:color w:val="auto"/>
              </w:rPr>
              <w:t xml:space="preserve">Change in fair market value of warrant and earn-out contingent liabilities </w:t>
            </w:r>
            <w:r>
              <w:rPr>
                <w:rFonts w:ascii="Times New Roman" w:cs="Times New Roman" w:eastAsia="Times New Roman" w:hAnsi="Times New Roman"/>
                <w:sz w:val="20"/>
                <w:szCs w:val="20"/>
                <w:color w:val="98989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70,229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198,401</w:t>
            </w:r>
          </w:p>
        </w:tc>
        <w:tc>
          <w:tcPr>
            <w:tcW w:w="0" w:type="dxa"/>
            <w:vAlign w:val="bottom"/>
          </w:tcPr>
          <w:p>
            <w:pPr>
              <w:spacing w:after="0"/>
              <w:rPr>
                <w:sz w:val="1"/>
                <w:szCs w:val="1"/>
                <w:color w:val="auto"/>
              </w:rPr>
            </w:pPr>
          </w:p>
        </w:tc>
      </w:tr>
      <w:tr>
        <w:trPr>
          <w:trHeight w:val="285"/>
        </w:trPr>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 xml:space="preserve">Interest income </w:t>
            </w:r>
            <w:r>
              <w:rPr>
                <w:rFonts w:ascii="Times New Roman" w:cs="Times New Roman" w:eastAsia="Times New Roman" w:hAnsi="Times New Roman"/>
                <w:sz w:val="20"/>
                <w:szCs w:val="20"/>
                <w:color w:val="989898"/>
                <w:w w:val="79"/>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2,541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85"/>
        </w:trPr>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 xml:space="preserve">Interest expense </w:t>
            </w:r>
            <w:r>
              <w:rPr>
                <w:rFonts w:ascii="Times New Roman" w:cs="Times New Roman" w:eastAsia="Times New Roman" w:hAnsi="Times New Roman"/>
                <w:sz w:val="20"/>
                <w:szCs w:val="20"/>
                <w:color w:val="989898"/>
                <w:w w:val="79"/>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(3,207)</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(2,835)</w:t>
            </w:r>
          </w:p>
        </w:tc>
        <w:tc>
          <w:tcPr>
            <w:tcW w:w="0" w:type="dxa"/>
            <w:vAlign w:val="bottom"/>
          </w:tcPr>
          <w:p>
            <w:pPr>
              <w:spacing w:after="0"/>
              <w:rPr>
                <w:sz w:val="1"/>
                <w:szCs w:val="1"/>
                <w:color w:val="auto"/>
              </w:rPr>
            </w:pPr>
          </w:p>
        </w:tc>
      </w:tr>
      <w:tr>
        <w:trPr>
          <w:trHeight w:val="288"/>
        </w:trPr>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 xml:space="preserve">Other income, net </w:t>
            </w:r>
            <w:r>
              <w:rPr>
                <w:rFonts w:ascii="Times New Roman" w:cs="Times New Roman" w:eastAsia="Times New Roman" w:hAnsi="Times New Roman"/>
                <w:sz w:val="20"/>
                <w:szCs w:val="20"/>
                <w:color w:val="989898"/>
                <w:w w:val="79"/>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5,114</w:t>
            </w:r>
          </w:p>
        </w:tc>
        <w:tc>
          <w:tcPr>
            <w:tcW w:w="0" w:type="dxa"/>
            <w:vAlign w:val="bottom"/>
          </w:tcPr>
          <w:p>
            <w:pPr>
              <w:spacing w:after="0"/>
              <w:rPr>
                <w:sz w:val="1"/>
                <w:szCs w:val="1"/>
                <w:color w:val="auto"/>
              </w:rPr>
            </w:pPr>
          </w:p>
        </w:tc>
      </w:tr>
      <w:tr>
        <w:trPr>
          <w:trHeight w:val="265"/>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 xml:space="preserve">Total other income (expense), net </w:t>
            </w:r>
            <w:r>
              <w:rPr>
                <w:rFonts w:ascii="Times New Roman" w:cs="Times New Roman" w:eastAsia="Times New Roman" w:hAnsi="Times New Roman"/>
                <w:sz w:val="20"/>
                <w:szCs w:val="20"/>
                <w:color w:val="989898"/>
                <w:w w:val="83"/>
              </w:rPr>
              <w:t>............................................................</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69,620</w:t>
            </w:r>
          </w:p>
        </w:tc>
        <w:tc>
          <w:tcPr>
            <w:tcW w:w="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200,759</w:t>
            </w:r>
          </w:p>
        </w:tc>
        <w:tc>
          <w:tcPr>
            <w:tcW w:w="0" w:type="dxa"/>
            <w:vAlign w:val="bottom"/>
          </w:tcPr>
          <w:p>
            <w:pPr>
              <w:spacing w:after="0"/>
              <w:rPr>
                <w:sz w:val="1"/>
                <w:szCs w:val="1"/>
                <w:color w:val="auto"/>
              </w:rPr>
            </w:pPr>
          </w:p>
        </w:tc>
      </w:tr>
      <w:tr>
        <w:trPr>
          <w:trHeight w:val="262"/>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7"/>
              </w:rPr>
              <w:t xml:space="preserve">Loss before income taxes </w:t>
            </w:r>
            <w:r>
              <w:rPr>
                <w:rFonts w:ascii="Times New Roman" w:cs="Times New Roman" w:eastAsia="Times New Roman" w:hAnsi="Times New Roman"/>
                <w:sz w:val="20"/>
                <w:szCs w:val="20"/>
                <w:color w:val="989898"/>
                <w:w w:val="77"/>
              </w:rPr>
              <w:t>..................................................................................</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(598,032)</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(245,390)</w:t>
            </w:r>
          </w:p>
        </w:tc>
        <w:tc>
          <w:tcPr>
            <w:tcW w:w="0" w:type="dxa"/>
            <w:vAlign w:val="bottom"/>
          </w:tcPr>
          <w:p>
            <w:pPr>
              <w:spacing w:after="0"/>
              <w:rPr>
                <w:sz w:val="1"/>
                <w:szCs w:val="1"/>
                <w:color w:val="auto"/>
              </w:rPr>
            </w:pPr>
          </w:p>
        </w:tc>
      </w:tr>
      <w:tr>
        <w:trPr>
          <w:trHeight w:val="288"/>
        </w:trPr>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7"/>
              </w:rPr>
              <w:t xml:space="preserve">Income tax provision </w:t>
            </w:r>
            <w:r>
              <w:rPr>
                <w:rFonts w:ascii="Times New Roman" w:cs="Times New Roman" w:eastAsia="Times New Roman" w:hAnsi="Times New Roman"/>
                <w:sz w:val="20"/>
                <w:szCs w:val="20"/>
                <w:color w:val="989898"/>
                <w:w w:val="77"/>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49,052</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7"/>
              </w:rPr>
              <w:t xml:space="preserve">Net loss and comprehensive loss </w:t>
            </w:r>
            <w:r>
              <w:rPr>
                <w:rFonts w:ascii="Times New Roman" w:cs="Times New Roman" w:eastAsia="Times New Roman" w:hAnsi="Times New Roman"/>
                <w:sz w:val="20"/>
                <w:szCs w:val="20"/>
                <w:color w:val="989898"/>
                <w:w w:val="77"/>
              </w:rPr>
              <w:t>.......................................................................</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(548,980)</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(245,390)</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0"/>
        </w:trPr>
        <w:tc>
          <w:tcPr>
            <w:tcW w:w="39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3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940" w:type="dxa"/>
            <w:vAlign w:val="bottom"/>
          </w:tcPr>
          <w:p>
            <w:pPr>
              <w:spacing w:after="0"/>
              <w:rPr>
                <w:sz w:val="19"/>
                <w:szCs w:val="19"/>
                <w:color w:val="auto"/>
              </w:rPr>
            </w:pPr>
          </w:p>
        </w:tc>
        <w:tc>
          <w:tcPr>
            <w:tcW w:w="192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9"/>
                <w:szCs w:val="19"/>
                <w:color w:val="auto"/>
              </w:rPr>
            </w:pPr>
          </w:p>
        </w:tc>
        <w:tc>
          <w:tcPr>
            <w:tcW w:w="172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2021 to 2022</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3940" w:type="dxa"/>
            <w:vAlign w:val="bottom"/>
          </w:tcPr>
          <w:p>
            <w:pPr>
              <w:ind w:left="1660"/>
              <w:spacing w:after="0"/>
              <w:rPr>
                <w:sz w:val="20"/>
                <w:szCs w:val="20"/>
                <w:color w:val="auto"/>
              </w:rPr>
            </w:pPr>
            <w:r>
              <w:rPr>
                <w:rFonts w:ascii="Times New Roman" w:cs="Times New Roman" w:eastAsia="Times New Roman" w:hAnsi="Times New Roman"/>
                <w:sz w:val="20"/>
                <w:szCs w:val="20"/>
                <w:color w:val="auto"/>
              </w:rPr>
              <w:t xml:space="preserve">Diagnostic test revenue </w:t>
            </w:r>
            <w:r>
              <w:rPr>
                <w:rFonts w:ascii="Times New Roman" w:cs="Times New Roman" w:eastAsia="Times New Roman" w:hAnsi="Times New Roman"/>
                <w:sz w:val="20"/>
                <w:szCs w:val="20"/>
                <w:color w:val="989898"/>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w w:val="97"/>
              </w:rPr>
              <w:t>$ 227,334</w:t>
            </w:r>
          </w:p>
        </w:tc>
        <w:tc>
          <w:tcPr>
            <w:tcW w:w="96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$ 205,100</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22,234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940" w:type="dxa"/>
            <w:vAlign w:val="bottom"/>
          </w:tcPr>
          <w:p>
            <w:pPr>
              <w:ind w:left="1660"/>
              <w:spacing w:after="0"/>
              <w:rPr>
                <w:sz w:val="20"/>
                <w:szCs w:val="20"/>
                <w:color w:val="auto"/>
              </w:rPr>
            </w:pPr>
            <w:r>
              <w:rPr>
                <w:rFonts w:ascii="Times New Roman" w:cs="Times New Roman" w:eastAsia="Times New Roman" w:hAnsi="Times New Roman"/>
                <w:sz w:val="20"/>
                <w:szCs w:val="20"/>
                <w:color w:val="auto"/>
              </w:rPr>
              <w:t xml:space="preserve">Other revenue </w:t>
            </w:r>
            <w:r>
              <w:rPr>
                <w:rFonts w:ascii="Times New Roman" w:cs="Times New Roman" w:eastAsia="Times New Roman" w:hAnsi="Times New Roman"/>
                <w:sz w:val="20"/>
                <w:szCs w:val="20"/>
                <w:color w:val="989898"/>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7,360</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20"/>
                <w:szCs w:val="20"/>
                <w:color w:val="auto"/>
              </w:rPr>
              <w:t>7,095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940" w:type="dxa"/>
            <w:vAlign w:val="bottom"/>
          </w:tcPr>
          <w:p>
            <w:pPr>
              <w:ind w:left="1660"/>
              <w:spacing w:after="0"/>
              <w:rPr>
                <w:sz w:val="20"/>
                <w:szCs w:val="20"/>
                <w:color w:val="auto"/>
              </w:rPr>
            </w:pPr>
            <w:r>
              <w:rPr>
                <w:rFonts w:ascii="Times New Roman" w:cs="Times New Roman" w:eastAsia="Times New Roman" w:hAnsi="Times New Roman"/>
                <w:sz w:val="20"/>
                <w:szCs w:val="20"/>
                <w:color w:val="auto"/>
              </w:rPr>
              <w:t xml:space="preserve">Total revenue </w:t>
            </w:r>
            <w:r>
              <w:rPr>
                <w:rFonts w:ascii="Times New Roman" w:cs="Times New Roman" w:eastAsia="Times New Roman" w:hAnsi="Times New Roman"/>
                <w:sz w:val="20"/>
                <w:szCs w:val="20"/>
                <w:color w:val="989898"/>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w w:val="97"/>
              </w:rPr>
              <w:t>$ 234,694</w:t>
            </w:r>
          </w:p>
        </w:tc>
        <w:tc>
          <w:tcPr>
            <w:tcW w:w="96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$ 212,195</w:t>
            </w:r>
          </w:p>
        </w:tc>
        <w:tc>
          <w:tcPr>
            <w:tcW w:w="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22,499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-5628640</wp:posOffset>
            </wp:positionV>
            <wp:extent cx="5788025" cy="3838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5788025" cy="3838575"/>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-574040</wp:posOffset>
            </wp:positionV>
            <wp:extent cx="3930650" cy="581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3930650" cy="581025"/>
                    </a:xfrm>
                    <a:prstGeom prst="rect">
                      <a:avLst/>
                    </a:prstGeom>
                    <a:noFill/>
                  </pic:spPr>
                </pic:pic>
              </a:graphicData>
            </a:graphic>
          </wp:anchor>
        </w:drawing>
      </w:r>
    </w:p>
    <w:p>
      <w:pPr>
        <w:spacing w:after="0" w:line="188"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Total revenue increased by $22.5 million, or 11%, to $234.7 million for the year ended December 31, 2022, from $212.2 million for the year ended December 31, 2021.</w:t>
      </w:r>
    </w:p>
    <w:p>
      <w:pPr>
        <w:spacing w:after="0" w:line="141"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Diagnostic test revenue increased by $22.2 million, or 11%, to $227.3 million for the year ended December 31, 2022, from $205.1 million for the year ended December 31, 2021. The increase was primarily attributable to the inclusion of $114.9 million of Legacy GeneDx diagnostics revenue from the date of Acquisition, partially offset by a decrease of $92.6 million from Legacy Sema4’s diagnostics business.</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360"/>
          </w:cols>
          <w:pgMar w:left="1440" w:top="1371" w:right="1440" w:bottom="0" w:gutter="0" w:footer="0" w:header="0"/>
          <w:type w:val="continuous"/>
        </w:sectPr>
      </w:pPr>
    </w:p>
    <w:bookmarkStart w:id="80" w:name="page81"/>
    <w:bookmarkEnd w:id="80"/>
    <w:p>
      <w:pPr>
        <w:jc w:val="both"/>
        <w:ind w:firstLine="360"/>
        <w:spacing w:after="0" w:line="238" w:lineRule="auto"/>
        <w:rPr>
          <w:sz w:val="20"/>
          <w:szCs w:val="20"/>
          <w:color w:val="auto"/>
        </w:rPr>
      </w:pPr>
      <w:r>
        <w:rPr>
          <w:rFonts w:ascii="Times New Roman" w:cs="Times New Roman" w:eastAsia="Times New Roman" w:hAnsi="Times New Roman"/>
          <w:sz w:val="19"/>
          <w:szCs w:val="19"/>
          <w:color w:val="auto"/>
        </w:rPr>
        <w:t>For the year ended December 31, 2022, Legacy Sema4 diagnostic testing revenue decreased by $92.6 million to $112.5 million compared to $205.1 million for the year ended December 31, 2021. This decrease in diagnostic testing revenue was primarily due to a combination of the cessation of COVID-19 operations in the first quarter of 2022 resulting in a year over year decline in revenue recognized of $18.9 million, increases in third-party payor denials on both somatic oncology and women’s health testing resulting in $44.1 million of lower reimbursement, and significant reversals in the amount of cumulative revenue recognized of $54.0 million in connection with establishment of liabilities and reserves for actual and potential recoupment of payments previously made by third-party payors. These decreases in revenue recognized were partially offset by increased volume of 13.4 % within the Legacy Sema4 women’s health and oncology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testing lines that resulted in increased revenue of $24.4 million compared to the year ended December 31, 2021.</w:t>
      </w:r>
    </w:p>
    <w:p>
      <w:pPr>
        <w:spacing w:after="0" w:line="21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Other revenue increased by $0.3 million, or 4%, to $7.4 million for the year ended December 31, 2022, from $7.1 million for the year ended December 31, 2021. The increase was primarily attributable to the inclusion of $1.5 million of Legacy GeneDx collaboration services activities from the date of the Acquisition, partially offset by a decrease of $1.2 million from Legacy Sema4’s biopharma business.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Services</w:t>
      </w:r>
    </w:p>
    <w:p>
      <w:pPr>
        <w:spacing w:after="0" w:line="259" w:lineRule="exact"/>
        <w:rPr>
          <w:sz w:val="20"/>
          <w:szCs w:val="20"/>
          <w:color w:val="auto"/>
        </w:rPr>
      </w:pPr>
    </w:p>
    <w:tbl>
      <w:tblPr>
        <w:tblLayout w:type="fixed"/>
        <w:tblInd w:w="1560" w:type="dxa"/>
        <w:tblCellMar>
          <w:top w:w="0" w:type="dxa"/>
          <w:left w:w="0" w:type="dxa"/>
          <w:bottom w:w="0" w:type="dxa"/>
          <w:right w:w="0" w:type="dxa"/>
        </w:tblCellMar>
      </w:tblPr>
      <w:tr>
        <w:trPr>
          <w:trHeight w:val="211"/>
        </w:trPr>
        <w:tc>
          <w:tcPr>
            <w:tcW w:w="2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center"/>
              <w:ind w:left="215"/>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19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440" w:type="dxa"/>
            <w:vAlign w:val="bottom"/>
          </w:tcPr>
          <w:p>
            <w:pPr>
              <w:spacing w:after="0"/>
              <w:rPr>
                <w:sz w:val="19"/>
                <w:szCs w:val="19"/>
                <w:color w:val="auto"/>
              </w:rPr>
            </w:pPr>
          </w:p>
        </w:tc>
        <w:tc>
          <w:tcPr>
            <w:tcW w:w="1920" w:type="dxa"/>
            <w:vAlign w:val="bottom"/>
            <w:tcBorders>
              <w:bottom w:val="single" w:sz="8" w:color="auto"/>
            </w:tcBorders>
            <w:gridSpan w:val="4"/>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center"/>
              <w:ind w:left="215"/>
              <w:spacing w:after="0"/>
              <w:rPr>
                <w:sz w:val="20"/>
                <w:szCs w:val="20"/>
                <w:color w:val="auto"/>
              </w:rPr>
            </w:pPr>
            <w:r>
              <w:rPr>
                <w:rFonts w:ascii="Times New Roman" w:cs="Times New Roman" w:eastAsia="Times New Roman" w:hAnsi="Times New Roman"/>
                <w:sz w:val="16"/>
                <w:szCs w:val="16"/>
                <w:b w:val="1"/>
                <w:bCs w:val="1"/>
                <w:color w:val="auto"/>
                <w:w w:val="98"/>
              </w:rPr>
              <w:t>2021 to 2022</w:t>
            </w: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40" w:type="dxa"/>
            <w:vAlign w:val="bottom"/>
          </w:tcPr>
          <w:p>
            <w:pPr>
              <w:spacing w:after="0"/>
              <w:rPr>
                <w:sz w:val="19"/>
                <w:szCs w:val="19"/>
                <w:color w:val="auto"/>
              </w:rPr>
            </w:pP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11"/>
        </w:trPr>
        <w:tc>
          <w:tcPr>
            <w:tcW w:w="24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w w:val="94"/>
              </w:rPr>
              <w:t>(dollars in</w:t>
            </w:r>
          </w:p>
        </w:tc>
        <w:tc>
          <w:tcPr>
            <w:tcW w:w="60" w:type="dxa"/>
            <w:vAlign w:val="bottom"/>
          </w:tcPr>
          <w:p>
            <w:pPr>
              <w:spacing w:after="0"/>
              <w:rPr>
                <w:sz w:val="18"/>
                <w:szCs w:val="18"/>
                <w:color w:val="auto"/>
              </w:rPr>
            </w:pPr>
          </w:p>
        </w:tc>
        <w:tc>
          <w:tcPr>
            <w:tcW w:w="960" w:type="dxa"/>
            <w:vAlign w:val="bottom"/>
            <w:tcBorders>
              <w:top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w w:val="96"/>
              </w:rPr>
              <w:t>thousands)</w:t>
            </w: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Cost of services </w:t>
            </w:r>
            <w:r>
              <w:rPr>
                <w:rFonts w:ascii="Times New Roman" w:cs="Times New Roman" w:eastAsia="Times New Roman" w:hAnsi="Times New Roman"/>
                <w:sz w:val="20"/>
                <w:szCs w:val="20"/>
                <w:color w:val="989898"/>
              </w:rPr>
              <w:t>.....................</w:t>
            </w:r>
          </w:p>
        </w:tc>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$ 261,444</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$ 228,797</w:t>
            </w:r>
          </w:p>
        </w:tc>
        <w:tc>
          <w:tcPr>
            <w:tcW w:w="6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32,647</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-171450</wp:posOffset>
            </wp:positionV>
            <wp:extent cx="4044950" cy="206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4044950" cy="206375"/>
                    </a:xfrm>
                    <a:prstGeom prst="rect">
                      <a:avLst/>
                    </a:prstGeom>
                    <a:noFill/>
                  </pic:spPr>
                </pic:pic>
              </a:graphicData>
            </a:graphic>
          </wp:anchor>
        </w:drawing>
      </w:r>
    </w:p>
    <w:p>
      <w:pPr>
        <w:spacing w:after="0" w:line="252"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Cost of services increased by $32.6 million, or 14%, to $261.4 million for the year ended December 31, 2022, from $228.8 million for the year ended December 31, 2021. The increase was primarily driven by the inclusion of $67.5 million of Legacy GeneDx cost of services from the time of the Acquisition, partially offset by a $34.4 million decrease in Legacy Sema4 cost of services, primarily driven by a decrease in stock-based compensation along with lower activity due to the exit of the Company’s somatic tumor and COVID-19 testing businesses.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274" w:lineRule="exact"/>
        <w:rPr>
          <w:sz w:val="20"/>
          <w:szCs w:val="20"/>
          <w:color w:val="auto"/>
        </w:rPr>
      </w:pPr>
    </w:p>
    <w:tbl>
      <w:tblPr>
        <w:tblLayout w:type="fixed"/>
        <w:tblInd w:w="1500" w:type="dxa"/>
        <w:tblCellMar>
          <w:top w:w="0" w:type="dxa"/>
          <w:left w:w="0" w:type="dxa"/>
          <w:bottom w:w="0" w:type="dxa"/>
          <w:right w:w="0" w:type="dxa"/>
        </w:tblCellMar>
      </w:tblPr>
      <w:tr>
        <w:trPr>
          <w:trHeight w:val="217"/>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gridSpan w:val="3"/>
          </w:tcPr>
          <w:p>
            <w:pPr>
              <w:jc w:val="center"/>
              <w:ind w:left="5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Borders>
              <w:bottom w:val="single" w:sz="8" w:color="auto"/>
            </w:tcBorders>
          </w:tcPr>
          <w:p>
            <w:pPr>
              <w:spacing w:after="0"/>
              <w:rPr>
                <w:sz w:val="18"/>
                <w:szCs w:val="18"/>
                <w:color w:val="auto"/>
              </w:rPr>
            </w:pPr>
          </w:p>
        </w:tc>
      </w:tr>
      <w:tr>
        <w:trPr>
          <w:trHeight w:val="220"/>
        </w:trPr>
        <w:tc>
          <w:tcPr>
            <w:tcW w:w="2640" w:type="dxa"/>
            <w:vAlign w:val="bottom"/>
          </w:tcPr>
          <w:p>
            <w:pPr>
              <w:spacing w:after="0"/>
              <w:rPr>
                <w:sz w:val="19"/>
                <w:szCs w:val="19"/>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2021 to 2022</w:t>
            </w:r>
          </w:p>
        </w:tc>
      </w:tr>
      <w:tr>
        <w:trPr>
          <w:trHeight w:val="220"/>
        </w:trPr>
        <w:tc>
          <w:tcPr>
            <w:tcW w:w="2640" w:type="dxa"/>
            <w:vAlign w:val="bottom"/>
          </w:tcPr>
          <w:p>
            <w:pPr>
              <w:spacing w:after="0"/>
              <w:rPr>
                <w:sz w:val="19"/>
                <w:szCs w:val="19"/>
                <w:color w:val="auto"/>
              </w:rPr>
            </w:pPr>
          </w:p>
        </w:tc>
        <w:tc>
          <w:tcPr>
            <w:tcW w:w="9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0" w:type="dxa"/>
            <w:vAlign w:val="bottom"/>
          </w:tcPr>
          <w:p>
            <w:pPr>
              <w:spacing w:after="0"/>
              <w:rPr>
                <w:sz w:val="18"/>
                <w:szCs w:val="18"/>
                <w:color w:val="auto"/>
              </w:rPr>
            </w:pPr>
          </w:p>
        </w:tc>
      </w:tr>
      <w:tr>
        <w:trPr>
          <w:trHeight w:val="288"/>
        </w:trPr>
        <w:tc>
          <w:tcPr>
            <w:tcW w:w="3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xml:space="preserve">Research and development </w:t>
            </w:r>
            <w:r>
              <w:rPr>
                <w:rFonts w:ascii="Times New Roman" w:cs="Times New Roman" w:eastAsia="Times New Roman" w:hAnsi="Times New Roman"/>
                <w:sz w:val="20"/>
                <w:szCs w:val="20"/>
                <w:color w:val="989898"/>
              </w:rPr>
              <w:t>........</w:t>
            </w:r>
            <w:r>
              <w:rPr>
                <w:rFonts w:ascii="Times New Roman" w:cs="Times New Roman" w:eastAsia="Times New Roman" w:hAnsi="Times New Roman"/>
                <w:sz w:val="20"/>
                <w:szCs w:val="20"/>
                <w:color w:val="auto"/>
              </w:rPr>
              <w:t xml:space="preserve"> $ 86,203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$ 105,162</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(18,959)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-184785</wp:posOffset>
            </wp:positionV>
            <wp:extent cx="4140200" cy="206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4140200" cy="206375"/>
                    </a:xfrm>
                    <a:prstGeom prst="rect">
                      <a:avLst/>
                    </a:prstGeom>
                    <a:noFill/>
                  </pic:spPr>
                </pic:pic>
              </a:graphicData>
            </a:graphic>
          </wp:anchor>
        </w:drawing>
      </w:r>
    </w:p>
    <w:p>
      <w:pPr>
        <w:spacing w:after="0" w:line="231"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Research and development expenses decreased by $19.0 million, or 18%, to $86.2 million for the year ended December 31, 2022, from $105.2 million for the year ended December 31, 2021. The decrease was primarily driven by a decrease of $45.4 million in stock-based compensation expense year-over-year which was primarily due to the reversal of stock-based compensation expense by $11.3 million based on forfeiture of unvested equity awards upon termination of our executives. This decrease was offset by the inclusion of $13.1 million of Legacy GeneDx’s research and development costs from the time of the Acquisition.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and Marketing</w:t>
      </w:r>
    </w:p>
    <w:p>
      <w:pPr>
        <w:spacing w:after="0" w:line="274" w:lineRule="exact"/>
        <w:rPr>
          <w:sz w:val="20"/>
          <w:szCs w:val="20"/>
          <w:color w:val="auto"/>
        </w:rPr>
      </w:pPr>
    </w:p>
    <w:tbl>
      <w:tblPr>
        <w:tblLayout w:type="fixed"/>
        <w:tblInd w:w="1500" w:type="dxa"/>
        <w:tblCellMar>
          <w:top w:w="0" w:type="dxa"/>
          <w:left w:w="0" w:type="dxa"/>
          <w:bottom w:w="0" w:type="dxa"/>
          <w:right w:w="0" w:type="dxa"/>
        </w:tblCellMar>
      </w:tblPr>
      <w:tr>
        <w:trPr>
          <w:trHeight w:val="217"/>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gridSpan w:val="3"/>
          </w:tcPr>
          <w:p>
            <w:pPr>
              <w:jc w:val="center"/>
              <w:ind w:left="5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Borders>
              <w:bottom w:val="single" w:sz="8" w:color="auto"/>
            </w:tcBorders>
          </w:tcPr>
          <w:p>
            <w:pPr>
              <w:spacing w:after="0"/>
              <w:rPr>
                <w:sz w:val="18"/>
                <w:szCs w:val="18"/>
                <w:color w:val="auto"/>
              </w:rPr>
            </w:pPr>
          </w:p>
        </w:tc>
      </w:tr>
      <w:tr>
        <w:trPr>
          <w:trHeight w:val="220"/>
        </w:trPr>
        <w:tc>
          <w:tcPr>
            <w:tcW w:w="2640" w:type="dxa"/>
            <w:vAlign w:val="bottom"/>
          </w:tcPr>
          <w:p>
            <w:pPr>
              <w:spacing w:after="0"/>
              <w:rPr>
                <w:sz w:val="19"/>
                <w:szCs w:val="19"/>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2021 to 2022</w:t>
            </w:r>
          </w:p>
        </w:tc>
      </w:tr>
      <w:tr>
        <w:trPr>
          <w:trHeight w:val="220"/>
        </w:trPr>
        <w:tc>
          <w:tcPr>
            <w:tcW w:w="2640" w:type="dxa"/>
            <w:vAlign w:val="bottom"/>
          </w:tcPr>
          <w:p>
            <w:pPr>
              <w:spacing w:after="0"/>
              <w:rPr>
                <w:sz w:val="19"/>
                <w:szCs w:val="19"/>
                <w:color w:val="auto"/>
              </w:rPr>
            </w:pPr>
          </w:p>
        </w:tc>
        <w:tc>
          <w:tcPr>
            <w:tcW w:w="9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0" w:type="dxa"/>
            <w:vAlign w:val="bottom"/>
          </w:tcPr>
          <w:p>
            <w:pPr>
              <w:spacing w:after="0"/>
              <w:rPr>
                <w:sz w:val="18"/>
                <w:szCs w:val="18"/>
                <w:color w:val="auto"/>
              </w:rPr>
            </w:pPr>
          </w:p>
        </w:tc>
      </w:tr>
      <w:tr>
        <w:trPr>
          <w:trHeight w:val="288"/>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Selling and marketing </w:t>
            </w:r>
            <w:r>
              <w:rPr>
                <w:rFonts w:ascii="Times New Roman" w:cs="Times New Roman" w:eastAsia="Times New Roman" w:hAnsi="Times New Roman"/>
                <w:sz w:val="20"/>
                <w:szCs w:val="20"/>
                <w:color w:val="989898"/>
              </w:rPr>
              <w:t>................</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$ 134,913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$ 112,738</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$ 22,175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-184785</wp:posOffset>
            </wp:positionV>
            <wp:extent cx="4140200" cy="206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4140200" cy="206375"/>
                    </a:xfrm>
                    <a:prstGeom prst="rect">
                      <a:avLst/>
                    </a:prstGeom>
                    <a:noFill/>
                  </pic:spPr>
                </pic:pic>
              </a:graphicData>
            </a:graphic>
          </wp:anchor>
        </w:drawing>
      </w:r>
    </w:p>
    <w:p>
      <w:pPr>
        <w:sectPr>
          <w:pgSz w:w="12240" w:h="15840" w:orient="portrait"/>
          <w:cols w:equalWidth="0" w:num="1">
            <w:col w:w="9360"/>
          </w:cols>
          <w:pgMar w:left="1440" w:top="138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360"/>
          </w:cols>
          <w:pgMar w:left="1440" w:top="1380" w:right="1440" w:bottom="0" w:gutter="0" w:footer="0" w:header="0"/>
          <w:type w:val="continuous"/>
        </w:sectPr>
      </w:pPr>
    </w:p>
    <w:bookmarkStart w:id="81" w:name="page82"/>
    <w:bookmarkEnd w:id="81"/>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Selling and marketing expenses increased by $22.2 million, or 20%, to $134.9 million for the year ended December 31, 2022, from $112.7 million for the year ended December 31, 2021. The increase was primarily attributable to the inclusion of Legacy GeneDx’s selling and marketing expenses of $34.2 million from the time of the Acquisition and intangible asset amortization of $3.3 million, partially offset by a $15.3 million decrease in Legacy Sema4 selling and marketing expenses. The decrease in Legacy Sema4 selling and marketing expenses was primarily driven by a decrease in stock based compensation of $22.3 million, which was offset by an increase in restructuring expenses of $7.9 million due to restructuring activities in 2022.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274" w:lineRule="exact"/>
        <w:rPr>
          <w:sz w:val="20"/>
          <w:szCs w:val="20"/>
          <w:color w:val="auto"/>
        </w:rPr>
      </w:pPr>
    </w:p>
    <w:tbl>
      <w:tblPr>
        <w:tblLayout w:type="fixed"/>
        <w:tblInd w:w="1500" w:type="dxa"/>
        <w:tblCellMar>
          <w:top w:w="0" w:type="dxa"/>
          <w:left w:w="0" w:type="dxa"/>
          <w:bottom w:w="0" w:type="dxa"/>
          <w:right w:w="0" w:type="dxa"/>
        </w:tblCellMar>
      </w:tblPr>
      <w:tr>
        <w:trPr>
          <w:trHeight w:val="217"/>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gridSpan w:val="3"/>
          </w:tcPr>
          <w:p>
            <w:pPr>
              <w:jc w:val="center"/>
              <w:ind w:left="5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Borders>
              <w:bottom w:val="single" w:sz="8" w:color="auto"/>
            </w:tcBorders>
          </w:tcPr>
          <w:p>
            <w:pPr>
              <w:spacing w:after="0"/>
              <w:rPr>
                <w:sz w:val="18"/>
                <w:szCs w:val="18"/>
                <w:color w:val="auto"/>
              </w:rPr>
            </w:pPr>
          </w:p>
        </w:tc>
      </w:tr>
      <w:tr>
        <w:trPr>
          <w:trHeight w:val="220"/>
        </w:trPr>
        <w:tc>
          <w:tcPr>
            <w:tcW w:w="2640" w:type="dxa"/>
            <w:vAlign w:val="bottom"/>
          </w:tcPr>
          <w:p>
            <w:pPr>
              <w:spacing w:after="0"/>
              <w:rPr>
                <w:sz w:val="19"/>
                <w:szCs w:val="19"/>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2021 to 2022</w:t>
            </w:r>
          </w:p>
        </w:tc>
      </w:tr>
      <w:tr>
        <w:trPr>
          <w:trHeight w:val="220"/>
        </w:trPr>
        <w:tc>
          <w:tcPr>
            <w:tcW w:w="2640" w:type="dxa"/>
            <w:vAlign w:val="bottom"/>
          </w:tcPr>
          <w:p>
            <w:pPr>
              <w:spacing w:after="0"/>
              <w:rPr>
                <w:sz w:val="19"/>
                <w:szCs w:val="19"/>
                <w:color w:val="auto"/>
              </w:rPr>
            </w:pPr>
          </w:p>
        </w:tc>
        <w:tc>
          <w:tcPr>
            <w:tcW w:w="9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0" w:type="dxa"/>
            <w:vAlign w:val="bottom"/>
          </w:tcPr>
          <w:p>
            <w:pPr>
              <w:spacing w:after="0"/>
              <w:rPr>
                <w:sz w:val="18"/>
                <w:szCs w:val="18"/>
                <w:color w:val="auto"/>
              </w:rPr>
            </w:pPr>
          </w:p>
        </w:tc>
      </w:tr>
      <w:tr>
        <w:trPr>
          <w:trHeight w:val="288"/>
        </w:trPr>
        <w:tc>
          <w:tcPr>
            <w:tcW w:w="3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 xml:space="preserve">General and administrative </w:t>
            </w:r>
            <w:r>
              <w:rPr>
                <w:rFonts w:ascii="Times New Roman" w:cs="Times New Roman" w:eastAsia="Times New Roman" w:hAnsi="Times New Roman"/>
                <w:sz w:val="20"/>
                <w:szCs w:val="20"/>
                <w:color w:val="989898"/>
                <w:w w:val="99"/>
              </w:rPr>
              <w:t>........</w:t>
            </w:r>
            <w:r>
              <w:rPr>
                <w:rFonts w:ascii="Times New Roman" w:cs="Times New Roman" w:eastAsia="Times New Roman" w:hAnsi="Times New Roman"/>
                <w:sz w:val="20"/>
                <w:szCs w:val="20"/>
                <w:color w:val="auto"/>
                <w:w w:val="99"/>
              </w:rPr>
              <w:t xml:space="preserve"> $ 203,329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$ 205,988</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(2,659)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-184785</wp:posOffset>
            </wp:positionV>
            <wp:extent cx="4140200" cy="206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4140200" cy="206375"/>
                    </a:xfrm>
                    <a:prstGeom prst="rect">
                      <a:avLst/>
                    </a:prstGeom>
                    <a:noFill/>
                  </pic:spPr>
                </pic:pic>
              </a:graphicData>
            </a:graphic>
          </wp:anchor>
        </w:drawing>
      </w:r>
    </w:p>
    <w:p>
      <w:pPr>
        <w:spacing w:after="0" w:line="23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General and administrative expenses decreased by $2.7 million, or 1%, to $203.3 million for the year ended December 31, 2022, from $206.0 million for the year ended December 31, 2021. The decrease was primarily attributable to a $34.7 million decrease in Legacy Sema4 general and administrative expenses, which was partially offset by the inclusion of GeneDx general and administrative expenses of $25.9 million from the time at Acquisition and $6.1 million in intangible asset amortization. The decrease in Legacy Sema4 expenses was primarily driven by a decrease in stock-based compensation of $90.1 million which is primarily due to forfeiture of unvested equity awards upon termination of our executives. The decrease was partially offset by restructuring expenses of $7.3 million due to restructuring activities in 2022 associated to the Legacy Sema4. There was also an increase of $25.2 million in outside consulting expenses, $3.9 million increase in insurance expenses, and an $10.0 million increase in software related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Related Party Expenses</w:t>
      </w:r>
    </w:p>
    <w:p>
      <w:pPr>
        <w:spacing w:after="0" w:line="94" w:lineRule="exact"/>
        <w:rPr>
          <w:sz w:val="20"/>
          <w:szCs w:val="20"/>
          <w:color w:val="auto"/>
        </w:rPr>
      </w:pPr>
    </w:p>
    <w:tbl>
      <w:tblPr>
        <w:tblLayout w:type="fixed"/>
        <w:tblInd w:w="1500" w:type="dxa"/>
        <w:tblCellMar>
          <w:top w:w="0" w:type="dxa"/>
          <w:left w:w="0" w:type="dxa"/>
          <w:bottom w:w="0" w:type="dxa"/>
          <w:right w:w="0" w:type="dxa"/>
        </w:tblCellMar>
      </w:tblPr>
      <w:tr>
        <w:trPr>
          <w:trHeight w:val="217"/>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Borders>
              <w:bottom w:val="single" w:sz="8" w:color="auto"/>
            </w:tcBorders>
          </w:tcPr>
          <w:p>
            <w:pPr>
              <w:spacing w:after="0"/>
              <w:rPr>
                <w:sz w:val="18"/>
                <w:szCs w:val="18"/>
                <w:color w:val="auto"/>
              </w:rPr>
            </w:pPr>
          </w:p>
        </w:tc>
      </w:tr>
      <w:tr>
        <w:trPr>
          <w:trHeight w:val="220"/>
        </w:trPr>
        <w:tc>
          <w:tcPr>
            <w:tcW w:w="2640" w:type="dxa"/>
            <w:vAlign w:val="bottom"/>
          </w:tcPr>
          <w:p>
            <w:pPr>
              <w:spacing w:after="0"/>
              <w:rPr>
                <w:sz w:val="19"/>
                <w:szCs w:val="19"/>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2021 to 2022</w:t>
            </w:r>
          </w:p>
        </w:tc>
      </w:tr>
      <w:tr>
        <w:trPr>
          <w:trHeight w:val="220"/>
        </w:trPr>
        <w:tc>
          <w:tcPr>
            <w:tcW w:w="2640" w:type="dxa"/>
            <w:vAlign w:val="bottom"/>
          </w:tcPr>
          <w:p>
            <w:pPr>
              <w:spacing w:after="0"/>
              <w:rPr>
                <w:sz w:val="19"/>
                <w:szCs w:val="19"/>
                <w:color w:val="auto"/>
              </w:rPr>
            </w:pPr>
          </w:p>
        </w:tc>
        <w:tc>
          <w:tcPr>
            <w:tcW w:w="9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0" w:type="dxa"/>
            <w:vAlign w:val="bottom"/>
          </w:tcPr>
          <w:p>
            <w:pPr>
              <w:spacing w:after="0"/>
              <w:rPr>
                <w:sz w:val="18"/>
                <w:szCs w:val="18"/>
                <w:color w:val="auto"/>
              </w:rPr>
            </w:pPr>
          </w:p>
        </w:tc>
      </w:tr>
      <w:tr>
        <w:trPr>
          <w:trHeight w:val="288"/>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Related party expenses</w:t>
            </w:r>
            <w:r>
              <w:rPr>
                <w:rFonts w:ascii="Times New Roman" w:cs="Times New Roman" w:eastAsia="Times New Roman" w:hAnsi="Times New Roman"/>
                <w:sz w:val="20"/>
                <w:szCs w:val="20"/>
                <w:color w:val="989898"/>
              </w:rPr>
              <w:t>...............</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6,312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5,659</w:t>
            </w:r>
          </w:p>
        </w:tc>
        <w:tc>
          <w:tcPr>
            <w:tcW w:w="60" w:type="dxa"/>
            <w:vAlign w:val="bottom"/>
          </w:tcPr>
          <w:p>
            <w:pPr>
              <w:spacing w:after="0"/>
              <w:rPr>
                <w:sz w:val="24"/>
                <w:szCs w:val="24"/>
                <w:color w:val="auto"/>
              </w:rPr>
            </w:pP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653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-184785</wp:posOffset>
            </wp:positionV>
            <wp:extent cx="4140200" cy="206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4140200" cy="206375"/>
                    </a:xfrm>
                    <a:prstGeom prst="rect">
                      <a:avLst/>
                    </a:prstGeom>
                    <a:noFill/>
                  </pic:spPr>
                </pic:pic>
              </a:graphicData>
            </a:graphic>
          </wp:anchor>
        </w:drawing>
      </w:r>
    </w:p>
    <w:p>
      <w:pPr>
        <w:spacing w:after="0" w:line="231"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Related party expenses increased by $0.7 million, or 12%, to $6.3 million for the year ended December 31, 2022, from $5.7 million for the year ended December 31, 2021. The increase was primarily attributable to fees related to supporting certain services pursuant to the TSA with OPKO as a result of the Acquisition of Legacy GeneDx and an increase in information technology related services provided by ISMMS.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74" w:lineRule="exact"/>
        <w:rPr>
          <w:sz w:val="20"/>
          <w:szCs w:val="20"/>
          <w:color w:val="auto"/>
        </w:rPr>
      </w:pPr>
    </w:p>
    <w:tbl>
      <w:tblPr>
        <w:tblLayout w:type="fixed"/>
        <w:tblInd w:w="1500" w:type="dxa"/>
        <w:tblCellMar>
          <w:top w:w="0" w:type="dxa"/>
          <w:left w:w="0" w:type="dxa"/>
          <w:bottom w:w="0" w:type="dxa"/>
          <w:right w:w="0" w:type="dxa"/>
        </w:tblCellMar>
      </w:tblPr>
      <w:tr>
        <w:trPr>
          <w:trHeight w:val="217"/>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Borders>
              <w:bottom w:val="single" w:sz="8" w:color="auto"/>
            </w:tcBorders>
          </w:tcPr>
          <w:p>
            <w:pPr>
              <w:spacing w:after="0"/>
              <w:rPr>
                <w:sz w:val="18"/>
                <w:szCs w:val="18"/>
                <w:color w:val="auto"/>
              </w:rPr>
            </w:pPr>
          </w:p>
        </w:tc>
      </w:tr>
      <w:tr>
        <w:trPr>
          <w:trHeight w:val="220"/>
        </w:trPr>
        <w:tc>
          <w:tcPr>
            <w:tcW w:w="2640" w:type="dxa"/>
            <w:vAlign w:val="bottom"/>
          </w:tcPr>
          <w:p>
            <w:pPr>
              <w:spacing w:after="0"/>
              <w:rPr>
                <w:sz w:val="19"/>
                <w:szCs w:val="19"/>
                <w:color w:val="auto"/>
              </w:rPr>
            </w:pPr>
          </w:p>
        </w:tc>
        <w:tc>
          <w:tcPr>
            <w:tcW w:w="19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rPr>
              <w:t>2021 to 2022</w:t>
            </w:r>
          </w:p>
        </w:tc>
      </w:tr>
      <w:tr>
        <w:trPr>
          <w:trHeight w:val="220"/>
        </w:trPr>
        <w:tc>
          <w:tcPr>
            <w:tcW w:w="2640" w:type="dxa"/>
            <w:vAlign w:val="bottom"/>
          </w:tcPr>
          <w:p>
            <w:pPr>
              <w:spacing w:after="0"/>
              <w:rPr>
                <w:sz w:val="19"/>
                <w:szCs w:val="19"/>
                <w:color w:val="auto"/>
              </w:rPr>
            </w:pPr>
          </w:p>
        </w:tc>
        <w:tc>
          <w:tcPr>
            <w:tcW w:w="9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60" w:type="dxa"/>
            <w:vAlign w:val="bottom"/>
          </w:tcPr>
          <w:p>
            <w:pPr>
              <w:spacing w:after="0"/>
              <w:rPr>
                <w:sz w:val="18"/>
                <w:szCs w:val="18"/>
                <w:color w:val="auto"/>
              </w:rPr>
            </w:pPr>
          </w:p>
        </w:tc>
      </w:tr>
      <w:tr>
        <w:trPr>
          <w:trHeight w:val="288"/>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Interest income </w:t>
            </w:r>
            <w:r>
              <w:rPr>
                <w:rFonts w:ascii="Times New Roman" w:cs="Times New Roman" w:eastAsia="Times New Roman" w:hAnsi="Times New Roman"/>
                <w:sz w:val="20"/>
                <w:szCs w:val="20"/>
                <w:color w:val="989898"/>
                <w:w w:val="99"/>
              </w:rPr>
              <w:t>...........................</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2,541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-184785</wp:posOffset>
            </wp:positionV>
            <wp:extent cx="4140200" cy="206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4140200" cy="206375"/>
                    </a:xfrm>
                    <a:prstGeom prst="rect">
                      <a:avLst/>
                    </a:prstGeom>
                    <a:noFill/>
                  </pic:spPr>
                </pic:pic>
              </a:graphicData>
            </a:graphic>
          </wp:anchor>
        </w:drawing>
      </w:r>
    </w:p>
    <w:p>
      <w:pPr>
        <w:spacing w:after="0" w:line="231"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auto"/>
        </w:rPr>
        <w:t>Interest income for the year ended December 31, 2022 was due to increases in the average cash balances held in our interest-bearing and money market deposit accounts and increases in interest rates.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360"/>
          </w:cols>
          <w:pgMar w:left="1440" w:top="1378" w:right="144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74" w:lineRule="exact"/>
        <w:rPr>
          <w:sz w:val="20"/>
          <w:szCs w:val="20"/>
          <w:color w:val="auto"/>
        </w:rPr>
      </w:pPr>
    </w:p>
    <w:tbl>
      <w:tblPr>
        <w:tblLayout w:type="fixed"/>
        <w:tblInd w:w="1500" w:type="dxa"/>
        <w:tblCellMar>
          <w:top w:w="0" w:type="dxa"/>
          <w:left w:w="0" w:type="dxa"/>
          <w:bottom w:w="0" w:type="dxa"/>
          <w:right w:w="0" w:type="dxa"/>
        </w:tblCellMar>
      </w:tblPr>
      <w:tr>
        <w:trPr>
          <w:trHeight w:val="217"/>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Borders>
              <w:bottom w:val="single" w:sz="8" w:color="auto"/>
            </w:tcBorders>
          </w:tcPr>
          <w:p>
            <w:pPr>
              <w:spacing w:after="0"/>
              <w:rPr>
                <w:sz w:val="18"/>
                <w:szCs w:val="18"/>
                <w:color w:val="auto"/>
              </w:rPr>
            </w:pPr>
          </w:p>
        </w:tc>
      </w:tr>
      <w:tr>
        <w:trPr>
          <w:trHeight w:val="220"/>
        </w:trPr>
        <w:tc>
          <w:tcPr>
            <w:tcW w:w="2640" w:type="dxa"/>
            <w:vAlign w:val="bottom"/>
          </w:tcPr>
          <w:p>
            <w:pPr>
              <w:spacing w:after="0"/>
              <w:rPr>
                <w:sz w:val="19"/>
                <w:szCs w:val="19"/>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2021 to 2022</w:t>
            </w:r>
          </w:p>
        </w:tc>
      </w:tr>
      <w:tr>
        <w:trPr>
          <w:trHeight w:val="220"/>
        </w:trPr>
        <w:tc>
          <w:tcPr>
            <w:tcW w:w="2640" w:type="dxa"/>
            <w:vAlign w:val="bottom"/>
          </w:tcPr>
          <w:p>
            <w:pPr>
              <w:spacing w:after="0"/>
              <w:rPr>
                <w:sz w:val="19"/>
                <w:szCs w:val="19"/>
                <w:color w:val="auto"/>
              </w:rPr>
            </w:pPr>
          </w:p>
        </w:tc>
        <w:tc>
          <w:tcPr>
            <w:tcW w:w="9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0" w:type="dxa"/>
            <w:vAlign w:val="bottom"/>
          </w:tcPr>
          <w:p>
            <w:pPr>
              <w:spacing w:after="0"/>
              <w:rPr>
                <w:sz w:val="18"/>
                <w:szCs w:val="18"/>
                <w:color w:val="auto"/>
              </w:rPr>
            </w:pPr>
          </w:p>
        </w:tc>
      </w:tr>
      <w:tr>
        <w:trPr>
          <w:trHeight w:val="288"/>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r>
              <w:rPr>
                <w:rFonts w:ascii="Times New Roman" w:cs="Times New Roman" w:eastAsia="Times New Roman" w:hAnsi="Times New Roman"/>
                <w:sz w:val="20"/>
                <w:szCs w:val="20"/>
                <w:color w:val="989898"/>
              </w:rPr>
              <w:t>..........................</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3,207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2,835</w:t>
            </w:r>
          </w:p>
        </w:tc>
        <w:tc>
          <w:tcPr>
            <w:tcW w:w="60" w:type="dxa"/>
            <w:vAlign w:val="bottom"/>
          </w:tcPr>
          <w:p>
            <w:pPr>
              <w:spacing w:after="0"/>
              <w:rPr>
                <w:sz w:val="24"/>
                <w:szCs w:val="24"/>
                <w:color w:val="auto"/>
              </w:rPr>
            </w:pP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372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-184785</wp:posOffset>
            </wp:positionV>
            <wp:extent cx="4140200" cy="206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4140200" cy="206375"/>
                    </a:xfrm>
                    <a:prstGeom prst="rect">
                      <a:avLst/>
                    </a:prstGeom>
                    <a:noFill/>
                  </pic:spPr>
                </pic:pic>
              </a:graphicData>
            </a:graphic>
          </wp:anchor>
        </w:drawing>
      </w:r>
    </w:p>
    <w:p>
      <w:pPr>
        <w:spacing w:after="0" w:line="231"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Interest expense increased by $0.4 million, or 13%, to $3.2 million for the year ended December 31, 2022, from $2.8 million for the year ended December 31, 2021. The increase was driven by the unused line fee and amortization of deferred transaction costs related to the loan and security agreement originally entered into with Silicon Valley Bank at the end of 2021.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259" w:lineRule="exact"/>
        <w:rPr>
          <w:sz w:val="20"/>
          <w:szCs w:val="20"/>
          <w:color w:val="auto"/>
        </w:rPr>
      </w:pPr>
    </w:p>
    <w:tbl>
      <w:tblPr>
        <w:tblLayout w:type="fixed"/>
        <w:tblInd w:w="1500" w:type="dxa"/>
        <w:tblCellMar>
          <w:top w:w="0" w:type="dxa"/>
          <w:left w:w="0" w:type="dxa"/>
          <w:bottom w:w="0" w:type="dxa"/>
          <w:right w:w="0" w:type="dxa"/>
        </w:tblCellMar>
      </w:tblPr>
      <w:tr>
        <w:trPr>
          <w:trHeight w:val="211"/>
        </w:trPr>
        <w:tc>
          <w:tcPr>
            <w:tcW w:w="2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center"/>
              <w:ind w:left="51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19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640" w:type="dxa"/>
            <w:vAlign w:val="bottom"/>
          </w:tcPr>
          <w:p>
            <w:pPr>
              <w:spacing w:after="0"/>
              <w:rPr>
                <w:sz w:val="19"/>
                <w:szCs w:val="19"/>
                <w:color w:val="auto"/>
              </w:rPr>
            </w:pPr>
          </w:p>
        </w:tc>
        <w:tc>
          <w:tcPr>
            <w:tcW w:w="1920" w:type="dxa"/>
            <w:vAlign w:val="bottom"/>
            <w:tcBorders>
              <w:bottom w:val="single" w:sz="8" w:color="auto"/>
            </w:tcBorders>
            <w:gridSpan w:val="5"/>
            <w:vMerge w:val="continue"/>
          </w:tcPr>
          <w:p>
            <w:pPr>
              <w:spacing w:after="0"/>
              <w:rPr>
                <w:sz w:val="19"/>
                <w:szCs w:val="19"/>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2021 to 2022</w:t>
            </w:r>
          </w:p>
        </w:tc>
        <w:tc>
          <w:tcPr>
            <w:tcW w:w="0" w:type="dxa"/>
            <w:vAlign w:val="bottom"/>
          </w:tcPr>
          <w:p>
            <w:pPr>
              <w:spacing w:after="0"/>
              <w:rPr>
                <w:sz w:val="1"/>
                <w:szCs w:val="1"/>
                <w:color w:val="auto"/>
              </w:rPr>
            </w:pPr>
          </w:p>
        </w:tc>
      </w:tr>
      <w:tr>
        <w:trPr>
          <w:trHeight w:val="220"/>
        </w:trPr>
        <w:tc>
          <w:tcPr>
            <w:tcW w:w="2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1"/>
        </w:trPr>
        <w:tc>
          <w:tcPr>
            <w:tcW w:w="26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(dollars in</w:t>
            </w:r>
          </w:p>
        </w:tc>
        <w:tc>
          <w:tcPr>
            <w:tcW w:w="60" w:type="dxa"/>
            <w:vAlign w:val="bottom"/>
          </w:tcPr>
          <w:p>
            <w:pPr>
              <w:spacing w:after="0"/>
              <w:rPr>
                <w:sz w:val="18"/>
                <w:szCs w:val="18"/>
                <w:color w:val="auto"/>
              </w:rPr>
            </w:pP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Other income, net </w:t>
            </w:r>
            <w:r>
              <w:rPr>
                <w:rFonts w:ascii="Times New Roman" w:cs="Times New Roman" w:eastAsia="Times New Roman" w:hAnsi="Times New Roman"/>
                <w:sz w:val="20"/>
                <w:szCs w:val="20"/>
                <w:color w:val="989898"/>
                <w:w w:val="99"/>
              </w:rPr>
              <w:t>.......................</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57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5,114</w:t>
            </w:r>
          </w:p>
        </w:tc>
        <w:tc>
          <w:tcPr>
            <w:tcW w:w="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(5,057)</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-171450</wp:posOffset>
            </wp:positionV>
            <wp:extent cx="4140200" cy="206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4140200" cy="206375"/>
                    </a:xfrm>
                    <a:prstGeom prst="rect">
                      <a:avLst/>
                    </a:prstGeom>
                    <a:noFill/>
                  </pic:spPr>
                </pic:pic>
              </a:graphicData>
            </a:graphic>
          </wp:anchor>
        </w:drawing>
      </w:r>
    </w:p>
    <w:p>
      <w:pPr>
        <w:spacing w:after="0" w:line="232"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20"/>
          <w:szCs w:val="20"/>
          <w:color w:val="auto"/>
        </w:rPr>
        <w:t>Other income, net increased by $5.1 million or 99% to less than $0.1 million for the year ended December 31, 2022, from $5.1 million for the year ended December 31, 2021. The decrease in other income, net was primarily attributable to the $5.6 million in funding that we received and recognized as other income under the CARES Act in the first quarter of 2021, partially offset by $0.3 million in penalties related to an early repayment of debt.</w:t>
      </w:r>
    </w:p>
    <w:p>
      <w:pPr>
        <w:sectPr>
          <w:pgSz w:w="12240" w:h="15840" w:orient="portrait"/>
          <w:cols w:equalWidth="0" w:num="1">
            <w:col w:w="9360"/>
          </w:cols>
          <w:pgMar w:left="1440" w:top="1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360"/>
          </w:cols>
          <w:pgMar w:left="1440" w:top="1369" w:right="144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auto"/>
        </w:rPr>
        <w:t>Comparison of the Years Ended December 31, 2021 and 2020</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sets forth our results of operations for the periods presented: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5"/>
        </w:trPr>
        <w:tc>
          <w:tcPr>
            <w:tcW w:w="39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59"/>
        </w:trPr>
        <w:tc>
          <w:tcPr>
            <w:tcW w:w="3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gridSpan w:val="4"/>
          </w:tcPr>
          <w:p>
            <w:pPr>
              <w:jc w:val="center"/>
              <w:ind w:left="355"/>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880" w:type="dxa"/>
            <w:vAlign w:val="bottom"/>
          </w:tcPr>
          <w:p>
            <w:pPr>
              <w:spacing w:after="0"/>
              <w:rPr>
                <w:sz w:val="22"/>
                <w:szCs w:val="22"/>
                <w:color w:val="auto"/>
              </w:rPr>
            </w:pPr>
          </w:p>
        </w:tc>
      </w:tr>
      <w:tr>
        <w:trPr>
          <w:trHeight w:val="288"/>
        </w:trPr>
        <w:tc>
          <w:tcPr>
            <w:tcW w:w="3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Revenue</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5"/>
        </w:trPr>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 xml:space="preserve">Diagnostic test revenue </w:t>
            </w:r>
            <w:r>
              <w:rPr>
                <w:rFonts w:ascii="Times New Roman" w:cs="Times New Roman" w:eastAsia="Times New Roman" w:hAnsi="Times New Roman"/>
                <w:sz w:val="20"/>
                <w:szCs w:val="20"/>
                <w:color w:val="989898"/>
                <w:w w:val="79"/>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205,100</w:t>
            </w:r>
          </w:p>
        </w:tc>
        <w:tc>
          <w:tcPr>
            <w:tcW w:w="40" w:type="dxa"/>
            <w:vAlign w:val="bottom"/>
          </w:tcPr>
          <w:p>
            <w:pPr>
              <w:spacing w:after="0"/>
              <w:rPr>
                <w:sz w:val="24"/>
                <w:szCs w:val="24"/>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175,351</w:t>
            </w:r>
          </w:p>
        </w:tc>
      </w:tr>
      <w:tr>
        <w:trPr>
          <w:trHeight w:val="288"/>
        </w:trPr>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 xml:space="preserve">Other revenue </w:t>
            </w:r>
            <w:r>
              <w:rPr>
                <w:rFonts w:ascii="Times New Roman" w:cs="Times New Roman" w:eastAsia="Times New Roman" w:hAnsi="Times New Roman"/>
                <w:sz w:val="20"/>
                <w:szCs w:val="20"/>
                <w:color w:val="989898"/>
                <w:w w:val="79"/>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7,095</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3,971</w:t>
            </w:r>
          </w:p>
        </w:tc>
      </w:tr>
      <w:tr>
        <w:trPr>
          <w:trHeight w:val="265"/>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 xml:space="preserve">Total revenue </w:t>
            </w:r>
            <w:r>
              <w:rPr>
                <w:rFonts w:ascii="Times New Roman" w:cs="Times New Roman" w:eastAsia="Times New Roman" w:hAnsi="Times New Roman"/>
                <w:sz w:val="20"/>
                <w:szCs w:val="20"/>
                <w:color w:val="989898"/>
                <w:w w:val="83"/>
              </w:rPr>
              <w:t>............................................................................................</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212,195</w:t>
            </w:r>
          </w:p>
        </w:tc>
        <w:tc>
          <w:tcPr>
            <w:tcW w:w="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179,322</w:t>
            </w:r>
          </w:p>
        </w:tc>
      </w:tr>
      <w:tr>
        <w:trPr>
          <w:trHeight w:val="265"/>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8"/>
              </w:rPr>
              <w:t>Cost of services</w:t>
            </w:r>
            <w:r>
              <w:rPr>
                <w:rFonts w:ascii="Times New Roman" w:cs="Times New Roman" w:eastAsia="Times New Roman" w:hAnsi="Times New Roman"/>
                <w:sz w:val="20"/>
                <w:szCs w:val="20"/>
                <w:color w:val="989898"/>
                <w:w w:val="78"/>
              </w:rPr>
              <w:t>..................................................................................................</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228,797</w:t>
            </w:r>
          </w:p>
        </w:tc>
        <w:tc>
          <w:tcPr>
            <w:tcW w:w="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175,296</w:t>
            </w:r>
          </w:p>
        </w:tc>
      </w:tr>
      <w:tr>
        <w:trPr>
          <w:trHeight w:val="265"/>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 xml:space="preserve">Gross (loss) profit </w:t>
            </w:r>
            <w:r>
              <w:rPr>
                <w:rFonts w:ascii="Times New Roman" w:cs="Times New Roman" w:eastAsia="Times New Roman" w:hAnsi="Times New Roman"/>
                <w:sz w:val="20"/>
                <w:szCs w:val="20"/>
                <w:color w:val="989898"/>
                <w:w w:val="83"/>
              </w:rPr>
              <w:t>.....................................................................................</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(16,602)</w:t>
            </w: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4,026</w:t>
            </w:r>
          </w:p>
        </w:tc>
      </w:tr>
      <w:tr>
        <w:trPr>
          <w:trHeight w:val="262"/>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7"/>
              </w:rPr>
              <w:t xml:space="preserve">Research and development </w:t>
            </w:r>
            <w:r>
              <w:rPr>
                <w:rFonts w:ascii="Times New Roman" w:cs="Times New Roman" w:eastAsia="Times New Roman" w:hAnsi="Times New Roman"/>
                <w:sz w:val="20"/>
                <w:szCs w:val="20"/>
                <w:color w:val="989898"/>
                <w:w w:val="77"/>
              </w:rPr>
              <w:t>................................................................................</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105,162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72,700</w:t>
            </w:r>
          </w:p>
        </w:tc>
      </w:tr>
      <w:tr>
        <w:trPr>
          <w:trHeight w:val="285"/>
        </w:trPr>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7"/>
              </w:rPr>
              <w:t xml:space="preserve">Selling and marketing </w:t>
            </w:r>
            <w:r>
              <w:rPr>
                <w:rFonts w:ascii="Times New Roman" w:cs="Times New Roman" w:eastAsia="Times New Roman" w:hAnsi="Times New Roman"/>
                <w:sz w:val="20"/>
                <w:szCs w:val="20"/>
                <w:color w:val="989898"/>
                <w:w w:val="77"/>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112,738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63,183</w:t>
            </w:r>
          </w:p>
        </w:tc>
      </w:tr>
      <w:tr>
        <w:trPr>
          <w:trHeight w:val="285"/>
        </w:trPr>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7"/>
              </w:rPr>
              <w:t xml:space="preserve">General and administrative </w:t>
            </w:r>
            <w:r>
              <w:rPr>
                <w:rFonts w:ascii="Times New Roman" w:cs="Times New Roman" w:eastAsia="Times New Roman" w:hAnsi="Times New Roman"/>
                <w:sz w:val="20"/>
                <w:szCs w:val="20"/>
                <w:color w:val="989898"/>
                <w:w w:val="77"/>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205,988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100,742</w:t>
            </w:r>
          </w:p>
        </w:tc>
      </w:tr>
      <w:tr>
        <w:trPr>
          <w:trHeight w:val="288"/>
        </w:trPr>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7"/>
              </w:rPr>
              <w:t xml:space="preserve">Related party expenses </w:t>
            </w:r>
            <w:r>
              <w:rPr>
                <w:rFonts w:ascii="Times New Roman" w:cs="Times New Roman" w:eastAsia="Times New Roman" w:hAnsi="Times New Roman"/>
                <w:sz w:val="20"/>
                <w:szCs w:val="20"/>
                <w:color w:val="989898"/>
                <w:w w:val="77"/>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5,659</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9,395</w:t>
            </w:r>
          </w:p>
        </w:tc>
      </w:tr>
      <w:tr>
        <w:trPr>
          <w:trHeight w:val="265"/>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 xml:space="preserve">Loss from operations </w:t>
            </w:r>
            <w:r>
              <w:rPr>
                <w:rFonts w:ascii="Times New Roman" w:cs="Times New Roman" w:eastAsia="Times New Roman" w:hAnsi="Times New Roman"/>
                <w:sz w:val="20"/>
                <w:szCs w:val="20"/>
                <w:color w:val="989898"/>
                <w:w w:val="83"/>
              </w:rPr>
              <w:t>................................................................................</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(446,149)</w:t>
            </w: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(241,994)</w:t>
            </w:r>
          </w:p>
        </w:tc>
      </w:tr>
      <w:tr>
        <w:trPr>
          <w:trHeight w:val="262"/>
        </w:trPr>
        <w:tc>
          <w:tcPr>
            <w:tcW w:w="3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income (expense):</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5"/>
        </w:trPr>
        <w:tc>
          <w:tcPr>
            <w:tcW w:w="6800" w:type="dxa"/>
            <w:vAlign w:val="bottom"/>
            <w:gridSpan w:val="8"/>
          </w:tcPr>
          <w:p>
            <w:pPr>
              <w:ind w:left="360"/>
              <w:spacing w:after="0"/>
              <w:rPr>
                <w:sz w:val="20"/>
                <w:szCs w:val="20"/>
                <w:color w:val="auto"/>
              </w:rPr>
            </w:pPr>
            <w:r>
              <w:rPr>
                <w:rFonts w:ascii="Times New Roman" w:cs="Times New Roman" w:eastAsia="Times New Roman" w:hAnsi="Times New Roman"/>
                <w:sz w:val="20"/>
                <w:szCs w:val="20"/>
                <w:color w:val="auto"/>
              </w:rPr>
              <w:t xml:space="preserve">Change in fair market value of warrant and earn-out contingent liabilities </w:t>
            </w:r>
            <w:r>
              <w:rPr>
                <w:rFonts w:ascii="Times New Roman" w:cs="Times New Roman" w:eastAsia="Times New Roman" w:hAnsi="Times New Roman"/>
                <w:sz w:val="20"/>
                <w:szCs w:val="20"/>
                <w:color w:val="98989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198,401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 xml:space="preserve">Interest income </w:t>
            </w:r>
            <w:r>
              <w:rPr>
                <w:rFonts w:ascii="Times New Roman" w:cs="Times New Roman" w:eastAsia="Times New Roman" w:hAnsi="Times New Roman"/>
                <w:sz w:val="20"/>
                <w:szCs w:val="20"/>
                <w:color w:val="989898"/>
                <w:w w:val="79"/>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w:t>
            </w:r>
          </w:p>
        </w:tc>
      </w:tr>
      <w:tr>
        <w:trPr>
          <w:trHeight w:val="285"/>
        </w:trPr>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 xml:space="preserve">Interest expense </w:t>
            </w:r>
            <w:r>
              <w:rPr>
                <w:rFonts w:ascii="Times New Roman" w:cs="Times New Roman" w:eastAsia="Times New Roman" w:hAnsi="Times New Roman"/>
                <w:sz w:val="20"/>
                <w:szCs w:val="20"/>
                <w:color w:val="989898"/>
                <w:w w:val="79"/>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(2,835)</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(2,474)</w:t>
            </w:r>
          </w:p>
        </w:tc>
      </w:tr>
      <w:tr>
        <w:trPr>
          <w:trHeight w:val="288"/>
        </w:trPr>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 xml:space="preserve">Other income, net </w:t>
            </w:r>
            <w:r>
              <w:rPr>
                <w:rFonts w:ascii="Times New Roman" w:cs="Times New Roman" w:eastAsia="Times New Roman" w:hAnsi="Times New Roman"/>
                <w:sz w:val="20"/>
                <w:szCs w:val="20"/>
                <w:color w:val="989898"/>
                <w:w w:val="79"/>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5,114</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2,622</w:t>
            </w:r>
          </w:p>
        </w:tc>
      </w:tr>
      <w:tr>
        <w:trPr>
          <w:trHeight w:val="265"/>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 xml:space="preserve">Total other income (expense), net </w:t>
            </w:r>
            <w:r>
              <w:rPr>
                <w:rFonts w:ascii="Times New Roman" w:cs="Times New Roman" w:eastAsia="Times New Roman" w:hAnsi="Times New Roman"/>
                <w:sz w:val="20"/>
                <w:szCs w:val="20"/>
                <w:color w:val="989898"/>
                <w:w w:val="83"/>
              </w:rPr>
              <w:t>............................................................</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200,759</w:t>
            </w:r>
          </w:p>
        </w:tc>
        <w:tc>
          <w:tcPr>
            <w:tcW w:w="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654</w:t>
            </w:r>
          </w:p>
        </w:tc>
      </w:tr>
      <w:tr>
        <w:trPr>
          <w:trHeight w:val="265"/>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7"/>
              </w:rPr>
              <w:t xml:space="preserve">Loss before income taxes </w:t>
            </w:r>
            <w:r>
              <w:rPr>
                <w:rFonts w:ascii="Times New Roman" w:cs="Times New Roman" w:eastAsia="Times New Roman" w:hAnsi="Times New Roman"/>
                <w:sz w:val="20"/>
                <w:szCs w:val="20"/>
                <w:color w:val="989898"/>
                <w:w w:val="77"/>
              </w:rPr>
              <w:t>..................................................................................</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(245,390)</w:t>
            </w: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(241,340)</w:t>
            </w:r>
          </w:p>
        </w:tc>
      </w:tr>
      <w:tr>
        <w:trPr>
          <w:trHeight w:val="262"/>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7"/>
              </w:rPr>
              <w:t xml:space="preserve">Net loss and comprehensive loss </w:t>
            </w:r>
            <w:r>
              <w:rPr>
                <w:rFonts w:ascii="Times New Roman" w:cs="Times New Roman" w:eastAsia="Times New Roman" w:hAnsi="Times New Roman"/>
                <w:sz w:val="20"/>
                <w:szCs w:val="20"/>
                <w:color w:val="989898"/>
                <w:w w:val="77"/>
              </w:rPr>
              <w:t>.......................................................................</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(245,390)</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(241,340)</w:t>
            </w:r>
          </w:p>
        </w:tc>
      </w:tr>
      <w:tr>
        <w:trPr>
          <w:trHeight w:val="488"/>
        </w:trPr>
        <w:tc>
          <w:tcPr>
            <w:tcW w:w="39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55"/>
        </w:trPr>
        <w:tc>
          <w:tcPr>
            <w:tcW w:w="3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3940" w:type="dxa"/>
            <w:vAlign w:val="bottom"/>
          </w:tcPr>
          <w:p>
            <w:pPr>
              <w:spacing w:after="0"/>
              <w:rPr>
                <w:sz w:val="19"/>
                <w:szCs w:val="19"/>
                <w:color w:val="auto"/>
              </w:rPr>
            </w:pPr>
          </w:p>
        </w:tc>
        <w:tc>
          <w:tcPr>
            <w:tcW w:w="192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9"/>
                <w:szCs w:val="19"/>
                <w:color w:val="auto"/>
              </w:rPr>
            </w:pPr>
          </w:p>
        </w:tc>
        <w:tc>
          <w:tcPr>
            <w:tcW w:w="172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2020 to 2021</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0"/>
        </w:trPr>
        <w:tc>
          <w:tcPr>
            <w:tcW w:w="39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4"/>
        </w:trPr>
        <w:tc>
          <w:tcPr>
            <w:tcW w:w="3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88"/>
        </w:trPr>
        <w:tc>
          <w:tcPr>
            <w:tcW w:w="3940" w:type="dxa"/>
            <w:vAlign w:val="bottom"/>
          </w:tcPr>
          <w:p>
            <w:pPr>
              <w:ind w:left="1660"/>
              <w:spacing w:after="0"/>
              <w:rPr>
                <w:sz w:val="20"/>
                <w:szCs w:val="20"/>
                <w:color w:val="auto"/>
              </w:rPr>
            </w:pPr>
            <w:r>
              <w:rPr>
                <w:rFonts w:ascii="Times New Roman" w:cs="Times New Roman" w:eastAsia="Times New Roman" w:hAnsi="Times New Roman"/>
                <w:sz w:val="20"/>
                <w:szCs w:val="20"/>
                <w:color w:val="auto"/>
              </w:rPr>
              <w:t xml:space="preserve">Diagnostic test revenue </w:t>
            </w:r>
            <w:r>
              <w:rPr>
                <w:rFonts w:ascii="Times New Roman" w:cs="Times New Roman" w:eastAsia="Times New Roman" w:hAnsi="Times New Roman"/>
                <w:sz w:val="20"/>
                <w:szCs w:val="20"/>
                <w:color w:val="989898"/>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w w:val="97"/>
              </w:rPr>
              <w:t>$ 205,100</w:t>
            </w:r>
          </w:p>
        </w:tc>
        <w:tc>
          <w:tcPr>
            <w:tcW w:w="96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$ 175,351</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29,749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8"/>
        </w:trPr>
        <w:tc>
          <w:tcPr>
            <w:tcW w:w="3940" w:type="dxa"/>
            <w:vAlign w:val="bottom"/>
          </w:tcPr>
          <w:p>
            <w:pPr>
              <w:ind w:left="1660"/>
              <w:spacing w:after="0"/>
              <w:rPr>
                <w:sz w:val="20"/>
                <w:szCs w:val="20"/>
                <w:color w:val="auto"/>
              </w:rPr>
            </w:pPr>
            <w:r>
              <w:rPr>
                <w:rFonts w:ascii="Times New Roman" w:cs="Times New Roman" w:eastAsia="Times New Roman" w:hAnsi="Times New Roman"/>
                <w:sz w:val="20"/>
                <w:szCs w:val="20"/>
                <w:color w:val="auto"/>
              </w:rPr>
              <w:t xml:space="preserve">Other revenue </w:t>
            </w:r>
            <w:r>
              <w:rPr>
                <w:rFonts w:ascii="Times New Roman" w:cs="Times New Roman" w:eastAsia="Times New Roman" w:hAnsi="Times New Roman"/>
                <w:sz w:val="20"/>
                <w:szCs w:val="20"/>
                <w:color w:val="989898"/>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7,095</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20"/>
                <w:szCs w:val="20"/>
                <w:color w:val="auto"/>
              </w:rPr>
              <w:t>3,971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3,124</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5"/>
        </w:trPr>
        <w:tc>
          <w:tcPr>
            <w:tcW w:w="3940" w:type="dxa"/>
            <w:vAlign w:val="bottom"/>
          </w:tcPr>
          <w:p>
            <w:pPr>
              <w:ind w:left="1660"/>
              <w:spacing w:after="0"/>
              <w:rPr>
                <w:sz w:val="20"/>
                <w:szCs w:val="20"/>
                <w:color w:val="auto"/>
              </w:rPr>
            </w:pPr>
            <w:r>
              <w:rPr>
                <w:rFonts w:ascii="Times New Roman" w:cs="Times New Roman" w:eastAsia="Times New Roman" w:hAnsi="Times New Roman"/>
                <w:sz w:val="20"/>
                <w:szCs w:val="20"/>
                <w:color w:val="auto"/>
              </w:rPr>
              <w:t xml:space="preserve">Total revenue </w:t>
            </w:r>
            <w:r>
              <w:rPr>
                <w:rFonts w:ascii="Times New Roman" w:cs="Times New Roman" w:eastAsia="Times New Roman" w:hAnsi="Times New Roman"/>
                <w:sz w:val="20"/>
                <w:szCs w:val="20"/>
                <w:color w:val="989898"/>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w w:val="97"/>
              </w:rPr>
              <w:t>$ 212,195</w:t>
            </w:r>
          </w:p>
        </w:tc>
        <w:tc>
          <w:tcPr>
            <w:tcW w:w="96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$ 179,322</w:t>
            </w:r>
          </w:p>
        </w:tc>
        <w:tc>
          <w:tcPr>
            <w:tcW w:w="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32,873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
        </w:trPr>
        <w:tc>
          <w:tcPr>
            <w:tcW w:w="3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-5066665</wp:posOffset>
            </wp:positionV>
            <wp:extent cx="5788025" cy="3463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5788025" cy="3463925"/>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-574040</wp:posOffset>
            </wp:positionV>
            <wp:extent cx="3930650" cy="581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3930650" cy="581025"/>
                    </a:xfrm>
                    <a:prstGeom prst="rect">
                      <a:avLst/>
                    </a:prstGeom>
                    <a:noFill/>
                  </pic:spPr>
                </pic:pic>
              </a:graphicData>
            </a:graphic>
          </wp:anchor>
        </w:drawing>
      </w:r>
    </w:p>
    <w:p>
      <w:pPr>
        <w:spacing w:after="0" w:line="188"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Total revenue increased by $32.9 million, or 18%, to $212.2 million for the year ended December 31, 2021, from $179.3 million for the year ended December 31, 2020.</w:t>
      </w:r>
    </w:p>
    <w:p>
      <w:pPr>
        <w:spacing w:after="0" w:line="14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Diagnostic test revenue increased by $29.7 million, or 17%, to $205.1 million for the year ended December 31, 2021, from $175.4 million for the year ended December 31, 2020. The increase was primarily attributable to a 135% increase in oncology test volumes, a 38% increase in women’s health test volumes and an overall increase in volumes of 31%, partially offset by the change in the mix of tests performed and reduced reimbursement rates. COVID-19 testing was introduced in May of 2020, which had a lower impact on total test volume during the year ended December 31, 2020, compared to the year ended December 31, 2021 (with COVID-19 test volumes growing 26% year over year) .</w:t>
      </w:r>
    </w:p>
    <w:p>
      <w:pPr>
        <w:spacing w:after="0" w:line="170"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Other revenue increased by $3.1 million, or 79%, to $7.1 million for the year ended December 31, 2021, from $4.0 million for the year ended December 31, 2020. The increase was primarily attributable to growth in</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360"/>
          </w:cols>
          <w:pgMar w:left="1440" w:top="1371" w:right="1440" w:bottom="0" w:gutter="0" w:footer="0" w:header="0"/>
          <w:type w:val="continuous"/>
        </w:sectPr>
      </w:pPr>
    </w:p>
    <w:bookmarkStart w:id="84" w:name="page85"/>
    <w:bookmarkEnd w:id="84"/>
    <w:p>
      <w:pPr>
        <w:jc w:val="both"/>
        <w:spacing w:after="0" w:line="266" w:lineRule="auto"/>
        <w:rPr>
          <w:sz w:val="20"/>
          <w:szCs w:val="20"/>
          <w:color w:val="auto"/>
        </w:rPr>
      </w:pPr>
      <w:r>
        <w:rPr>
          <w:rFonts w:ascii="Times New Roman" w:cs="Times New Roman" w:eastAsia="Times New Roman" w:hAnsi="Times New Roman"/>
          <w:sz w:val="20"/>
          <w:szCs w:val="20"/>
          <w:color w:val="auto"/>
        </w:rPr>
        <w:t>collaboration service activities due to the execution of third-party contracts which generated $3.7 million more in revenues in 2021 compared to 2020. This was partially offset by reduced revenues recognized related to an existing third-party contract by $0.8 million.</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Services</w:t>
      </w:r>
    </w:p>
    <w:p>
      <w:pPr>
        <w:spacing w:after="0" w:line="259" w:lineRule="exact"/>
        <w:rPr>
          <w:sz w:val="20"/>
          <w:szCs w:val="20"/>
          <w:color w:val="auto"/>
        </w:rPr>
      </w:pPr>
    </w:p>
    <w:tbl>
      <w:tblPr>
        <w:tblLayout w:type="fixed"/>
        <w:tblInd w:w="1560" w:type="dxa"/>
        <w:tblCellMar>
          <w:top w:w="0" w:type="dxa"/>
          <w:left w:w="0" w:type="dxa"/>
          <w:bottom w:w="0" w:type="dxa"/>
          <w:right w:w="0" w:type="dxa"/>
        </w:tblCellMar>
      </w:tblPr>
      <w:tr>
        <w:trPr>
          <w:trHeight w:val="211"/>
        </w:trPr>
        <w:tc>
          <w:tcPr>
            <w:tcW w:w="2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center"/>
              <w:ind w:left="215"/>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19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440" w:type="dxa"/>
            <w:vAlign w:val="bottom"/>
          </w:tcPr>
          <w:p>
            <w:pPr>
              <w:spacing w:after="0"/>
              <w:rPr>
                <w:sz w:val="19"/>
                <w:szCs w:val="19"/>
                <w:color w:val="auto"/>
              </w:rPr>
            </w:pPr>
          </w:p>
        </w:tc>
        <w:tc>
          <w:tcPr>
            <w:tcW w:w="1920" w:type="dxa"/>
            <w:vAlign w:val="bottom"/>
            <w:tcBorders>
              <w:bottom w:val="single" w:sz="8" w:color="auto"/>
            </w:tcBorders>
            <w:gridSpan w:val="4"/>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center"/>
              <w:ind w:left="215"/>
              <w:spacing w:after="0"/>
              <w:rPr>
                <w:sz w:val="20"/>
                <w:szCs w:val="20"/>
                <w:color w:val="auto"/>
              </w:rPr>
            </w:pPr>
            <w:r>
              <w:rPr>
                <w:rFonts w:ascii="Times New Roman" w:cs="Times New Roman" w:eastAsia="Times New Roman" w:hAnsi="Times New Roman"/>
                <w:sz w:val="16"/>
                <w:szCs w:val="16"/>
                <w:b w:val="1"/>
                <w:bCs w:val="1"/>
                <w:color w:val="auto"/>
                <w:w w:val="98"/>
              </w:rPr>
              <w:t>2020 to 2021</w:t>
            </w: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40" w:type="dxa"/>
            <w:vAlign w:val="bottom"/>
          </w:tcPr>
          <w:p>
            <w:pPr>
              <w:spacing w:after="0"/>
              <w:rPr>
                <w:sz w:val="19"/>
                <w:szCs w:val="19"/>
                <w:color w:val="auto"/>
              </w:rPr>
            </w:pP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11"/>
        </w:trPr>
        <w:tc>
          <w:tcPr>
            <w:tcW w:w="24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w w:val="94"/>
              </w:rPr>
              <w:t>(dollars in</w:t>
            </w:r>
          </w:p>
        </w:tc>
        <w:tc>
          <w:tcPr>
            <w:tcW w:w="60" w:type="dxa"/>
            <w:vAlign w:val="bottom"/>
          </w:tcPr>
          <w:p>
            <w:pPr>
              <w:spacing w:after="0"/>
              <w:rPr>
                <w:sz w:val="18"/>
                <w:szCs w:val="18"/>
                <w:color w:val="auto"/>
              </w:rPr>
            </w:pPr>
          </w:p>
        </w:tc>
        <w:tc>
          <w:tcPr>
            <w:tcW w:w="960" w:type="dxa"/>
            <w:vAlign w:val="bottom"/>
            <w:tcBorders>
              <w:top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w w:val="96"/>
              </w:rPr>
              <w:t>thousands)</w:t>
            </w: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Cost of services </w:t>
            </w:r>
            <w:r>
              <w:rPr>
                <w:rFonts w:ascii="Times New Roman" w:cs="Times New Roman" w:eastAsia="Times New Roman" w:hAnsi="Times New Roman"/>
                <w:sz w:val="20"/>
                <w:szCs w:val="20"/>
                <w:color w:val="989898"/>
              </w:rPr>
              <w:t>.....................</w:t>
            </w:r>
          </w:p>
        </w:tc>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$ 228,797</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$ 175,296</w:t>
            </w:r>
          </w:p>
        </w:tc>
        <w:tc>
          <w:tcPr>
            <w:tcW w:w="6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53,501</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-171450</wp:posOffset>
            </wp:positionV>
            <wp:extent cx="4044950" cy="206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extLst>
                    </a:blip>
                    <a:srcRect/>
                    <a:stretch>
                      <a:fillRect/>
                    </a:stretch>
                  </pic:blipFill>
                  <pic:spPr bwMode="auto">
                    <a:xfrm>
                      <a:off x="0" y="0"/>
                      <a:ext cx="4044950" cy="206375"/>
                    </a:xfrm>
                    <a:prstGeom prst="rect">
                      <a:avLst/>
                    </a:prstGeom>
                    <a:noFill/>
                  </pic:spPr>
                </pic:pic>
              </a:graphicData>
            </a:graphic>
          </wp:anchor>
        </w:drawing>
      </w:r>
    </w:p>
    <w:p>
      <w:pPr>
        <w:spacing w:after="0" w:line="252"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Cost of services increased by $53.5 million, or 31%, to $228.8 million for the year ended December 31, 2021, from $175.3 million for the year ended December 31, 2020. The increase was primarily driven by the following cost components: a $9.7 million increase in stock-based compensation expense primarily driven by the increase in fair value of the liability-classified awards until the Closing Date and an increase in the number of stock-based compensation awards granted; a $7.9 million increase in personnel-related expenses driven by an increase in average headcount; a $8.2 million increase in consulting and outside service costs driven by temporary hires contracted to perform COVID-19 testing activities; a $5.0 million increase in logistical expenses and other lab services as a result of an increase in operations; a $9.6 million increase in reagents and laboratory supplies expense due primarily to the 32% increase in volumes; a $2.4 million increase in software expenses due to increased cloud storage and expanded computing capacity requirements from New York City to Stamford, Connecticut for testing data; a $2.1 million increase in the inventory obsolescence reserve for expiring COVID-19 and certain carrier screening testing kits; a $2.2 million increase in occupancy expenses; a $5.1 million increase in depreciation expenses in connection with our laboratory move at the end of 2020, with production activities commencing at the Stamford facility in the first quarter of 2021 and a $1.3 million increase in equipment maintenance and general office expenses.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274" w:lineRule="exact"/>
        <w:rPr>
          <w:sz w:val="20"/>
          <w:szCs w:val="20"/>
          <w:color w:val="auto"/>
        </w:rPr>
      </w:pPr>
    </w:p>
    <w:tbl>
      <w:tblPr>
        <w:tblLayout w:type="fixed"/>
        <w:tblInd w:w="1500" w:type="dxa"/>
        <w:tblCellMar>
          <w:top w:w="0" w:type="dxa"/>
          <w:left w:w="0" w:type="dxa"/>
          <w:bottom w:w="0" w:type="dxa"/>
          <w:right w:w="0" w:type="dxa"/>
        </w:tblCellMar>
      </w:tblPr>
      <w:tr>
        <w:trPr>
          <w:trHeight w:val="217"/>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gridSpan w:val="3"/>
          </w:tcPr>
          <w:p>
            <w:pPr>
              <w:jc w:val="center"/>
              <w:ind w:left="5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Borders>
              <w:bottom w:val="single" w:sz="8" w:color="auto"/>
            </w:tcBorders>
          </w:tcPr>
          <w:p>
            <w:pPr>
              <w:spacing w:after="0"/>
              <w:rPr>
                <w:sz w:val="18"/>
                <w:szCs w:val="18"/>
                <w:color w:val="auto"/>
              </w:rPr>
            </w:pPr>
          </w:p>
        </w:tc>
      </w:tr>
      <w:tr>
        <w:trPr>
          <w:trHeight w:val="220"/>
        </w:trPr>
        <w:tc>
          <w:tcPr>
            <w:tcW w:w="2640" w:type="dxa"/>
            <w:vAlign w:val="bottom"/>
          </w:tcPr>
          <w:p>
            <w:pPr>
              <w:spacing w:after="0"/>
              <w:rPr>
                <w:sz w:val="19"/>
                <w:szCs w:val="19"/>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2020 to 2021</w:t>
            </w:r>
          </w:p>
        </w:tc>
      </w:tr>
      <w:tr>
        <w:trPr>
          <w:trHeight w:val="220"/>
        </w:trPr>
        <w:tc>
          <w:tcPr>
            <w:tcW w:w="2640" w:type="dxa"/>
            <w:vAlign w:val="bottom"/>
          </w:tcPr>
          <w:p>
            <w:pPr>
              <w:spacing w:after="0"/>
              <w:rPr>
                <w:sz w:val="19"/>
                <w:szCs w:val="19"/>
                <w:color w:val="auto"/>
              </w:rPr>
            </w:pPr>
          </w:p>
        </w:tc>
        <w:tc>
          <w:tcPr>
            <w:tcW w:w="9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0" w:type="dxa"/>
            <w:vAlign w:val="bottom"/>
          </w:tcPr>
          <w:p>
            <w:pPr>
              <w:spacing w:after="0"/>
              <w:rPr>
                <w:sz w:val="18"/>
                <w:szCs w:val="18"/>
                <w:color w:val="auto"/>
              </w:rPr>
            </w:pPr>
          </w:p>
        </w:tc>
      </w:tr>
      <w:tr>
        <w:trPr>
          <w:trHeight w:val="288"/>
        </w:trPr>
        <w:tc>
          <w:tcPr>
            <w:tcW w:w="3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 xml:space="preserve">Research and development </w:t>
            </w:r>
            <w:r>
              <w:rPr>
                <w:rFonts w:ascii="Times New Roman" w:cs="Times New Roman" w:eastAsia="Times New Roman" w:hAnsi="Times New Roman"/>
                <w:sz w:val="20"/>
                <w:szCs w:val="20"/>
                <w:color w:val="989898"/>
                <w:w w:val="99"/>
              </w:rPr>
              <w:t>........</w:t>
            </w:r>
            <w:r>
              <w:rPr>
                <w:rFonts w:ascii="Times New Roman" w:cs="Times New Roman" w:eastAsia="Times New Roman" w:hAnsi="Times New Roman"/>
                <w:sz w:val="20"/>
                <w:szCs w:val="20"/>
                <w:color w:val="auto"/>
                <w:w w:val="99"/>
              </w:rPr>
              <w:t xml:space="preserve"> $ 105,162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$ 72,700</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$ 32,462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-184785</wp:posOffset>
            </wp:positionV>
            <wp:extent cx="4140200" cy="206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4140200" cy="206375"/>
                    </a:xfrm>
                    <a:prstGeom prst="rect">
                      <a:avLst/>
                    </a:prstGeom>
                    <a:noFill/>
                  </pic:spPr>
                </pic:pic>
              </a:graphicData>
            </a:graphic>
          </wp:anchor>
        </w:drawing>
      </w:r>
    </w:p>
    <w:p>
      <w:pPr>
        <w:spacing w:after="0" w:line="231"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Research and development expenses increased by $32.5 million, or 45%, to $105.2 million for the year ended December 31, 2021, from $72.7 million for the year ended December 31, 2020. The increase was primarily attributable to the following cost components: a $20.5 million increase in stock-based compensation expense driven by the increase in fair value of the liability-classified awards until the Closing Date and an increase in the number of stock-based compensation awards granted; a $0.9 million increase in software expenses due to increased cloud storage; a $0.3 million increase in personnel-related expenses driven by an increase in average headcount a $4.8 million increase in depreciation expenses; a $3.6 million increase in expenses for reagents, laboratory supplies and laboratory software for research and development; and a $2.2 million increase in consulting fees.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360"/>
          </w:cols>
          <w:pgMar w:left="1440" w:top="1378" w:right="144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and Marketing</w:t>
      </w:r>
    </w:p>
    <w:p>
      <w:pPr>
        <w:spacing w:after="0" w:line="274" w:lineRule="exact"/>
        <w:rPr>
          <w:sz w:val="20"/>
          <w:szCs w:val="20"/>
          <w:color w:val="auto"/>
        </w:rPr>
      </w:pPr>
    </w:p>
    <w:tbl>
      <w:tblPr>
        <w:tblLayout w:type="fixed"/>
        <w:tblInd w:w="1500" w:type="dxa"/>
        <w:tblCellMar>
          <w:top w:w="0" w:type="dxa"/>
          <w:left w:w="0" w:type="dxa"/>
          <w:bottom w:w="0" w:type="dxa"/>
          <w:right w:w="0" w:type="dxa"/>
        </w:tblCellMar>
      </w:tblPr>
      <w:tr>
        <w:trPr>
          <w:trHeight w:val="217"/>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gridSpan w:val="3"/>
          </w:tcPr>
          <w:p>
            <w:pPr>
              <w:jc w:val="center"/>
              <w:ind w:left="5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Borders>
              <w:bottom w:val="single" w:sz="8" w:color="auto"/>
            </w:tcBorders>
          </w:tcPr>
          <w:p>
            <w:pPr>
              <w:spacing w:after="0"/>
              <w:rPr>
                <w:sz w:val="18"/>
                <w:szCs w:val="18"/>
                <w:color w:val="auto"/>
              </w:rPr>
            </w:pPr>
          </w:p>
        </w:tc>
      </w:tr>
      <w:tr>
        <w:trPr>
          <w:trHeight w:val="220"/>
        </w:trPr>
        <w:tc>
          <w:tcPr>
            <w:tcW w:w="2640" w:type="dxa"/>
            <w:vAlign w:val="bottom"/>
          </w:tcPr>
          <w:p>
            <w:pPr>
              <w:spacing w:after="0"/>
              <w:rPr>
                <w:sz w:val="19"/>
                <w:szCs w:val="19"/>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2020 to 2021</w:t>
            </w:r>
          </w:p>
        </w:tc>
      </w:tr>
      <w:tr>
        <w:trPr>
          <w:trHeight w:val="220"/>
        </w:trPr>
        <w:tc>
          <w:tcPr>
            <w:tcW w:w="2640" w:type="dxa"/>
            <w:vAlign w:val="bottom"/>
          </w:tcPr>
          <w:p>
            <w:pPr>
              <w:spacing w:after="0"/>
              <w:rPr>
                <w:sz w:val="19"/>
                <w:szCs w:val="19"/>
                <w:color w:val="auto"/>
              </w:rPr>
            </w:pPr>
          </w:p>
        </w:tc>
        <w:tc>
          <w:tcPr>
            <w:tcW w:w="9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0" w:type="dxa"/>
            <w:vAlign w:val="bottom"/>
          </w:tcPr>
          <w:p>
            <w:pPr>
              <w:spacing w:after="0"/>
              <w:rPr>
                <w:sz w:val="18"/>
                <w:szCs w:val="18"/>
                <w:color w:val="auto"/>
              </w:rPr>
            </w:pPr>
          </w:p>
        </w:tc>
      </w:tr>
      <w:tr>
        <w:trPr>
          <w:trHeight w:val="288"/>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Selling and marketing </w:t>
            </w:r>
            <w:r>
              <w:rPr>
                <w:rFonts w:ascii="Times New Roman" w:cs="Times New Roman" w:eastAsia="Times New Roman" w:hAnsi="Times New Roman"/>
                <w:sz w:val="20"/>
                <w:szCs w:val="20"/>
                <w:color w:val="989898"/>
              </w:rPr>
              <w:t>................</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$ 112,738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$ 63,183</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$ 49,555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-184785</wp:posOffset>
            </wp:positionV>
            <wp:extent cx="4140200" cy="2063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extLst>
                    </a:blip>
                    <a:srcRect/>
                    <a:stretch>
                      <a:fillRect/>
                    </a:stretch>
                  </pic:blipFill>
                  <pic:spPr bwMode="auto">
                    <a:xfrm>
                      <a:off x="0" y="0"/>
                      <a:ext cx="4140200" cy="206375"/>
                    </a:xfrm>
                    <a:prstGeom prst="rect">
                      <a:avLst/>
                    </a:prstGeom>
                    <a:noFill/>
                  </pic:spPr>
                </pic:pic>
              </a:graphicData>
            </a:graphic>
          </wp:anchor>
        </w:drawing>
      </w:r>
    </w:p>
    <w:p>
      <w:pPr>
        <w:spacing w:after="0" w:line="231"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Selling and marketing expenses increased by $49.6 million, or 78%, to $112.7 million for the year ended December 31, 2021, from $63.2 million for the year ended December 31, 2020. The increase was primarily attributable to the following cost components: an $17.3 million increase in stock-based compensation expense driven by the increase in fair value of the liability-classified awards until the Closing Date and an increase in the number of stock-based compensation awards granted; a $19.6 million increase in personnel-related expenses driven by increased headcount; a $4.1 million increase in consulting service expenses mainly to support revenue cycle transformation initiatives; a $3.2 million increase in information technology-related expenses; a $1.8 million increase in other administrative and office expenses; a $2.0 million increase in travel and business expenses due to the lifting of COVID-19 travel restrictions and a $1.5 million increase in counseling services.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274" w:lineRule="exact"/>
        <w:rPr>
          <w:sz w:val="20"/>
          <w:szCs w:val="20"/>
          <w:color w:val="auto"/>
        </w:rPr>
      </w:pPr>
    </w:p>
    <w:tbl>
      <w:tblPr>
        <w:tblLayout w:type="fixed"/>
        <w:tblInd w:w="1500" w:type="dxa"/>
        <w:tblCellMar>
          <w:top w:w="0" w:type="dxa"/>
          <w:left w:w="0" w:type="dxa"/>
          <w:bottom w:w="0" w:type="dxa"/>
          <w:right w:w="0" w:type="dxa"/>
        </w:tblCellMar>
      </w:tblPr>
      <w:tr>
        <w:trPr>
          <w:trHeight w:val="217"/>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gridSpan w:val="3"/>
          </w:tcPr>
          <w:p>
            <w:pPr>
              <w:jc w:val="center"/>
              <w:ind w:left="5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Borders>
              <w:bottom w:val="single" w:sz="8" w:color="auto"/>
            </w:tcBorders>
          </w:tcPr>
          <w:p>
            <w:pPr>
              <w:spacing w:after="0"/>
              <w:rPr>
                <w:sz w:val="18"/>
                <w:szCs w:val="18"/>
                <w:color w:val="auto"/>
              </w:rPr>
            </w:pPr>
          </w:p>
        </w:tc>
      </w:tr>
      <w:tr>
        <w:trPr>
          <w:trHeight w:val="220"/>
        </w:trPr>
        <w:tc>
          <w:tcPr>
            <w:tcW w:w="2640" w:type="dxa"/>
            <w:vAlign w:val="bottom"/>
          </w:tcPr>
          <w:p>
            <w:pPr>
              <w:spacing w:after="0"/>
              <w:rPr>
                <w:sz w:val="19"/>
                <w:szCs w:val="19"/>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2020 to 2021</w:t>
            </w:r>
          </w:p>
        </w:tc>
      </w:tr>
      <w:tr>
        <w:trPr>
          <w:trHeight w:val="220"/>
        </w:trPr>
        <w:tc>
          <w:tcPr>
            <w:tcW w:w="2640" w:type="dxa"/>
            <w:vAlign w:val="bottom"/>
          </w:tcPr>
          <w:p>
            <w:pPr>
              <w:spacing w:after="0"/>
              <w:rPr>
                <w:sz w:val="19"/>
                <w:szCs w:val="19"/>
                <w:color w:val="auto"/>
              </w:rPr>
            </w:pPr>
          </w:p>
        </w:tc>
        <w:tc>
          <w:tcPr>
            <w:tcW w:w="9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0" w:type="dxa"/>
            <w:vAlign w:val="bottom"/>
          </w:tcPr>
          <w:p>
            <w:pPr>
              <w:spacing w:after="0"/>
              <w:rPr>
                <w:sz w:val="18"/>
                <w:szCs w:val="18"/>
                <w:color w:val="auto"/>
              </w:rPr>
            </w:pPr>
          </w:p>
        </w:tc>
      </w:tr>
      <w:tr>
        <w:trPr>
          <w:trHeight w:val="288"/>
        </w:trPr>
        <w:tc>
          <w:tcPr>
            <w:tcW w:w="3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 xml:space="preserve">General and administrative </w:t>
            </w:r>
            <w:r>
              <w:rPr>
                <w:rFonts w:ascii="Times New Roman" w:cs="Times New Roman" w:eastAsia="Times New Roman" w:hAnsi="Times New Roman"/>
                <w:sz w:val="20"/>
                <w:szCs w:val="20"/>
                <w:color w:val="989898"/>
                <w:w w:val="99"/>
              </w:rPr>
              <w:t>........</w:t>
            </w:r>
            <w:r>
              <w:rPr>
                <w:rFonts w:ascii="Times New Roman" w:cs="Times New Roman" w:eastAsia="Times New Roman" w:hAnsi="Times New Roman"/>
                <w:sz w:val="20"/>
                <w:szCs w:val="20"/>
                <w:color w:val="auto"/>
                <w:w w:val="99"/>
              </w:rPr>
              <w:t xml:space="preserve"> $ 205,988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$ 100,742</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$ 105,246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-184785</wp:posOffset>
            </wp:positionV>
            <wp:extent cx="4140200" cy="2063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extLst>
                    </a:blip>
                    <a:srcRect/>
                    <a:stretch>
                      <a:fillRect/>
                    </a:stretch>
                  </pic:blipFill>
                  <pic:spPr bwMode="auto">
                    <a:xfrm>
                      <a:off x="0" y="0"/>
                      <a:ext cx="4140200" cy="206375"/>
                    </a:xfrm>
                    <a:prstGeom prst="rect">
                      <a:avLst/>
                    </a:prstGeom>
                    <a:noFill/>
                  </pic:spPr>
                </pic:pic>
              </a:graphicData>
            </a:graphic>
          </wp:anchor>
        </w:drawing>
      </w:r>
    </w:p>
    <w:p>
      <w:pPr>
        <w:spacing w:after="0" w:line="23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General and administrative expenses increased by $105.3 million, or 104%, to $206.0 million for the year ended December 31, 2021, from $100.7 million for the year ended December 31, 2020. The increase was primarily attributable to the following cost components: a $51.7 million increase in stock-based compensation expense driven by the increase in fair value of the liability-classified awards until the Closing Date and an increase in the number of stock-based compensation awards granted; a $21.1 million increase in professional services incurred mainly in connection with the Business Combination; a $20.0 million increase in personnel-related expenses driven by an increase in average headcount including executive headcount; a $5.0 million increase in software expenses due to increased cloud storage requirements; a $7.0 million increase in insurance expenses driven by the commencement of director’s insurance policy; and a $0.8 million increase in capital taxes as a result of the Business Combination. These increases were partially offset by a $0.4 million decrease in occupancy and depreciation expenses in connection with our laboratory move from New York City to Stamford, Connecticut.</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Related Party Expenses</w:t>
      </w:r>
    </w:p>
    <w:p>
      <w:pPr>
        <w:spacing w:after="0" w:line="274" w:lineRule="exact"/>
        <w:rPr>
          <w:sz w:val="20"/>
          <w:szCs w:val="20"/>
          <w:color w:val="auto"/>
        </w:rPr>
      </w:pPr>
    </w:p>
    <w:tbl>
      <w:tblPr>
        <w:tblLayout w:type="fixed"/>
        <w:tblInd w:w="1500" w:type="dxa"/>
        <w:tblCellMar>
          <w:top w:w="0" w:type="dxa"/>
          <w:left w:w="0" w:type="dxa"/>
          <w:bottom w:w="0" w:type="dxa"/>
          <w:right w:w="0" w:type="dxa"/>
        </w:tblCellMar>
      </w:tblPr>
      <w:tr>
        <w:trPr>
          <w:trHeight w:val="217"/>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gridSpan w:val="3"/>
          </w:tcPr>
          <w:p>
            <w:pPr>
              <w:jc w:val="center"/>
              <w:ind w:left="5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Borders>
              <w:bottom w:val="single" w:sz="8" w:color="auto"/>
            </w:tcBorders>
          </w:tcPr>
          <w:p>
            <w:pPr>
              <w:spacing w:after="0"/>
              <w:rPr>
                <w:sz w:val="18"/>
                <w:szCs w:val="18"/>
                <w:color w:val="auto"/>
              </w:rPr>
            </w:pPr>
          </w:p>
        </w:tc>
      </w:tr>
      <w:tr>
        <w:trPr>
          <w:trHeight w:val="220"/>
        </w:trPr>
        <w:tc>
          <w:tcPr>
            <w:tcW w:w="2640" w:type="dxa"/>
            <w:vAlign w:val="bottom"/>
          </w:tcPr>
          <w:p>
            <w:pPr>
              <w:spacing w:after="0"/>
              <w:rPr>
                <w:sz w:val="19"/>
                <w:szCs w:val="19"/>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2020 to 2021</w:t>
            </w:r>
          </w:p>
        </w:tc>
      </w:tr>
      <w:tr>
        <w:trPr>
          <w:trHeight w:val="220"/>
        </w:trPr>
        <w:tc>
          <w:tcPr>
            <w:tcW w:w="2640" w:type="dxa"/>
            <w:vAlign w:val="bottom"/>
          </w:tcPr>
          <w:p>
            <w:pPr>
              <w:spacing w:after="0"/>
              <w:rPr>
                <w:sz w:val="19"/>
                <w:szCs w:val="19"/>
                <w:color w:val="auto"/>
              </w:rPr>
            </w:pPr>
          </w:p>
        </w:tc>
        <w:tc>
          <w:tcPr>
            <w:tcW w:w="9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0" w:type="dxa"/>
            <w:vAlign w:val="bottom"/>
          </w:tcPr>
          <w:p>
            <w:pPr>
              <w:spacing w:after="0"/>
              <w:rPr>
                <w:sz w:val="18"/>
                <w:szCs w:val="18"/>
                <w:color w:val="auto"/>
              </w:rPr>
            </w:pPr>
          </w:p>
        </w:tc>
      </w:tr>
      <w:tr>
        <w:trPr>
          <w:trHeight w:val="288"/>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Related party expenses</w:t>
            </w:r>
            <w:r>
              <w:rPr>
                <w:rFonts w:ascii="Times New Roman" w:cs="Times New Roman" w:eastAsia="Times New Roman" w:hAnsi="Times New Roman"/>
                <w:sz w:val="20"/>
                <w:szCs w:val="20"/>
                <w:color w:val="989898"/>
              </w:rPr>
              <w:t>...............</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5,659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9,395</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(3,736)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-184785</wp:posOffset>
            </wp:positionV>
            <wp:extent cx="4140200" cy="206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extLst>
                    </a:blip>
                    <a:srcRect/>
                    <a:stretch>
                      <a:fillRect/>
                    </a:stretch>
                  </pic:blipFill>
                  <pic:spPr bwMode="auto">
                    <a:xfrm>
                      <a:off x="0" y="0"/>
                      <a:ext cx="4140200" cy="206375"/>
                    </a:xfrm>
                    <a:prstGeom prst="rect">
                      <a:avLst/>
                    </a:prstGeom>
                    <a:noFill/>
                  </pic:spPr>
                </pic:pic>
              </a:graphicData>
            </a:graphic>
          </wp:anchor>
        </w:drawing>
      </w:r>
    </w:p>
    <w:p>
      <w:pPr>
        <w:spacing w:after="0" w:line="23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Related party expenses decreased by $3.7 million, or 40%, to $5.7 million for the year ended December 31, 2021, from $9.4 million for the year ended December 31, 2020. The decrease was primarily attributable to the following cost components: a $3.2 million decrease in rent and facility expenses driven by a reduction of office and lab space leased from ISMMS pursuant to the TSA which ended in the first quarter of 2021; and a $0.5 million decrease in fees associated with information technology support pursuant to the TSA with ISMMS.</w:t>
      </w:r>
    </w:p>
    <w:p>
      <w:pPr>
        <w:sectPr>
          <w:pgSz w:w="12240" w:h="15840" w:orient="portrait"/>
          <w:cols w:equalWidth="0" w:num="1">
            <w:col w:w="9360"/>
          </w:cols>
          <w:pgMar w:left="1440" w:top="1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360"/>
          </w:cols>
          <w:pgMar w:left="1440" w:top="1369" w:right="1440" w:bottom="0" w:gutter="0" w:footer="0" w:header="0"/>
          <w:type w:val="continuous"/>
        </w:sectPr>
      </w:pPr>
    </w:p>
    <w:bookmarkStart w:id="86" w:name="page87"/>
    <w:bookmarkEnd w:id="86"/>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74" w:lineRule="exact"/>
        <w:rPr>
          <w:sz w:val="20"/>
          <w:szCs w:val="20"/>
          <w:color w:val="auto"/>
        </w:rPr>
      </w:pPr>
    </w:p>
    <w:tbl>
      <w:tblPr>
        <w:tblLayout w:type="fixed"/>
        <w:tblInd w:w="1500" w:type="dxa"/>
        <w:tblCellMar>
          <w:top w:w="0" w:type="dxa"/>
          <w:left w:w="0" w:type="dxa"/>
          <w:bottom w:w="0" w:type="dxa"/>
          <w:right w:w="0" w:type="dxa"/>
        </w:tblCellMar>
      </w:tblPr>
      <w:tr>
        <w:trPr>
          <w:trHeight w:val="217"/>
        </w:trPr>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center"/>
              <w:ind w:left="2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Borders>
              <w:bottom w:val="single" w:sz="8" w:color="auto"/>
            </w:tcBorders>
          </w:tcPr>
          <w:p>
            <w:pPr>
              <w:spacing w:after="0"/>
              <w:rPr>
                <w:sz w:val="18"/>
                <w:szCs w:val="18"/>
                <w:color w:val="auto"/>
              </w:rPr>
            </w:pPr>
          </w:p>
        </w:tc>
      </w:tr>
      <w:tr>
        <w:trPr>
          <w:trHeight w:val="220"/>
        </w:trPr>
        <w:tc>
          <w:tcPr>
            <w:tcW w:w="2640" w:type="dxa"/>
            <w:vAlign w:val="bottom"/>
          </w:tcPr>
          <w:p>
            <w:pPr>
              <w:spacing w:after="0"/>
              <w:rPr>
                <w:sz w:val="19"/>
                <w:szCs w:val="19"/>
                <w:color w:val="auto"/>
              </w:rPr>
            </w:pPr>
          </w:p>
        </w:tc>
        <w:tc>
          <w:tcPr>
            <w:tcW w:w="19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2020 to 2021</w:t>
            </w:r>
          </w:p>
        </w:tc>
      </w:tr>
      <w:tr>
        <w:trPr>
          <w:trHeight w:val="220"/>
        </w:trPr>
        <w:tc>
          <w:tcPr>
            <w:tcW w:w="2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0" w:type="dxa"/>
            <w:vAlign w:val="bottom"/>
          </w:tcPr>
          <w:p>
            <w:pPr>
              <w:spacing w:after="0"/>
              <w:rPr>
                <w:sz w:val="18"/>
                <w:szCs w:val="18"/>
                <w:color w:val="auto"/>
              </w:rPr>
            </w:pPr>
          </w:p>
        </w:tc>
      </w:tr>
      <w:tr>
        <w:trPr>
          <w:trHeight w:val="288"/>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Interest income </w:t>
            </w:r>
            <w:r>
              <w:rPr>
                <w:rFonts w:ascii="Times New Roman" w:cs="Times New Roman" w:eastAsia="Times New Roman" w:hAnsi="Times New Roman"/>
                <w:sz w:val="20"/>
                <w:szCs w:val="20"/>
                <w:color w:val="989898"/>
                <w:w w:val="99"/>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w:t>
            </w:r>
          </w:p>
        </w:tc>
        <w:tc>
          <w:tcPr>
            <w:tcW w:w="60" w:type="dxa"/>
            <w:vAlign w:val="bottom"/>
          </w:tcPr>
          <w:p>
            <w:pPr>
              <w:spacing w:after="0"/>
              <w:rPr>
                <w:sz w:val="24"/>
                <w:szCs w:val="24"/>
                <w:color w:val="auto"/>
              </w:rPr>
            </w:pP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-184785</wp:posOffset>
            </wp:positionV>
            <wp:extent cx="4140200" cy="206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extLst>
                    </a:blip>
                    <a:srcRect/>
                    <a:stretch>
                      <a:fillRect/>
                    </a:stretch>
                  </pic:blipFill>
                  <pic:spPr bwMode="auto">
                    <a:xfrm>
                      <a:off x="0" y="0"/>
                      <a:ext cx="4140200" cy="206375"/>
                    </a:xfrm>
                    <a:prstGeom prst="rect">
                      <a:avLst/>
                    </a:prstGeom>
                    <a:noFill/>
                  </pic:spPr>
                </pic:pic>
              </a:graphicData>
            </a:graphic>
          </wp:anchor>
        </w:drawing>
      </w:r>
    </w:p>
    <w:p>
      <w:pPr>
        <w:spacing w:after="0" w:line="23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Interest income decreased by $0.4 million, or 84%, to $0.1 million for the year ended December 31, 2021, from $0.5 million for the year ended December 31, 2020. The decrease was due to declines in interest rates on money market fund accounts.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74" w:lineRule="exact"/>
        <w:rPr>
          <w:sz w:val="20"/>
          <w:szCs w:val="20"/>
          <w:color w:val="auto"/>
        </w:rPr>
      </w:pPr>
    </w:p>
    <w:tbl>
      <w:tblPr>
        <w:tblLayout w:type="fixed"/>
        <w:tblInd w:w="1500" w:type="dxa"/>
        <w:tblCellMar>
          <w:top w:w="0" w:type="dxa"/>
          <w:left w:w="0" w:type="dxa"/>
          <w:bottom w:w="0" w:type="dxa"/>
          <w:right w:w="0" w:type="dxa"/>
        </w:tblCellMar>
      </w:tblPr>
      <w:tr>
        <w:trPr>
          <w:trHeight w:val="217"/>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Borders>
              <w:bottom w:val="single" w:sz="8" w:color="auto"/>
            </w:tcBorders>
          </w:tcPr>
          <w:p>
            <w:pPr>
              <w:spacing w:after="0"/>
              <w:rPr>
                <w:sz w:val="18"/>
                <w:szCs w:val="18"/>
                <w:color w:val="auto"/>
              </w:rPr>
            </w:pPr>
          </w:p>
        </w:tc>
      </w:tr>
      <w:tr>
        <w:trPr>
          <w:trHeight w:val="220"/>
        </w:trPr>
        <w:tc>
          <w:tcPr>
            <w:tcW w:w="2640" w:type="dxa"/>
            <w:vAlign w:val="bottom"/>
          </w:tcPr>
          <w:p>
            <w:pPr>
              <w:spacing w:after="0"/>
              <w:rPr>
                <w:sz w:val="19"/>
                <w:szCs w:val="19"/>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2020 to 2021</w:t>
            </w:r>
          </w:p>
        </w:tc>
      </w:tr>
      <w:tr>
        <w:trPr>
          <w:trHeight w:val="220"/>
        </w:trPr>
        <w:tc>
          <w:tcPr>
            <w:tcW w:w="2640" w:type="dxa"/>
            <w:vAlign w:val="bottom"/>
          </w:tcPr>
          <w:p>
            <w:pPr>
              <w:spacing w:after="0"/>
              <w:rPr>
                <w:sz w:val="19"/>
                <w:szCs w:val="19"/>
                <w:color w:val="auto"/>
              </w:rPr>
            </w:pPr>
          </w:p>
        </w:tc>
        <w:tc>
          <w:tcPr>
            <w:tcW w:w="9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0" w:type="dxa"/>
            <w:vAlign w:val="bottom"/>
          </w:tcPr>
          <w:p>
            <w:pPr>
              <w:spacing w:after="0"/>
              <w:rPr>
                <w:sz w:val="18"/>
                <w:szCs w:val="18"/>
                <w:color w:val="auto"/>
              </w:rPr>
            </w:pPr>
          </w:p>
        </w:tc>
      </w:tr>
      <w:tr>
        <w:trPr>
          <w:trHeight w:val="288"/>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r>
              <w:rPr>
                <w:rFonts w:ascii="Times New Roman" w:cs="Times New Roman" w:eastAsia="Times New Roman" w:hAnsi="Times New Roman"/>
                <w:sz w:val="20"/>
                <w:szCs w:val="20"/>
                <w:color w:val="989898"/>
              </w:rPr>
              <w:t>..........................</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2,835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2,474</w:t>
            </w:r>
          </w:p>
        </w:tc>
        <w:tc>
          <w:tcPr>
            <w:tcW w:w="60" w:type="dxa"/>
            <w:vAlign w:val="bottom"/>
          </w:tcPr>
          <w:p>
            <w:pPr>
              <w:spacing w:after="0"/>
              <w:rPr>
                <w:sz w:val="24"/>
                <w:szCs w:val="24"/>
                <w:color w:val="auto"/>
              </w:rPr>
            </w:pP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361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-184785</wp:posOffset>
            </wp:positionV>
            <wp:extent cx="4140200" cy="2063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extLst>
                    </a:blip>
                    <a:srcRect/>
                    <a:stretch>
                      <a:fillRect/>
                    </a:stretch>
                  </pic:blipFill>
                  <pic:spPr bwMode="auto">
                    <a:xfrm>
                      <a:off x="0" y="0"/>
                      <a:ext cx="4140200" cy="206375"/>
                    </a:xfrm>
                    <a:prstGeom prst="rect">
                      <a:avLst/>
                    </a:prstGeom>
                    <a:noFill/>
                  </pic:spPr>
                </pic:pic>
              </a:graphicData>
            </a:graphic>
          </wp:anchor>
        </w:drawing>
      </w:r>
    </w:p>
    <w:p>
      <w:pPr>
        <w:spacing w:after="0" w:line="23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Interest expense increased by $0.4 million, or 15%, to $2.8 million for the year ended December 31, 2021, from $2.5 million for the year ended December 31, 2020. The increase was driven by new capital lease obligations for our Stamford laboratory facility which commenced operations in 2021 as well as the unused line fee and the amortization of deferred transaction costs related to the loan and security agreement originally entered into with Silicon Valley Bank at the end of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259" w:lineRule="exact"/>
        <w:rPr>
          <w:sz w:val="20"/>
          <w:szCs w:val="20"/>
          <w:color w:val="auto"/>
        </w:rPr>
      </w:pPr>
    </w:p>
    <w:tbl>
      <w:tblPr>
        <w:tblLayout w:type="fixed"/>
        <w:tblInd w:w="1500" w:type="dxa"/>
        <w:tblCellMar>
          <w:top w:w="0" w:type="dxa"/>
          <w:left w:w="0" w:type="dxa"/>
          <w:bottom w:w="0" w:type="dxa"/>
          <w:right w:w="0" w:type="dxa"/>
        </w:tblCellMar>
      </w:tblPr>
      <w:tr>
        <w:trPr>
          <w:trHeight w:val="211"/>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center"/>
              <w:ind w:left="25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19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640" w:type="dxa"/>
            <w:vAlign w:val="bottom"/>
          </w:tcPr>
          <w:p>
            <w:pPr>
              <w:spacing w:after="0"/>
              <w:rPr>
                <w:sz w:val="19"/>
                <w:szCs w:val="19"/>
                <w:color w:val="auto"/>
              </w:rPr>
            </w:pPr>
          </w:p>
        </w:tc>
        <w:tc>
          <w:tcPr>
            <w:tcW w:w="1920" w:type="dxa"/>
            <w:vAlign w:val="bottom"/>
            <w:tcBorders>
              <w:bottom w:val="single" w:sz="8" w:color="auto"/>
            </w:tcBorders>
            <w:gridSpan w:val="4"/>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rPr>
              <w:t>2020 to 2021</w:t>
            </w:r>
          </w:p>
        </w:tc>
        <w:tc>
          <w:tcPr>
            <w:tcW w:w="0" w:type="dxa"/>
            <w:vAlign w:val="bottom"/>
          </w:tcPr>
          <w:p>
            <w:pPr>
              <w:spacing w:after="0"/>
              <w:rPr>
                <w:sz w:val="1"/>
                <w:szCs w:val="1"/>
                <w:color w:val="auto"/>
              </w:rPr>
            </w:pPr>
          </w:p>
        </w:tc>
      </w:tr>
      <w:tr>
        <w:trPr>
          <w:trHeight w:val="220"/>
        </w:trPr>
        <w:tc>
          <w:tcPr>
            <w:tcW w:w="2640" w:type="dxa"/>
            <w:vAlign w:val="bottom"/>
          </w:tcPr>
          <w:p>
            <w:pPr>
              <w:spacing w:after="0"/>
              <w:rPr>
                <w:sz w:val="19"/>
                <w:szCs w:val="19"/>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1"/>
        </w:trPr>
        <w:tc>
          <w:tcPr>
            <w:tcW w:w="26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(dollars in</w:t>
            </w:r>
          </w:p>
        </w:tc>
        <w:tc>
          <w:tcPr>
            <w:tcW w:w="60" w:type="dxa"/>
            <w:vAlign w:val="bottom"/>
          </w:tcPr>
          <w:p>
            <w:pPr>
              <w:spacing w:after="0"/>
              <w:rPr>
                <w:sz w:val="18"/>
                <w:szCs w:val="18"/>
                <w:color w:val="auto"/>
              </w:rPr>
            </w:pPr>
          </w:p>
        </w:tc>
        <w:tc>
          <w:tcPr>
            <w:tcW w:w="900" w:type="dxa"/>
            <w:vAlign w:val="bottom"/>
            <w:tcBorders>
              <w:top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w w:val="93"/>
              </w:rPr>
              <w:t>thousands)</w:t>
            </w: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Other income, net </w:t>
            </w:r>
            <w:r>
              <w:rPr>
                <w:rFonts w:ascii="Times New Roman" w:cs="Times New Roman" w:eastAsia="Times New Roman" w:hAnsi="Times New Roman"/>
                <w:sz w:val="20"/>
                <w:szCs w:val="20"/>
                <w:color w:val="989898"/>
                <w:w w:val="99"/>
              </w:rPr>
              <w:t>.......................</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5,114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2,622</w:t>
            </w:r>
          </w:p>
        </w:tc>
        <w:tc>
          <w:tcPr>
            <w:tcW w:w="60" w:type="dxa"/>
            <w:vAlign w:val="bottom"/>
          </w:tcPr>
          <w:p>
            <w:pPr>
              <w:spacing w:after="0"/>
              <w:rPr>
                <w:sz w:val="23"/>
                <w:szCs w:val="23"/>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-171450</wp:posOffset>
            </wp:positionV>
            <wp:extent cx="4140200" cy="2063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extLst>
                    </a:blip>
                    <a:srcRect/>
                    <a:stretch>
                      <a:fillRect/>
                    </a:stretch>
                  </pic:blipFill>
                  <pic:spPr bwMode="auto">
                    <a:xfrm>
                      <a:off x="0" y="0"/>
                      <a:ext cx="4140200" cy="206375"/>
                    </a:xfrm>
                    <a:prstGeom prst="rect">
                      <a:avLst/>
                    </a:prstGeom>
                    <a:noFill/>
                  </pic:spPr>
                </pic:pic>
              </a:graphicData>
            </a:graphic>
          </wp:anchor>
        </w:drawing>
      </w:r>
    </w:p>
    <w:p>
      <w:pPr>
        <w:spacing w:after="0" w:line="252"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20"/>
          <w:szCs w:val="20"/>
          <w:color w:val="auto"/>
        </w:rPr>
        <w:t>Other income, net increased by $2.5 million or 95% to $5.1 million for the year ended December 31, 2021, from $2.6 million for the year ended December 31, 2020. The increase in other income, net was primarily attributable to the $5.6 million in funding that we received and recognized as other income under the CARES Act in the first quarter of 2021, partially offset by $0.3 million in penalties related to an early repayment of debt. This is compared to $2.6 million in funding received in 2020.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w:t>
      </w:r>
    </w:p>
    <w:p>
      <w:pPr>
        <w:spacing w:after="0" w:line="21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addition to our results determined in accordance with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w:t>
      </w:r>
    </w:p>
    <w:p>
      <w:pPr>
        <w:sectPr>
          <w:pgSz w:w="12240" w:h="15840" w:orient="portrait"/>
          <w:cols w:equalWidth="0" w:num="1">
            <w:col w:w="936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360"/>
          </w:cols>
          <w:pgMar w:left="1440" w:top="1440" w:right="1440" w:bottom="0" w:gutter="0" w:footer="0" w:header="0"/>
          <w:type w:val="continuous"/>
        </w:sectPr>
      </w:pPr>
    </w:p>
    <w:bookmarkStart w:id="87" w:name="page88"/>
    <w:bookmarkEnd w:id="87"/>
    <w:p>
      <w:pPr>
        <w:jc w:val="both"/>
        <w:spacing w:after="0" w:line="266" w:lineRule="auto"/>
        <w:rPr>
          <w:sz w:val="20"/>
          <w:szCs w:val="20"/>
          <w:color w:val="auto"/>
        </w:rPr>
      </w:pPr>
      <w:r>
        <w:rPr>
          <w:rFonts w:ascii="Times New Roman" w:cs="Times New Roman" w:eastAsia="Times New Roman" w:hAnsi="Times New Roman"/>
          <w:sz w:val="20"/>
          <w:szCs w:val="20"/>
          <w:color w:val="auto"/>
        </w:rPr>
        <w:t>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55"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63" w:lineRule="exact"/>
        <w:rPr>
          <w:sz w:val="20"/>
          <w:szCs w:val="20"/>
          <w:color w:val="auto"/>
        </w:rPr>
      </w:pPr>
    </w:p>
    <w:p>
      <w:pPr>
        <w:ind w:left="720" w:hanging="360"/>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expenditures or future requirements for capital expenditures or contractual commitments;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working capital needs;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replacing the assets being depreciated, which will often have to be replaced in the future;</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non-cash component of employee compensation expense; and</w:t>
      </w:r>
    </w:p>
    <w:p>
      <w:pPr>
        <w:spacing w:after="0" w:line="210"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earnings or charges resulting from matters we consider not to be reflective, on a recurring basis, of our ongoing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Gross Profit and Adjusted Gross Margin</w:t>
      </w:r>
    </w:p>
    <w:p>
      <w:pPr>
        <w:spacing w:after="0" w:line="21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Adjusted Gross Profit is a non-GAAP financial measure that we define as revenue less cost of services, excluding depreciation and amortization expense,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208" w:lineRule="exact"/>
        <w:rPr>
          <w:sz w:val="20"/>
          <w:szCs w:val="20"/>
          <w:color w:val="auto"/>
        </w:rPr>
      </w:pPr>
    </w:p>
    <w:p>
      <w:pPr>
        <w:ind w:right="340" w:firstLine="360"/>
        <w:spacing w:after="0" w:line="281" w:lineRule="auto"/>
        <w:rPr>
          <w:sz w:val="20"/>
          <w:szCs w:val="20"/>
          <w:color w:val="auto"/>
        </w:rPr>
      </w:pPr>
      <w:r>
        <w:rPr>
          <w:rFonts w:ascii="Times New Roman" w:cs="Times New Roman" w:eastAsia="Times New Roman" w:hAnsi="Times New Roman"/>
          <w:sz w:val="20"/>
          <w:szCs w:val="20"/>
          <w:color w:val="111111"/>
        </w:rPr>
        <w:t>The following is a reconciliation of revenue to our Adjusted Gross Profit and Adjusted Gross Margin for the years ended December 31, 2022, 20</w:t>
      </w:r>
      <w:r>
        <w:rPr>
          <w:rFonts w:ascii="Times New Roman" w:cs="Times New Roman" w:eastAsia="Times New Roman" w:hAnsi="Times New Roman"/>
          <w:sz w:val="20"/>
          <w:szCs w:val="20"/>
          <w:color w:val="000000"/>
        </w:rPr>
        <w:t>21</w:t>
      </w:r>
      <w:r>
        <w:rPr>
          <w:rFonts w:ascii="Times New Roman" w:cs="Times New Roman" w:eastAsia="Times New Roman" w:hAnsi="Times New Roman"/>
          <w:sz w:val="20"/>
          <w:szCs w:val="20"/>
          <w:color w:val="111111"/>
        </w:rPr>
        <w:t xml:space="preserve"> and 2020 </w:t>
      </w:r>
      <w:r>
        <w:rPr>
          <w:rFonts w:ascii="Times New Roman" w:cs="Times New Roman" w:eastAsia="Times New Roman" w:hAnsi="Times New Roman"/>
          <w:sz w:val="20"/>
          <w:szCs w:val="20"/>
          <w:color w:val="000000"/>
        </w:rPr>
        <w:t>(in thousands)</w:t>
      </w:r>
      <w:r>
        <w:rPr>
          <w:rFonts w:ascii="Times New Roman" w:cs="Times New Roman" w:eastAsia="Times New Roman" w:hAnsi="Times New Roman"/>
          <w:sz w:val="20"/>
          <w:szCs w:val="20"/>
          <w:color w:val="111111"/>
        </w:rPr>
        <w:t>:</w:t>
      </w:r>
    </w:p>
    <w:p>
      <w:pPr>
        <w:spacing w:after="0" w:line="146"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45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332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2020</w:t>
            </w:r>
          </w:p>
        </w:tc>
        <w:tc>
          <w:tcPr>
            <w:tcW w:w="0" w:type="dxa"/>
            <w:vAlign w:val="bottom"/>
          </w:tcPr>
          <w:p>
            <w:pPr>
              <w:spacing w:after="0"/>
              <w:rPr>
                <w:sz w:val="1"/>
                <w:szCs w:val="1"/>
                <w:color w:val="auto"/>
              </w:rPr>
            </w:pPr>
          </w:p>
        </w:tc>
      </w:tr>
      <w:tr>
        <w:trPr>
          <w:trHeight w:val="30"/>
        </w:trPr>
        <w:tc>
          <w:tcPr>
            <w:tcW w:w="4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Revenue</w:t>
            </w:r>
            <w:r>
              <w:rPr>
                <w:rFonts w:ascii="Times New Roman" w:cs="Times New Roman" w:eastAsia="Times New Roman" w:hAnsi="Times New Roman"/>
                <w:sz w:val="20"/>
                <w:szCs w:val="20"/>
                <w:color w:val="989898"/>
                <w:w w:val="99"/>
              </w:rPr>
              <w:t>...........................................................................</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500" w:type="dxa"/>
            <w:vAlign w:val="bottom"/>
            <w:vMerge w:val="continue"/>
          </w:tcPr>
          <w:p>
            <w:pPr>
              <w:spacing w:after="0"/>
              <w:rPr>
                <w:sz w:val="22"/>
                <w:szCs w:val="22"/>
                <w:color w:val="auto"/>
              </w:rPr>
            </w:pP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234,694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212,195</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179,322</w:t>
            </w:r>
          </w:p>
        </w:tc>
        <w:tc>
          <w:tcPr>
            <w:tcW w:w="0" w:type="dxa"/>
            <w:vAlign w:val="bottom"/>
          </w:tcPr>
          <w:p>
            <w:pPr>
              <w:spacing w:after="0"/>
              <w:rPr>
                <w:sz w:val="1"/>
                <w:szCs w:val="1"/>
                <w:color w:val="auto"/>
              </w:rPr>
            </w:pPr>
          </w:p>
        </w:tc>
      </w:tr>
      <w:tr>
        <w:trPr>
          <w:trHeight w:val="288"/>
        </w:trPr>
        <w:tc>
          <w:tcPr>
            <w:tcW w:w="45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Cost of services </w:t>
            </w:r>
            <w:r>
              <w:rPr>
                <w:rFonts w:ascii="Times New Roman" w:cs="Times New Roman" w:eastAsia="Times New Roman" w:hAnsi="Times New Roman"/>
                <w:sz w:val="20"/>
                <w:szCs w:val="20"/>
                <w:color w:val="989898"/>
                <w:w w:val="98"/>
              </w:rPr>
              <w:t>...............................................................</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261,444</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228,797</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175,296</w:t>
            </w:r>
          </w:p>
        </w:tc>
        <w:tc>
          <w:tcPr>
            <w:tcW w:w="0" w:type="dxa"/>
            <w:vAlign w:val="bottom"/>
          </w:tcPr>
          <w:p>
            <w:pPr>
              <w:spacing w:after="0"/>
              <w:rPr>
                <w:sz w:val="1"/>
                <w:szCs w:val="1"/>
                <w:color w:val="auto"/>
              </w:rPr>
            </w:pPr>
          </w:p>
        </w:tc>
      </w:tr>
      <w:tr>
        <w:trPr>
          <w:trHeight w:val="265"/>
        </w:trPr>
        <w:tc>
          <w:tcPr>
            <w:tcW w:w="4500" w:type="dxa"/>
            <w:vAlign w:val="bottom"/>
          </w:tcPr>
          <w:p>
            <w:pPr>
              <w:jc w:val="right"/>
              <w:spacing w:after="0"/>
              <w:rPr>
                <w:sz w:val="20"/>
                <w:szCs w:val="20"/>
                <w:color w:val="auto"/>
              </w:rPr>
            </w:pPr>
            <w:r>
              <w:rPr>
                <w:rFonts w:ascii="Times New Roman" w:cs="Times New Roman" w:eastAsia="Times New Roman" w:hAnsi="Times New Roman"/>
                <w:sz w:val="20"/>
                <w:szCs w:val="20"/>
                <w:color w:val="989898"/>
              </w:rPr>
              <w:t>.......................................................</w:t>
            </w:r>
            <w:r>
              <w:rPr>
                <w:rFonts w:ascii="Times New Roman" w:cs="Times New Roman" w:eastAsia="Times New Roman" w:hAnsi="Times New Roman"/>
                <w:sz w:val="20"/>
                <w:szCs w:val="20"/>
                <w:b w:val="1"/>
                <w:bCs w:val="1"/>
                <w:color w:val="000000"/>
              </w:rPr>
              <w:t>Gross(Loss)Profit</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(26,750)</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(16,602)</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4,026</w:t>
            </w:r>
          </w:p>
        </w:tc>
        <w:tc>
          <w:tcPr>
            <w:tcW w:w="0" w:type="dxa"/>
            <w:vAlign w:val="bottom"/>
          </w:tcPr>
          <w:p>
            <w:pPr>
              <w:spacing w:after="0"/>
              <w:rPr>
                <w:sz w:val="1"/>
                <w:szCs w:val="1"/>
                <w:color w:val="auto"/>
              </w:rPr>
            </w:pPr>
          </w:p>
        </w:tc>
      </w:tr>
      <w:tr>
        <w:trPr>
          <w:trHeight w:val="262"/>
        </w:trPr>
        <w:tc>
          <w:tcPr>
            <w:tcW w:w="4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2 %</w:t>
            </w:r>
          </w:p>
        </w:tc>
        <w:tc>
          <w:tcPr>
            <w:tcW w:w="0" w:type="dxa"/>
            <w:vAlign w:val="bottom"/>
          </w:tcPr>
          <w:p>
            <w:pPr>
              <w:spacing w:after="0"/>
              <w:rPr>
                <w:sz w:val="1"/>
                <w:szCs w:val="1"/>
                <w:color w:val="auto"/>
              </w:rPr>
            </w:pPr>
          </w:p>
        </w:tc>
      </w:tr>
      <w:tr>
        <w:trPr>
          <w:trHeight w:val="285"/>
        </w:trPr>
        <w:tc>
          <w:tcPr>
            <w:tcW w:w="4500" w:type="dxa"/>
            <w:vAlign w:val="bottom"/>
          </w:tcPr>
          <w:p>
            <w:pPr>
              <w:jc w:val="right"/>
              <w:ind w:right="3980"/>
              <w:spacing w:after="0"/>
              <w:rPr>
                <w:sz w:val="20"/>
                <w:szCs w:val="20"/>
                <w:color w:val="auto"/>
              </w:rPr>
            </w:pPr>
            <w:r>
              <w:rPr>
                <w:rFonts w:ascii="Times New Roman" w:cs="Times New Roman" w:eastAsia="Times New Roman" w:hAnsi="Times New Roman"/>
                <w:sz w:val="20"/>
                <w:szCs w:val="20"/>
                <w:b w:val="1"/>
                <w:bCs w:val="1"/>
                <w:color w:val="auto"/>
                <w:w w:val="92"/>
              </w:rPr>
              <w:t>Add:</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5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Depreciation and amortization expense </w:t>
            </w:r>
            <w:r>
              <w:rPr>
                <w:rFonts w:ascii="Times New Roman" w:cs="Times New Roman" w:eastAsia="Times New Roman" w:hAnsi="Times New Roman"/>
                <w:sz w:val="20"/>
                <w:szCs w:val="20"/>
                <w:color w:val="989898"/>
                <w:w w:val="98"/>
              </w:rPr>
              <w:t>..........................</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31,328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14,094</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9,055</w:t>
            </w:r>
          </w:p>
        </w:tc>
        <w:tc>
          <w:tcPr>
            <w:tcW w:w="0" w:type="dxa"/>
            <w:vAlign w:val="bottom"/>
          </w:tcPr>
          <w:p>
            <w:pPr>
              <w:spacing w:after="0"/>
              <w:rPr>
                <w:sz w:val="1"/>
                <w:szCs w:val="1"/>
                <w:color w:val="auto"/>
              </w:rPr>
            </w:pPr>
          </w:p>
        </w:tc>
      </w:tr>
      <w:tr>
        <w:trPr>
          <w:trHeight w:val="285"/>
        </w:trPr>
        <w:tc>
          <w:tcPr>
            <w:tcW w:w="45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Stock-based compensation expense </w:t>
            </w:r>
            <w:r>
              <w:rPr>
                <w:rFonts w:ascii="Times New Roman" w:cs="Times New Roman" w:eastAsia="Times New Roman" w:hAnsi="Times New Roman"/>
                <w:sz w:val="20"/>
                <w:szCs w:val="20"/>
                <w:color w:val="989898"/>
                <w:w w:val="98"/>
              </w:rPr>
              <w:t>................................</w:t>
            </w:r>
          </w:p>
        </w:tc>
        <w:tc>
          <w:tcPr>
            <w:tcW w:w="360" w:type="dxa"/>
            <w:vAlign w:val="bottom"/>
          </w:tcPr>
          <w:p>
            <w:pPr>
              <w:spacing w:after="0"/>
              <w:rPr>
                <w:sz w:val="24"/>
                <w:szCs w:val="24"/>
                <w:color w:val="auto"/>
              </w:rPr>
            </w:pP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5,080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22,567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12,942</w:t>
            </w:r>
          </w:p>
        </w:tc>
        <w:tc>
          <w:tcPr>
            <w:tcW w:w="0" w:type="dxa"/>
            <w:vAlign w:val="bottom"/>
          </w:tcPr>
          <w:p>
            <w:pPr>
              <w:spacing w:after="0"/>
              <w:rPr>
                <w:sz w:val="1"/>
                <w:szCs w:val="1"/>
                <w:color w:val="auto"/>
              </w:rPr>
            </w:pPr>
          </w:p>
        </w:tc>
      </w:tr>
      <w:tr>
        <w:trPr>
          <w:trHeight w:val="285"/>
        </w:trPr>
        <w:tc>
          <w:tcPr>
            <w:tcW w:w="45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Restructuring expense (1) </w:t>
            </w:r>
            <w:r>
              <w:rPr>
                <w:rFonts w:ascii="Times New Roman" w:cs="Times New Roman" w:eastAsia="Times New Roman" w:hAnsi="Times New Roman"/>
                <w:sz w:val="20"/>
                <w:szCs w:val="20"/>
                <w:color w:val="989898"/>
                <w:w w:val="98"/>
              </w:rPr>
              <w:t>...............................................</w:t>
            </w:r>
          </w:p>
        </w:tc>
        <w:tc>
          <w:tcPr>
            <w:tcW w:w="360" w:type="dxa"/>
            <w:vAlign w:val="bottom"/>
          </w:tcPr>
          <w:p>
            <w:pPr>
              <w:spacing w:after="0"/>
              <w:rPr>
                <w:sz w:val="24"/>
                <w:szCs w:val="24"/>
                <w:color w:val="auto"/>
              </w:rPr>
            </w:pP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1,926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1"/>
        </w:trPr>
        <w:tc>
          <w:tcPr>
            <w:tcW w:w="4500" w:type="dxa"/>
            <w:vAlign w:val="bottom"/>
          </w:tcPr>
          <w:p>
            <w:pPr>
              <w:jc w:val="right"/>
              <w:spacing w:after="0" w:line="291" w:lineRule="exact"/>
              <w:rPr>
                <w:sz w:val="20"/>
                <w:szCs w:val="20"/>
                <w:color w:val="auto"/>
              </w:rPr>
            </w:pPr>
            <w:r>
              <w:rPr>
                <w:rFonts w:ascii="Times New Roman" w:cs="Times New Roman" w:eastAsia="Times New Roman" w:hAnsi="Times New Roman"/>
                <w:sz w:val="20"/>
                <w:szCs w:val="20"/>
                <w:color w:val="auto"/>
                <w:w w:val="97"/>
              </w:rPr>
              <w:t xml:space="preserve">Labor costs due to laboratory move </w:t>
            </w:r>
            <w:r>
              <w:rPr>
                <w:rFonts w:ascii="Times New Roman" w:cs="Times New Roman" w:eastAsia="Times New Roman" w:hAnsi="Times New Roman"/>
                <w:sz w:val="26"/>
                <w:szCs w:val="26"/>
                <w:color w:val="auto"/>
                <w:w w:val="97"/>
                <w:vertAlign w:val="superscript"/>
              </w:rPr>
              <w:t>(2)</w:t>
            </w:r>
            <w:r>
              <w:rPr>
                <w:rFonts w:ascii="Times New Roman" w:cs="Times New Roman" w:eastAsia="Times New Roman" w:hAnsi="Times New Roman"/>
                <w:sz w:val="20"/>
                <w:szCs w:val="20"/>
                <w:color w:val="auto"/>
                <w:w w:val="97"/>
              </w:rPr>
              <w:t xml:space="preserve"> </w:t>
            </w:r>
            <w:r>
              <w:rPr>
                <w:rFonts w:ascii="Times New Roman" w:cs="Times New Roman" w:eastAsia="Times New Roman" w:hAnsi="Times New Roman"/>
                <w:sz w:val="20"/>
                <w:szCs w:val="20"/>
                <w:color w:val="989898"/>
                <w:w w:val="97"/>
              </w:rPr>
              <w:t>............................</w:t>
            </w:r>
          </w:p>
        </w:tc>
        <w:tc>
          <w:tcPr>
            <w:tcW w:w="360" w:type="dxa"/>
            <w:vAlign w:val="bottom"/>
          </w:tcPr>
          <w:p>
            <w:pPr>
              <w:spacing w:after="0"/>
              <w:rPr>
                <w:sz w:val="24"/>
                <w:szCs w:val="24"/>
                <w:color w:val="auto"/>
              </w:rPr>
            </w:pP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16,391</w:t>
            </w:r>
          </w:p>
        </w:tc>
        <w:tc>
          <w:tcPr>
            <w:tcW w:w="0" w:type="dxa"/>
            <w:vAlign w:val="bottom"/>
          </w:tcPr>
          <w:p>
            <w:pPr>
              <w:spacing w:after="0"/>
              <w:rPr>
                <w:sz w:val="1"/>
                <w:szCs w:val="1"/>
                <w:color w:val="auto"/>
              </w:rPr>
            </w:pPr>
          </w:p>
        </w:tc>
      </w:tr>
      <w:tr>
        <w:trPr>
          <w:trHeight w:val="282"/>
        </w:trPr>
        <w:tc>
          <w:tcPr>
            <w:tcW w:w="4500" w:type="dxa"/>
            <w:vAlign w:val="bottom"/>
          </w:tcPr>
          <w:p>
            <w:pPr>
              <w:jc w:val="right"/>
              <w:spacing w:after="0" w:line="282" w:lineRule="exact"/>
              <w:rPr>
                <w:sz w:val="20"/>
                <w:szCs w:val="20"/>
                <w:color w:val="auto"/>
              </w:rPr>
            </w:pPr>
            <w:r>
              <w:rPr>
                <w:rFonts w:ascii="Times New Roman" w:cs="Times New Roman" w:eastAsia="Times New Roman" w:hAnsi="Times New Roman"/>
                <w:sz w:val="20"/>
                <w:szCs w:val="20"/>
                <w:color w:val="auto"/>
                <w:w w:val="98"/>
              </w:rPr>
              <w:t xml:space="preserve">COVID-19 costs </w:t>
            </w:r>
            <w:r>
              <w:rPr>
                <w:rFonts w:ascii="Times New Roman" w:cs="Times New Roman" w:eastAsia="Times New Roman" w:hAnsi="Times New Roman"/>
                <w:sz w:val="26"/>
                <w:szCs w:val="26"/>
                <w:color w:val="auto"/>
                <w:w w:val="98"/>
                <w:vertAlign w:val="superscript"/>
              </w:rPr>
              <w:t>(3)</w:t>
            </w:r>
            <w:r>
              <w:rPr>
                <w:rFonts w:ascii="Times New Roman" w:cs="Times New Roman" w:eastAsia="Times New Roman" w:hAnsi="Times New Roman"/>
                <w:sz w:val="20"/>
                <w:szCs w:val="20"/>
                <w:color w:val="989898"/>
                <w:w w:val="98"/>
              </w:rPr>
              <w:t>..........................................................</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3,179</w:t>
            </w:r>
          </w:p>
        </w:tc>
        <w:tc>
          <w:tcPr>
            <w:tcW w:w="0" w:type="dxa"/>
            <w:vAlign w:val="bottom"/>
          </w:tcPr>
          <w:p>
            <w:pPr>
              <w:spacing w:after="0"/>
              <w:rPr>
                <w:sz w:val="1"/>
                <w:szCs w:val="1"/>
                <w:color w:val="auto"/>
              </w:rPr>
            </w:pPr>
          </w:p>
        </w:tc>
      </w:tr>
      <w:tr>
        <w:trPr>
          <w:trHeight w:val="265"/>
        </w:trPr>
        <w:tc>
          <w:tcPr>
            <w:tcW w:w="4500" w:type="dxa"/>
            <w:vAlign w:val="bottom"/>
          </w:tcPr>
          <w:p>
            <w:pPr>
              <w:jc w:val="right"/>
              <w:spacing w:after="0"/>
              <w:rPr>
                <w:sz w:val="20"/>
                <w:szCs w:val="20"/>
                <w:color w:val="auto"/>
              </w:rPr>
            </w:pPr>
            <w:r>
              <w:rPr>
                <w:rFonts w:ascii="Times New Roman" w:cs="Times New Roman" w:eastAsia="Times New Roman" w:hAnsi="Times New Roman"/>
                <w:sz w:val="20"/>
                <w:szCs w:val="20"/>
                <w:color w:val="989898"/>
              </w:rPr>
              <w:t>..................................................</w:t>
            </w:r>
            <w:r>
              <w:rPr>
                <w:rFonts w:ascii="Times New Roman" w:cs="Times New Roman" w:eastAsia="Times New Roman" w:hAnsi="Times New Roman"/>
                <w:sz w:val="20"/>
                <w:szCs w:val="20"/>
                <w:b w:val="1"/>
                <w:bCs w:val="1"/>
                <w:color w:val="000000"/>
              </w:rPr>
              <w:t>AdjustedGrossProfit</w:t>
            </w: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11,584</w:t>
            </w:r>
          </w:p>
        </w:tc>
        <w:tc>
          <w:tcPr>
            <w:tcW w:w="60" w:type="dxa"/>
            <w:vAlign w:val="bottom"/>
          </w:tcPr>
          <w:p>
            <w:pPr>
              <w:spacing w:after="0"/>
              <w:rPr>
                <w:sz w:val="23"/>
                <w:szCs w:val="23"/>
                <w:color w:val="auto"/>
              </w:rPr>
            </w:pP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20,059</w:t>
            </w:r>
          </w:p>
        </w:tc>
        <w:tc>
          <w:tcPr>
            <w:tcW w:w="60" w:type="dxa"/>
            <w:vAlign w:val="bottom"/>
          </w:tcPr>
          <w:p>
            <w:pPr>
              <w:spacing w:after="0"/>
              <w:rPr>
                <w:sz w:val="23"/>
                <w:szCs w:val="23"/>
                <w:color w:val="auto"/>
              </w:rPr>
            </w:pPr>
          </w:p>
        </w:tc>
        <w:tc>
          <w:tcPr>
            <w:tcW w:w="4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45,593</w:t>
            </w:r>
          </w:p>
        </w:tc>
        <w:tc>
          <w:tcPr>
            <w:tcW w:w="0" w:type="dxa"/>
            <w:vAlign w:val="bottom"/>
          </w:tcPr>
          <w:p>
            <w:pPr>
              <w:spacing w:after="0"/>
              <w:rPr>
                <w:sz w:val="1"/>
                <w:szCs w:val="1"/>
                <w:color w:val="auto"/>
              </w:rPr>
            </w:pPr>
          </w:p>
        </w:tc>
      </w:tr>
      <w:tr>
        <w:trPr>
          <w:trHeight w:val="262"/>
        </w:trPr>
        <w:tc>
          <w:tcPr>
            <w:tcW w:w="4500" w:type="dxa"/>
            <w:vAlign w:val="bottom"/>
          </w:tcPr>
          <w:p>
            <w:pPr>
              <w:jc w:val="right"/>
              <w:spacing w:after="0"/>
              <w:rPr>
                <w:sz w:val="20"/>
                <w:szCs w:val="20"/>
                <w:color w:val="auto"/>
              </w:rPr>
            </w:pPr>
            <w:r>
              <w:rPr>
                <w:rFonts w:ascii="Times New Roman" w:cs="Times New Roman" w:eastAsia="Times New Roman" w:hAnsi="Times New Roman"/>
                <w:sz w:val="20"/>
                <w:szCs w:val="20"/>
                <w:color w:val="989898"/>
              </w:rPr>
              <w:t>...............................................</w:t>
            </w:r>
            <w:r>
              <w:rPr>
                <w:rFonts w:ascii="Times New Roman" w:cs="Times New Roman" w:eastAsia="Times New Roman" w:hAnsi="Times New Roman"/>
                <w:sz w:val="20"/>
                <w:szCs w:val="20"/>
                <w:b w:val="1"/>
                <w:bCs w:val="1"/>
                <w:color w:val="000000"/>
              </w:rPr>
              <w:t>AdjustedGrossMargin</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5 %</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9 %</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-2175510</wp:posOffset>
            </wp:positionV>
            <wp:extent cx="5969000" cy="2197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extLst>
                    </a:blip>
                    <a:srcRect/>
                    <a:stretch>
                      <a:fillRect/>
                    </a:stretch>
                  </pic:blipFill>
                  <pic:spPr bwMode="auto">
                    <a:xfrm>
                      <a:off x="0" y="0"/>
                      <a:ext cx="5969000" cy="2197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2895600</wp:posOffset>
                </wp:positionH>
                <wp:positionV relativeFrom="paragraph">
                  <wp:posOffset>-2363470</wp:posOffset>
                </wp:positionV>
                <wp:extent cx="30480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0"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pt,-186.0999pt" to="468pt,-186.0999pt" o:allowincell="f" strokecolor="#111111" strokeweight="0pt"/>
            </w:pict>
          </mc:Fallback>
        </mc:AlternateContent>
        <mc:AlternateContent>
          <mc:Choice Requires="wps">
            <w:drawing>
              <wp:anchor simplePos="0" relativeHeight="251657728" behindDoc="1" locked="0" layoutInCell="0" allowOverlap="1">
                <wp:simplePos x="0" y="0"/>
                <wp:positionH relativeFrom="column">
                  <wp:posOffset>2895600</wp:posOffset>
                </wp:positionH>
                <wp:positionV relativeFrom="paragraph">
                  <wp:posOffset>-2163445</wp:posOffset>
                </wp:positionV>
                <wp:extent cx="30480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0"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pt,-170.3499pt" to="468pt,-170.3499pt" o:allowincell="f" strokecolor="#111111" strokeweight="0pt"/>
            </w:pict>
          </mc:Fallback>
        </mc:AlternateContent>
        <mc:AlternateContent>
          <mc:Choice Requires="wps">
            <w:drawing>
              <wp:anchor simplePos="0" relativeHeight="251657728" behindDoc="1" locked="0" layoutInCell="0" allowOverlap="1">
                <wp:simplePos x="0" y="0"/>
                <wp:positionH relativeFrom="column">
                  <wp:posOffset>2895600</wp:posOffset>
                </wp:positionH>
                <wp:positionV relativeFrom="paragraph">
                  <wp:posOffset>-1801495</wp:posOffset>
                </wp:positionV>
                <wp:extent cx="9906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0600"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pt,-141.8499pt" to="306pt,-141.8499pt" o:allowincell="f" strokecolor="#111111" strokeweight="0pt"/>
            </w:pict>
          </mc:Fallback>
        </mc:AlternateContent>
        <mc:AlternateContent>
          <mc:Choice Requires="wps">
            <w:drawing>
              <wp:anchor simplePos="0" relativeHeight="251657728" behindDoc="1" locked="0" layoutInCell="0" allowOverlap="1">
                <wp:simplePos x="0" y="0"/>
                <wp:positionH relativeFrom="column">
                  <wp:posOffset>3924300</wp:posOffset>
                </wp:positionH>
                <wp:positionV relativeFrom="paragraph">
                  <wp:posOffset>-1801495</wp:posOffset>
                </wp:positionV>
                <wp:extent cx="9906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0600"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pt,-141.8499pt" to="387pt,-141.8499pt" o:allowincell="f" strokecolor="#111111" strokeweight="0pt"/>
            </w:pict>
          </mc:Fallback>
        </mc:AlternateContent>
        <mc:AlternateContent>
          <mc:Choice Requires="wps">
            <w:drawing>
              <wp:anchor simplePos="0" relativeHeight="251657728" behindDoc="1" locked="0" layoutInCell="0" allowOverlap="1">
                <wp:simplePos x="0" y="0"/>
                <wp:positionH relativeFrom="column">
                  <wp:posOffset>4953000</wp:posOffset>
                </wp:positionH>
                <wp:positionV relativeFrom="paragraph">
                  <wp:posOffset>-1801495</wp:posOffset>
                </wp:positionV>
                <wp:extent cx="9906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0600"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pt,-141.8499pt" to="468pt,-141.8499pt" o:allowincell="f" strokecolor="#111111" strokeweight="0pt"/>
            </w:pict>
          </mc:Fallback>
        </mc:AlternateContent>
        <mc:AlternateContent>
          <mc:Choice Requires="wps">
            <w:drawing>
              <wp:anchor simplePos="0" relativeHeight="251657728" behindDoc="1" locked="0" layoutInCell="0" allowOverlap="1">
                <wp:simplePos x="0" y="0"/>
                <wp:positionH relativeFrom="column">
                  <wp:posOffset>2895600</wp:posOffset>
                </wp:positionH>
                <wp:positionV relativeFrom="paragraph">
                  <wp:posOffset>-1620520</wp:posOffset>
                </wp:positionV>
                <wp:extent cx="9906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0600"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pt,-127.5999pt" to="306pt,-127.5999pt" o:allowincell="f" strokecolor="#111111" strokeweight="0pt"/>
            </w:pict>
          </mc:Fallback>
        </mc:AlternateContent>
        <mc:AlternateContent>
          <mc:Choice Requires="wps">
            <w:drawing>
              <wp:anchor simplePos="0" relativeHeight="251657728" behindDoc="1" locked="0" layoutInCell="0" allowOverlap="1">
                <wp:simplePos x="0" y="0"/>
                <wp:positionH relativeFrom="column">
                  <wp:posOffset>3924300</wp:posOffset>
                </wp:positionH>
                <wp:positionV relativeFrom="paragraph">
                  <wp:posOffset>-1620520</wp:posOffset>
                </wp:positionV>
                <wp:extent cx="9906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0600"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pt,-127.5999pt" to="387pt,-127.5999pt" o:allowincell="f" strokecolor="#111111" strokeweight="0pt"/>
            </w:pict>
          </mc:Fallback>
        </mc:AlternateContent>
        <mc:AlternateContent>
          <mc:Choice Requires="wps">
            <w:drawing>
              <wp:anchor simplePos="0" relativeHeight="251657728" behindDoc="1" locked="0" layoutInCell="0" allowOverlap="1">
                <wp:simplePos x="0" y="0"/>
                <wp:positionH relativeFrom="column">
                  <wp:posOffset>4953000</wp:posOffset>
                </wp:positionH>
                <wp:positionV relativeFrom="paragraph">
                  <wp:posOffset>-1620520</wp:posOffset>
                </wp:positionV>
                <wp:extent cx="99060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0600"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pt,-127.5999pt" to="468pt,-127.5999pt" o:allowincell="f" strokecolor="#111111" strokeweight="0pt"/>
            </w:pict>
          </mc:Fallback>
        </mc:AlternateContent>
        <mc:AlternateContent>
          <mc:Choice Requires="wps">
            <w:drawing>
              <wp:anchor simplePos="0" relativeHeight="251657728" behindDoc="1" locked="0" layoutInCell="0" allowOverlap="1">
                <wp:simplePos x="0" y="0"/>
                <wp:positionH relativeFrom="column">
                  <wp:posOffset>2895600</wp:posOffset>
                </wp:positionH>
                <wp:positionV relativeFrom="paragraph">
                  <wp:posOffset>-353695</wp:posOffset>
                </wp:positionV>
                <wp:extent cx="9906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0600"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pt,-27.8499pt" to="306pt,-27.8499pt" o:allowincell="f" strokecolor="#111111" strokeweight="0pt"/>
            </w:pict>
          </mc:Fallback>
        </mc:AlternateContent>
        <mc:AlternateContent>
          <mc:Choice Requires="wps">
            <w:drawing>
              <wp:anchor simplePos="0" relativeHeight="251657728" behindDoc="1" locked="0" layoutInCell="0" allowOverlap="1">
                <wp:simplePos x="0" y="0"/>
                <wp:positionH relativeFrom="column">
                  <wp:posOffset>3924300</wp:posOffset>
                </wp:positionH>
                <wp:positionV relativeFrom="paragraph">
                  <wp:posOffset>-353695</wp:posOffset>
                </wp:positionV>
                <wp:extent cx="9906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0600"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pt,-27.8499pt" to="387pt,-27.8499pt" o:allowincell="f" strokecolor="#111111" strokeweight="0pt"/>
            </w:pict>
          </mc:Fallback>
        </mc:AlternateContent>
        <mc:AlternateContent>
          <mc:Choice Requires="wps">
            <w:drawing>
              <wp:anchor simplePos="0" relativeHeight="251657728" behindDoc="1" locked="0" layoutInCell="0" allowOverlap="1">
                <wp:simplePos x="0" y="0"/>
                <wp:positionH relativeFrom="column">
                  <wp:posOffset>4953000</wp:posOffset>
                </wp:positionH>
                <wp:positionV relativeFrom="paragraph">
                  <wp:posOffset>-353695</wp:posOffset>
                </wp:positionV>
                <wp:extent cx="9906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0600"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pt,-27.8499pt" to="468pt,-27.8499pt" o:allowincell="f" strokecolor="#111111" strokeweight="0pt"/>
            </w:pict>
          </mc:Fallback>
        </mc:AlternateContent>
        <mc:AlternateContent>
          <mc:Choice Requires="wps">
            <w:drawing>
              <wp:anchor simplePos="0" relativeHeight="251657728" behindDoc="1" locked="0" layoutInCell="0" allowOverlap="1">
                <wp:simplePos x="0" y="0"/>
                <wp:positionH relativeFrom="column">
                  <wp:posOffset>2895600</wp:posOffset>
                </wp:positionH>
                <wp:positionV relativeFrom="paragraph">
                  <wp:posOffset>-172720</wp:posOffset>
                </wp:positionV>
                <wp:extent cx="9906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0600"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pt,-13.5999pt" to="306pt,-13.5999pt" o:allowincell="f" strokecolor="#111111" strokeweight="0pt"/>
            </w:pict>
          </mc:Fallback>
        </mc:AlternateContent>
        <mc:AlternateContent>
          <mc:Choice Requires="wps">
            <w:drawing>
              <wp:anchor simplePos="0" relativeHeight="251657728" behindDoc="1" locked="0" layoutInCell="0" allowOverlap="1">
                <wp:simplePos x="0" y="0"/>
                <wp:positionH relativeFrom="column">
                  <wp:posOffset>3924300</wp:posOffset>
                </wp:positionH>
                <wp:positionV relativeFrom="paragraph">
                  <wp:posOffset>-172720</wp:posOffset>
                </wp:positionV>
                <wp:extent cx="9906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0600"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pt,-13.5999pt" to="387pt,-13.5999pt" o:allowincell="f" strokecolor="#111111" strokeweight="0pt"/>
            </w:pict>
          </mc:Fallback>
        </mc:AlternateContent>
        <mc:AlternateContent>
          <mc:Choice Requires="wps">
            <w:drawing>
              <wp:anchor simplePos="0" relativeHeight="251657728" behindDoc="1" locked="0" layoutInCell="0" allowOverlap="1">
                <wp:simplePos x="0" y="0"/>
                <wp:positionH relativeFrom="column">
                  <wp:posOffset>4953000</wp:posOffset>
                </wp:positionH>
                <wp:positionV relativeFrom="paragraph">
                  <wp:posOffset>-172720</wp:posOffset>
                </wp:positionV>
                <wp:extent cx="9906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0600"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pt,-13.5999pt" to="468pt,-13.5999pt" o:allowincell="f" strokecolor="#111111" strokeweight="0pt"/>
            </w:pict>
          </mc:Fallback>
        </mc:AlternateConten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ind w:left="360" w:right="380" w:hanging="360"/>
        <w:spacing w:after="0" w:line="250" w:lineRule="auto"/>
        <w:tabs>
          <w:tab w:leader="none" w:pos="3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for restructuring activities, which include severance packages offered to impacted employees and third party consulting costs incurred during 2022.</w:t>
      </w:r>
    </w:p>
    <w:p>
      <w:pPr>
        <w:ind w:left="360" w:right="60" w:hanging="360"/>
        <w:spacing w:after="0" w:line="253" w:lineRule="auto"/>
        <w:tabs>
          <w:tab w:leader="none" w:pos="3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labor costs in respect of laboratory employees' time spent to support our laboratory move from New York City to Stamford, Connecticut in 2020. During the move, our laboratory employees dedicated their time to re-validating and re-establishing instruments and equipment, rebuilding interface, obtaining a CLIA license, and other tasks to make sure the move was done correctly. For GAAP purposes we included these activities in Cost of Services. However, as the laboratory move and effort spent by our employees are one-time activities, we adjusted our Gross Profit to reflect management’s view of our normal operations.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360"/>
          </w:cols>
          <w:pgMar w:left="1440" w:top="1378" w:right="1440" w:bottom="0" w:gutter="0" w:footer="0" w:header="0"/>
          <w:type w:val="continuous"/>
        </w:sectPr>
      </w:pPr>
    </w:p>
    <w:bookmarkStart w:id="88" w:name="page89"/>
    <w:bookmarkEnd w:id="88"/>
    <w:p>
      <w:pPr>
        <w:ind w:left="360" w:hanging="360"/>
        <w:spacing w:after="0" w:line="261" w:lineRule="auto"/>
        <w:tabs>
          <w:tab w:leader="none" w:pos="3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EBITDA</w:t>
      </w:r>
    </w:p>
    <w:p>
      <w:pPr>
        <w:spacing w:after="0" w:line="21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Adjusted EBITDA is a non-GAAP financial measure that we define as net loss adjusted for interest expense (income), net, depreciation and amortization, stock-based compensation expenses, transaction costs, other (income) expense, net, COVID-19 costs, impairment loss, restructuring and business exit related charges, acquisition costs and change in fair market value of warrant and earn-out contingent liabilities. We believe Adjusted EBITDA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pacing w:after="0" w:line="210"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111111"/>
        </w:rPr>
        <w:t>The following is a reconciliation of our net loss to Adjusted EBITDA for the years ended December 31, 2022, 20</w:t>
      </w:r>
      <w:r>
        <w:rPr>
          <w:rFonts w:ascii="Times New Roman" w:cs="Times New Roman" w:eastAsia="Times New Roman" w:hAnsi="Times New Roman"/>
          <w:sz w:val="20"/>
          <w:szCs w:val="20"/>
          <w:color w:val="000000"/>
        </w:rPr>
        <w:t>21</w:t>
      </w:r>
      <w:r>
        <w:rPr>
          <w:rFonts w:ascii="Times New Roman" w:cs="Times New Roman" w:eastAsia="Times New Roman" w:hAnsi="Times New Roman"/>
          <w:sz w:val="20"/>
          <w:szCs w:val="20"/>
          <w:color w:val="111111"/>
        </w:rPr>
        <w:t xml:space="preserve">, and 2020 </w:t>
      </w:r>
      <w:r>
        <w:rPr>
          <w:rFonts w:ascii="Times New Roman" w:cs="Times New Roman" w:eastAsia="Times New Roman" w:hAnsi="Times New Roman"/>
          <w:sz w:val="20"/>
          <w:szCs w:val="20"/>
          <w:color w:val="000000"/>
        </w:rPr>
        <w:t>(in thousands)</w:t>
      </w:r>
      <w:r>
        <w:rPr>
          <w:rFonts w:ascii="Times New Roman" w:cs="Times New Roman" w:eastAsia="Times New Roman" w:hAnsi="Times New Roman"/>
          <w:sz w:val="20"/>
          <w:szCs w:val="20"/>
          <w:color w:val="111111"/>
        </w:rPr>
        <w:t>:</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62"/>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Net loss </w:t>
            </w:r>
            <w:r>
              <w:rPr>
                <w:rFonts w:ascii="Times New Roman" w:cs="Times New Roman" w:eastAsia="Times New Roman" w:hAnsi="Times New Roman"/>
                <w:sz w:val="20"/>
                <w:szCs w:val="20"/>
                <w:color w:val="989898"/>
                <w:w w:val="99"/>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(548,980)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(245,390)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(241,340)</w:t>
            </w:r>
          </w:p>
        </w:tc>
        <w:tc>
          <w:tcPr>
            <w:tcW w:w="0" w:type="dxa"/>
            <w:vAlign w:val="bottom"/>
          </w:tcPr>
          <w:p>
            <w:pPr>
              <w:spacing w:after="0"/>
              <w:rPr>
                <w:sz w:val="1"/>
                <w:szCs w:val="1"/>
                <w:color w:val="auto"/>
              </w:rPr>
            </w:pPr>
          </w:p>
        </w:tc>
      </w:tr>
      <w:tr>
        <w:trPr>
          <w:trHeight w:val="310"/>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8"/>
              </w:rPr>
              <w:t xml:space="preserve">Interest expense (income), net </w:t>
            </w:r>
            <w:r>
              <w:rPr>
                <w:rFonts w:ascii="Times New Roman" w:cs="Times New Roman" w:eastAsia="Times New Roman" w:hAnsi="Times New Roman"/>
                <w:sz w:val="26"/>
                <w:szCs w:val="26"/>
                <w:color w:val="auto"/>
                <w:w w:val="98"/>
                <w:vertAlign w:val="superscript"/>
              </w:rPr>
              <w:t>(1)</w:t>
            </w:r>
            <w:r>
              <w:rPr>
                <w:rFonts w:ascii="Times New Roman" w:cs="Times New Roman" w:eastAsia="Times New Roman" w:hAnsi="Times New Roman"/>
                <w:sz w:val="20"/>
                <w:szCs w:val="20"/>
                <w:color w:val="auto"/>
                <w:w w:val="98"/>
              </w:rPr>
              <w:t xml:space="preserve"> </w:t>
            </w:r>
            <w:r>
              <w:rPr>
                <w:rFonts w:ascii="Times New Roman" w:cs="Times New Roman" w:eastAsia="Times New Roman" w:hAnsi="Times New Roman"/>
                <w:sz w:val="20"/>
                <w:szCs w:val="20"/>
                <w:color w:val="989898"/>
                <w:w w:val="98"/>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1,968</w:t>
            </w:r>
          </w:p>
        </w:tc>
        <w:tc>
          <w:tcPr>
            <w:tcW w:w="0" w:type="dxa"/>
            <w:vAlign w:val="bottom"/>
          </w:tcPr>
          <w:p>
            <w:pPr>
              <w:spacing w:after="0"/>
              <w:rPr>
                <w:sz w:val="1"/>
                <w:szCs w:val="1"/>
                <w:color w:val="auto"/>
              </w:rPr>
            </w:pPr>
          </w:p>
        </w:tc>
      </w:tr>
      <w:tr>
        <w:trPr>
          <w:trHeight w:val="260"/>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Income tax benefit </w:t>
            </w:r>
            <w:r>
              <w:rPr>
                <w:rFonts w:ascii="Times New Roman" w:cs="Times New Roman" w:eastAsia="Times New Roman" w:hAnsi="Times New Roman"/>
                <w:sz w:val="20"/>
                <w:szCs w:val="20"/>
                <w:color w:val="989898"/>
                <w:w w:val="99"/>
              </w:rPr>
              <w: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(49,052)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Depreciation and amortization </w:t>
            </w:r>
            <w:r>
              <w:rPr>
                <w:rFonts w:ascii="Times New Roman" w:cs="Times New Roman" w:eastAsia="Times New Roman" w:hAnsi="Times New Roman"/>
                <w:sz w:val="20"/>
                <w:szCs w:val="20"/>
                <w:color w:val="989898"/>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59,309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21,807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11,734</w:t>
            </w:r>
          </w:p>
        </w:tc>
        <w:tc>
          <w:tcPr>
            <w:tcW w:w="0" w:type="dxa"/>
            <w:vAlign w:val="bottom"/>
          </w:tcPr>
          <w:p>
            <w:pPr>
              <w:spacing w:after="0"/>
              <w:rPr>
                <w:sz w:val="1"/>
                <w:szCs w:val="1"/>
                <w:color w:val="auto"/>
              </w:rPr>
            </w:pP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Stock-based compensation expense </w:t>
            </w:r>
            <w:r>
              <w:rPr>
                <w:rFonts w:ascii="Times New Roman" w:cs="Times New Roman" w:eastAsia="Times New Roman" w:hAnsi="Times New Roman"/>
                <w:sz w:val="20"/>
                <w:szCs w:val="20"/>
                <w:color w:val="989898"/>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41,975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219,421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120,231</w:t>
            </w:r>
          </w:p>
        </w:tc>
        <w:tc>
          <w:tcPr>
            <w:tcW w:w="0" w:type="dxa"/>
            <w:vAlign w:val="bottom"/>
          </w:tcPr>
          <w:p>
            <w:pPr>
              <w:spacing w:after="0"/>
              <w:rPr>
                <w:sz w:val="1"/>
                <w:szCs w:val="1"/>
                <w:color w:val="auto"/>
              </w:rPr>
            </w:pPr>
          </w:p>
        </w:tc>
      </w:tr>
      <w:tr>
        <w:trPr>
          <w:trHeight w:val="291"/>
        </w:trPr>
        <w:tc>
          <w:tcPr>
            <w:tcW w:w="5260" w:type="dxa"/>
            <w:vAlign w:val="bottom"/>
          </w:tcPr>
          <w:p>
            <w:pPr>
              <w:spacing w:after="0" w:line="291" w:lineRule="exact"/>
              <w:rPr>
                <w:sz w:val="20"/>
                <w:szCs w:val="20"/>
                <w:color w:val="auto"/>
              </w:rPr>
            </w:pPr>
            <w:r>
              <w:rPr>
                <w:rFonts w:ascii="Times New Roman" w:cs="Times New Roman" w:eastAsia="Times New Roman" w:hAnsi="Times New Roman"/>
                <w:sz w:val="20"/>
                <w:szCs w:val="20"/>
                <w:color w:val="auto"/>
                <w:w w:val="98"/>
              </w:rPr>
              <w:t xml:space="preserve">Impairment loss </w:t>
            </w:r>
            <w:r>
              <w:rPr>
                <w:rFonts w:ascii="Times New Roman" w:cs="Times New Roman" w:eastAsia="Times New Roman" w:hAnsi="Times New Roman"/>
                <w:sz w:val="26"/>
                <w:szCs w:val="26"/>
                <w:color w:val="auto"/>
                <w:w w:val="98"/>
                <w:vertAlign w:val="superscript"/>
              </w:rPr>
              <w:t>(2)</w:t>
            </w:r>
            <w:r>
              <w:rPr>
                <w:rFonts w:ascii="Times New Roman" w:cs="Times New Roman" w:eastAsia="Times New Roman" w:hAnsi="Times New Roman"/>
                <w:sz w:val="20"/>
                <w:szCs w:val="20"/>
                <w:color w:val="auto"/>
                <w:w w:val="98"/>
              </w:rPr>
              <w:t xml:space="preserve"> </w:t>
            </w:r>
            <w:r>
              <w:rPr>
                <w:rFonts w:ascii="Times New Roman" w:cs="Times New Roman" w:eastAsia="Times New Roman" w:hAnsi="Times New Roman"/>
                <w:sz w:val="20"/>
                <w:szCs w:val="20"/>
                <w:color w:val="989898"/>
                <w:w w:val="98"/>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210,145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26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w w:val="98"/>
              </w:rPr>
              <w:t xml:space="preserve">Restructuring and other business exit transaction costs </w:t>
            </w:r>
            <w:r>
              <w:rPr>
                <w:rFonts w:ascii="Times New Roman" w:cs="Times New Roman" w:eastAsia="Times New Roman" w:hAnsi="Times New Roman"/>
                <w:sz w:val="26"/>
                <w:szCs w:val="26"/>
                <w:color w:val="auto"/>
                <w:w w:val="98"/>
                <w:vertAlign w:val="superscript"/>
              </w:rPr>
              <w:t>(3)</w:t>
            </w:r>
            <w:r>
              <w:rPr>
                <w:rFonts w:ascii="Times New Roman" w:cs="Times New Roman" w:eastAsia="Times New Roman" w:hAnsi="Times New Roman"/>
                <w:sz w:val="20"/>
                <w:szCs w:val="20"/>
                <w:color w:val="auto"/>
                <w:w w:val="98"/>
              </w:rPr>
              <w:t xml:space="preserve"> </w:t>
            </w:r>
            <w:r>
              <w:rPr>
                <w:rFonts w:ascii="Times New Roman" w:cs="Times New Roman" w:eastAsia="Times New Roman" w:hAnsi="Times New Roman"/>
                <w:sz w:val="20"/>
                <w:szCs w:val="20"/>
                <w:color w:val="989898"/>
                <w:w w:val="98"/>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25,810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26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w w:val="98"/>
              </w:rPr>
              <w:t xml:space="preserve">Transaction, acquisition and business acquisition costs </w:t>
            </w:r>
            <w:r>
              <w:rPr>
                <w:rFonts w:ascii="Times New Roman" w:cs="Times New Roman" w:eastAsia="Times New Roman" w:hAnsi="Times New Roman"/>
                <w:sz w:val="26"/>
                <w:szCs w:val="26"/>
                <w:color w:val="auto"/>
                <w:w w:val="98"/>
                <w:vertAlign w:val="superscript"/>
              </w:rPr>
              <w:t>(4)</w:t>
            </w:r>
            <w:r>
              <w:rPr>
                <w:rFonts w:ascii="Times New Roman" w:cs="Times New Roman" w:eastAsia="Times New Roman" w:hAnsi="Times New Roman"/>
                <w:sz w:val="20"/>
                <w:szCs w:val="20"/>
                <w:color w:val="auto"/>
                <w:w w:val="98"/>
              </w:rPr>
              <w:t xml:space="preserve"> </w:t>
            </w:r>
            <w:r>
              <w:rPr>
                <w:rFonts w:ascii="Times New Roman" w:cs="Times New Roman" w:eastAsia="Times New Roman" w:hAnsi="Times New Roman"/>
                <w:sz w:val="20"/>
                <w:szCs w:val="20"/>
                <w:color w:val="989898"/>
                <w:w w:val="98"/>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13,436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26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w w:val="99"/>
              </w:rPr>
              <w:t xml:space="preserve">Other (income) expense, net </w:t>
            </w:r>
            <w:r>
              <w:rPr>
                <w:rFonts w:ascii="Times New Roman" w:cs="Times New Roman" w:eastAsia="Times New Roman" w:hAnsi="Times New Roman"/>
                <w:sz w:val="26"/>
                <w:szCs w:val="26"/>
                <w:color w:val="auto"/>
                <w:w w:val="99"/>
                <w:vertAlign w:val="superscript"/>
              </w:rPr>
              <w:t>(5)</w:t>
            </w:r>
            <w:r>
              <w:rPr>
                <w:rFonts w:ascii="Times New Roman" w:cs="Times New Roman" w:eastAsia="Times New Roman" w:hAnsi="Times New Roman"/>
                <w:sz w:val="20"/>
                <w:szCs w:val="20"/>
                <w:color w:val="989898"/>
                <w:w w:val="99"/>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(2,622)</w:t>
            </w:r>
          </w:p>
        </w:tc>
        <w:tc>
          <w:tcPr>
            <w:tcW w:w="0" w:type="dxa"/>
            <w:vAlign w:val="bottom"/>
          </w:tcPr>
          <w:p>
            <w:pPr>
              <w:spacing w:after="0"/>
              <w:rPr>
                <w:sz w:val="1"/>
                <w:szCs w:val="1"/>
                <w:color w:val="auto"/>
              </w:rPr>
            </w:pPr>
          </w:p>
        </w:tc>
      </w:tr>
      <w:tr>
        <w:trPr>
          <w:trHeight w:val="284"/>
        </w:trPr>
        <w:tc>
          <w:tcPr>
            <w:tcW w:w="5260" w:type="dxa"/>
            <w:vAlign w:val="bottom"/>
          </w:tcPr>
          <w:p>
            <w:pPr>
              <w:spacing w:after="0" w:line="283" w:lineRule="exact"/>
              <w:rPr>
                <w:sz w:val="20"/>
                <w:szCs w:val="20"/>
                <w:color w:val="auto"/>
              </w:rPr>
            </w:pPr>
            <w:r>
              <w:rPr>
                <w:rFonts w:ascii="Times New Roman" w:cs="Times New Roman" w:eastAsia="Times New Roman" w:hAnsi="Times New Roman"/>
                <w:sz w:val="20"/>
                <w:szCs w:val="20"/>
                <w:color w:val="auto"/>
                <w:w w:val="98"/>
              </w:rPr>
              <w:t xml:space="preserve">COVID-19 costs </w:t>
            </w:r>
            <w:r>
              <w:rPr>
                <w:rFonts w:ascii="Times New Roman" w:cs="Times New Roman" w:eastAsia="Times New Roman" w:hAnsi="Times New Roman"/>
                <w:sz w:val="26"/>
                <w:szCs w:val="26"/>
                <w:color w:val="auto"/>
                <w:w w:val="98"/>
                <w:vertAlign w:val="superscript"/>
              </w:rPr>
              <w:t>(6)</w:t>
            </w:r>
            <w:r>
              <w:rPr>
                <w:rFonts w:ascii="Times New Roman" w:cs="Times New Roman" w:eastAsia="Times New Roman" w:hAnsi="Times New Roman"/>
                <w:sz w:val="20"/>
                <w:szCs w:val="20"/>
                <w:color w:val="auto"/>
                <w:w w:val="98"/>
              </w:rPr>
              <w:t xml:space="preserve"> </w:t>
            </w:r>
            <w:r>
              <w:rPr>
                <w:rFonts w:ascii="Times New Roman" w:cs="Times New Roman" w:eastAsia="Times New Roman" w:hAnsi="Times New Roman"/>
                <w:sz w:val="20"/>
                <w:szCs w:val="20"/>
                <w:color w:val="989898"/>
                <w:w w:val="98"/>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3,179</w:t>
            </w:r>
          </w:p>
        </w:tc>
        <w:tc>
          <w:tcPr>
            <w:tcW w:w="0" w:type="dxa"/>
            <w:vAlign w:val="bottom"/>
          </w:tcPr>
          <w:p>
            <w:pPr>
              <w:spacing w:after="0"/>
              <w:rPr>
                <w:sz w:val="1"/>
                <w:szCs w:val="1"/>
                <w:color w:val="auto"/>
              </w:rPr>
            </w:pPr>
          </w:p>
        </w:tc>
      </w:tr>
      <w:tr>
        <w:trPr>
          <w:trHeight w:val="200"/>
        </w:trPr>
        <w:tc>
          <w:tcPr>
            <w:tcW w:w="52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Change in fair market value of warrant and earn-out contingent</w:t>
            </w:r>
          </w:p>
        </w:tc>
        <w:tc>
          <w:tcPr>
            <w:tcW w:w="2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(70,229)</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(198,401)</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5260" w:type="dxa"/>
            <w:vAlign w:val="bottom"/>
          </w:tcPr>
          <w:p>
            <w:pPr>
              <w:spacing w:after="0" w:line="263" w:lineRule="exact"/>
              <w:rPr>
                <w:sz w:val="20"/>
                <w:szCs w:val="20"/>
                <w:color w:val="auto"/>
              </w:rPr>
            </w:pPr>
            <w:r>
              <w:rPr>
                <w:rFonts w:ascii="Times New Roman" w:cs="Times New Roman" w:eastAsia="Times New Roman" w:hAnsi="Times New Roman"/>
                <w:sz w:val="20"/>
                <w:szCs w:val="20"/>
                <w:color w:val="auto"/>
                <w:w w:val="99"/>
              </w:rPr>
              <w:t xml:space="preserve">liabilities </w:t>
            </w:r>
            <w:r>
              <w:rPr>
                <w:rFonts w:ascii="Times New Roman" w:cs="Times New Roman" w:eastAsia="Times New Roman" w:hAnsi="Times New Roman"/>
                <w:sz w:val="26"/>
                <w:szCs w:val="26"/>
                <w:color w:val="auto"/>
                <w:w w:val="99"/>
                <w:vertAlign w:val="superscript"/>
              </w:rPr>
              <w:t>(7)</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color w:val="989898"/>
                <w:w w:val="99"/>
              </w:rPr>
              <w:t>....................................................................................</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26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99"/>
              </w:rPr>
              <w:t xml:space="preserve">Adjusted EBITDA </w:t>
            </w:r>
            <w:r>
              <w:rPr>
                <w:rFonts w:ascii="Times New Roman" w:cs="Times New Roman" w:eastAsia="Times New Roman" w:hAnsi="Times New Roman"/>
                <w:sz w:val="20"/>
                <w:szCs w:val="20"/>
                <w:color w:val="989898"/>
                <w:w w:val="99"/>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(316,977)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(199,602)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(106,850)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3381375</wp:posOffset>
                </wp:positionH>
                <wp:positionV relativeFrom="paragraph">
                  <wp:posOffset>-2457450</wp:posOffset>
                </wp:positionV>
                <wp:extent cx="239077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90775"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25pt,-193.4999pt" to="454.5pt,-193.4999pt" o:allowincell="f" strokecolor="#111111" strokeweight="0pt"/>
            </w:pict>
          </mc:Fallback>
        </mc:AlternateContent>
        <mc:AlternateContent>
          <mc:Choice Requires="wps">
            <w:drawing>
              <wp:anchor simplePos="0" relativeHeight="251657728" behindDoc="1" locked="0" layoutInCell="0" allowOverlap="1">
                <wp:simplePos x="0" y="0"/>
                <wp:positionH relativeFrom="column">
                  <wp:posOffset>3381375</wp:posOffset>
                </wp:positionH>
                <wp:positionV relativeFrom="paragraph">
                  <wp:posOffset>-2305050</wp:posOffset>
                </wp:positionV>
                <wp:extent cx="77152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1525"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25pt,-181.4999pt" to="327pt,-181.4999pt" o:allowincell="f" strokecolor="#111111" strokeweight="0pt"/>
            </w:pict>
          </mc:Fallback>
        </mc:AlternateContent>
        <mc:AlternateContent>
          <mc:Choice Requires="wps">
            <w:drawing>
              <wp:anchor simplePos="0" relativeHeight="251657728" behindDoc="1" locked="0" layoutInCell="0" allowOverlap="1">
                <wp:simplePos x="0" y="0"/>
                <wp:positionH relativeFrom="column">
                  <wp:posOffset>4191000</wp:posOffset>
                </wp:positionH>
                <wp:positionV relativeFrom="paragraph">
                  <wp:posOffset>-2305050</wp:posOffset>
                </wp:positionV>
                <wp:extent cx="77152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1525"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pt,-181.4999pt" to="390.75pt,-181.4999pt" o:allowincell="f" strokecolor="#111111" strokeweight="0pt"/>
            </w:pict>
          </mc:Fallback>
        </mc:AlternateContent>
        <mc:AlternateContent>
          <mc:Choice Requires="wps">
            <w:drawing>
              <wp:anchor simplePos="0" relativeHeight="251657728" behindDoc="1" locked="0" layoutInCell="0" allowOverlap="1">
                <wp:simplePos x="0" y="0"/>
                <wp:positionH relativeFrom="column">
                  <wp:posOffset>5000625</wp:posOffset>
                </wp:positionH>
                <wp:positionV relativeFrom="paragraph">
                  <wp:posOffset>-2305050</wp:posOffset>
                </wp:positionV>
                <wp:extent cx="77152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1525"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75pt,-181.4999pt" to="454.5pt,-181.4999pt" o:allowincell="f" strokecolor="#111111" strokeweight="0pt"/>
            </w:pict>
          </mc:Fallback>
        </mc:AlternateContent>
        <mc:AlternateContent>
          <mc:Choice Requires="wps">
            <w:drawing>
              <wp:anchor simplePos="0" relativeHeight="251657728" behindDoc="1" locked="0" layoutInCell="0" allowOverlap="1">
                <wp:simplePos x="0" y="0"/>
                <wp:positionH relativeFrom="column">
                  <wp:posOffset>3381375</wp:posOffset>
                </wp:positionH>
                <wp:positionV relativeFrom="paragraph">
                  <wp:posOffset>-200025</wp:posOffset>
                </wp:positionV>
                <wp:extent cx="77152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1525"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25pt,-15.7499pt" to="327pt,-15.7499pt" o:allowincell="f" strokecolor="#111111" strokeweight="0pt"/>
            </w:pict>
          </mc:Fallback>
        </mc:AlternateContent>
        <mc:AlternateContent>
          <mc:Choice Requires="wps">
            <w:drawing>
              <wp:anchor simplePos="0" relativeHeight="251657728" behindDoc="1" locked="0" layoutInCell="0" allowOverlap="1">
                <wp:simplePos x="0" y="0"/>
                <wp:positionH relativeFrom="column">
                  <wp:posOffset>4191000</wp:posOffset>
                </wp:positionH>
                <wp:positionV relativeFrom="paragraph">
                  <wp:posOffset>-200025</wp:posOffset>
                </wp:positionV>
                <wp:extent cx="77152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1525"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pt,-15.7499pt" to="390.75pt,-15.7499pt" o:allowincell="f" strokecolor="#111111" strokeweight="0pt"/>
            </w:pict>
          </mc:Fallback>
        </mc:AlternateContent>
        <mc:AlternateContent>
          <mc:Choice Requires="wps">
            <w:drawing>
              <wp:anchor simplePos="0" relativeHeight="251657728" behindDoc="1" locked="0" layoutInCell="0" allowOverlap="1">
                <wp:simplePos x="0" y="0"/>
                <wp:positionH relativeFrom="column">
                  <wp:posOffset>5000625</wp:posOffset>
                </wp:positionH>
                <wp:positionV relativeFrom="paragraph">
                  <wp:posOffset>-200025</wp:posOffset>
                </wp:positionV>
                <wp:extent cx="77152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1525" cy="4763"/>
                        </a:xfrm>
                        <a:prstGeom prst="line">
                          <a:avLst/>
                        </a:prstGeom>
                        <a:solidFill>
                          <a:srgbClr val="FFFFFF"/>
                        </a:solidFill>
                        <a:ln w="0">
                          <a:solidFill>
                            <a:srgbClr val="111111"/>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75pt,-15.7499pt" to="454.5pt,-15.7499pt" o:allowincell="f" strokecolor="#111111"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-2317115</wp:posOffset>
            </wp:positionV>
            <wp:extent cx="5797550" cy="2324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6">
                      <a:extLst>
                        <a:ext uri="{28A0092B-C50C-407E-A947-70E740481C1C}"/>
                      </a:extLst>
                    </a:blip>
                    <a:srcRect/>
                    <a:stretch>
                      <a:fillRect/>
                    </a:stretch>
                  </pic:blipFill>
                  <pic:spPr bwMode="auto">
                    <a:xfrm>
                      <a:off x="0" y="0"/>
                      <a:ext cx="5797550" cy="2324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ind w:left="360" w:hanging="360"/>
        <w:spacing w:after="0"/>
        <w:tabs>
          <w:tab w:leader="none" w:pos="3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total of interest expense related to our finance leases and interest-bearing loans and interest income on money market funds.</w:t>
      </w:r>
    </w:p>
    <w:p>
      <w:pPr>
        <w:spacing w:after="0" w:line="8" w:lineRule="exact"/>
        <w:rPr>
          <w:rFonts w:ascii="Times New Roman" w:cs="Times New Roman" w:eastAsia="Times New Roman" w:hAnsi="Times New Roman"/>
          <w:sz w:val="16"/>
          <w:szCs w:val="16"/>
          <w:color w:val="auto"/>
        </w:rPr>
      </w:pPr>
    </w:p>
    <w:p>
      <w:pPr>
        <w:ind w:left="360" w:hanging="360"/>
        <w:spacing w:after="0"/>
        <w:tabs>
          <w:tab w:leader="none" w:pos="3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impairment charge incurred in connection with the business exit activities and discontinuance of testing for Legacy Sema4.</w:t>
      </w:r>
    </w:p>
    <w:p>
      <w:pPr>
        <w:spacing w:after="0" w:line="8" w:lineRule="exact"/>
        <w:rPr>
          <w:rFonts w:ascii="Times New Roman" w:cs="Times New Roman" w:eastAsia="Times New Roman" w:hAnsi="Times New Roman"/>
          <w:sz w:val="16"/>
          <w:szCs w:val="16"/>
          <w:color w:val="auto"/>
        </w:rPr>
      </w:pPr>
    </w:p>
    <w:p>
      <w:pPr>
        <w:jc w:val="both"/>
        <w:ind w:left="360" w:right="240" w:hanging="360"/>
        <w:spacing w:after="0" w:line="250" w:lineRule="auto"/>
        <w:tabs>
          <w:tab w:leader="none" w:pos="3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for restructuring and business exit activities, which include severance packages offered to impacted employees and third party consulting costs incurred during 2022. Certain professional service costs incurred in connection with the business exit are also included..</w:t>
      </w:r>
    </w:p>
    <w:p>
      <w:pPr>
        <w:spacing w:after="0" w:line="1" w:lineRule="exact"/>
        <w:rPr>
          <w:rFonts w:ascii="Times New Roman" w:cs="Times New Roman" w:eastAsia="Times New Roman" w:hAnsi="Times New Roman"/>
          <w:sz w:val="16"/>
          <w:szCs w:val="16"/>
          <w:color w:val="auto"/>
        </w:rPr>
      </w:pPr>
    </w:p>
    <w:p>
      <w:pPr>
        <w:jc w:val="both"/>
        <w:ind w:left="360" w:right="180" w:hanging="360"/>
        <w:spacing w:after="0" w:line="250" w:lineRule="auto"/>
        <w:tabs>
          <w:tab w:leader="none" w:pos="3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fiscal year 2021, represents professional service costs incurred in connection with pursuing the business combination transaction that did not meet the requirement for capitalization. For fiscal year 2022, this represents professional service costs incurred in connection with the Legacy GeneDx Acquisition transaction, which include due diligence, legal and business integration costs.</w:t>
      </w:r>
    </w:p>
    <w:p>
      <w:pPr>
        <w:spacing w:after="0" w:line="1" w:lineRule="exact"/>
        <w:rPr>
          <w:rFonts w:ascii="Times New Roman" w:cs="Times New Roman" w:eastAsia="Times New Roman" w:hAnsi="Times New Roman"/>
          <w:sz w:val="16"/>
          <w:szCs w:val="16"/>
          <w:color w:val="auto"/>
        </w:rPr>
      </w:pPr>
    </w:p>
    <w:p>
      <w:pPr>
        <w:ind w:left="360" w:hanging="360"/>
        <w:spacing w:after="0"/>
        <w:tabs>
          <w:tab w:leader="none" w:pos="3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fiscal years ended December 31, 2020 and 2021, primarily consists of funding received under the CARES Act Provider Relief Fund.</w:t>
      </w:r>
    </w:p>
    <w:p>
      <w:pPr>
        <w:spacing w:after="0" w:line="8" w:lineRule="exact"/>
        <w:rPr>
          <w:rFonts w:ascii="Times New Roman" w:cs="Times New Roman" w:eastAsia="Times New Roman" w:hAnsi="Times New Roman"/>
          <w:sz w:val="16"/>
          <w:szCs w:val="16"/>
          <w:color w:val="auto"/>
        </w:rPr>
      </w:pPr>
    </w:p>
    <w:p>
      <w:pPr>
        <w:ind w:left="360" w:hanging="360"/>
        <w:spacing w:after="0" w:line="250" w:lineRule="auto"/>
        <w:tabs>
          <w:tab w:leader="none" w:pos="3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spacing w:after="0" w:line="1" w:lineRule="exact"/>
        <w:rPr>
          <w:rFonts w:ascii="Times New Roman" w:cs="Times New Roman" w:eastAsia="Times New Roman" w:hAnsi="Times New Roman"/>
          <w:sz w:val="16"/>
          <w:szCs w:val="16"/>
          <w:color w:val="auto"/>
        </w:rPr>
      </w:pPr>
    </w:p>
    <w:p>
      <w:pPr>
        <w:ind w:left="360" w:right="300" w:hanging="360"/>
        <w:spacing w:after="0" w:line="255" w:lineRule="auto"/>
        <w:tabs>
          <w:tab w:leader="none" w:pos="3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2022 and 2021, represents the change in fair market value of the liabilities associated with our public warrants, private placement warrants and the earn-out shares issuable under the terms of the merger agreement for our business combination.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17"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On July 22, 2021, we completed the Business Combination with CMLS, consummated the related private placement financing the “Business Combination PIPE Investment”), and received net cash proceeds of $510 million.</w:t>
      </w:r>
    </w:p>
    <w:p>
      <w:pPr>
        <w:sectPr>
          <w:pgSz w:w="12240" w:h="15840" w:orient="portrait"/>
          <w:cols w:equalWidth="0" w:num="1">
            <w:col w:w="9360"/>
          </w:cols>
          <w:pgMar w:left="1440" w:top="139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360"/>
          </w:cols>
          <w:pgMar w:left="1440" w:top="1390" w:right="1440" w:bottom="0" w:gutter="0" w:footer="0" w:header="0"/>
          <w:type w:val="continuous"/>
        </w:sectPr>
      </w:pPr>
    </w:p>
    <w:bookmarkStart w:id="89" w:name="page90"/>
    <w:bookmarkEnd w:id="89"/>
    <w:p>
      <w:pPr>
        <w:ind w:right="20" w:firstLine="360"/>
        <w:spacing w:after="0" w:line="237" w:lineRule="auto"/>
        <w:rPr>
          <w:sz w:val="20"/>
          <w:szCs w:val="20"/>
          <w:color w:val="auto"/>
        </w:rPr>
      </w:pPr>
      <w:r>
        <w:rPr>
          <w:rFonts w:ascii="Times New Roman" w:cs="Times New Roman" w:eastAsia="Times New Roman" w:hAnsi="Times New Roman"/>
          <w:sz w:val="20"/>
          <w:szCs w:val="20"/>
          <w:color w:val="auto"/>
        </w:rPr>
        <w:t>On November 15, 2021, we entered into a loan and security agreement (the “SVB Agreement”,) with Silicon Valley Bank (“SVB”,) whereby SVB agreed to provide a $125 million revolving credit facility with a maturity date of November 15, 2024. No amounts were drawn as of December 31, 2022. Advances under the SVB Agreement will bear interest at a floating rate per annum equal to the greater of (1) 4.00% and (2) the prime rate plus an applicable margin. On March 10, 2023, SVB was closed by the California Department of Financial Protection and Innovation, which appointed the Federal Deposit Insurance Corporation (“FDIC”) as receiver. On March 14, 2023, Silicon Valley Bridge Bank, N.A., a new bank that is regulated by the Office of the Comptroller of the Currency, announced that it had assumed all loan positions, including as lender, issuing bank, administrative agent and any other function that was formerly performed by SVB, and that all commitments to advance under existing credit agreements would be honored in accordance with and pursuant to the terms thereof.</w:t>
      </w:r>
    </w:p>
    <w:p>
      <w:pPr>
        <w:spacing w:after="0" w:line="193"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On April 29, 2022, upon the closing of the Acquisition, we received gross proceeds of $200 million from the issuance of 50 million shares of our Class A common stock pursuant to the Acquisition PIPE Investment. The gross proceeds were partially used to pay for the cash consideration of the Acquisition and transaction costs incurred in connection with the Acquisition.</w:t>
      </w:r>
    </w:p>
    <w:p>
      <w:pPr>
        <w:spacing w:after="0" w:line="185"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On January 31, 2023, we announced the closing of an underwritten public offering and a concurrent registered direct offering of shares of our Class A common stock. The total gross proceeds are expected to be approximately $150 million, including proceeds from the issuance of the additional shares in the direct offering. See “-Recent Developments’ above.</w:t>
      </w:r>
    </w:p>
    <w:p>
      <w:pPr>
        <w:spacing w:after="0" w:line="203"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Management believes that our cash and cash equivalents provide us with sufficient liquidity for at least twelve months from the filing date of this Annual Report.</w:t>
      </w:r>
    </w:p>
    <w:p>
      <w:pPr>
        <w:spacing w:after="0" w:line="16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Accordingly, the consolidated financial statements included in this Annual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 facilities or another form of third-party funding or by seeking other debt financing. For example, we have an effective shelf registration statement that we filed with the SEC in August of 2022, registering $300 million shares of our Class A common stock and other securities. Following the Offerings in January 2023, approximately $150 million of securities remained available under this registration statement. The Company does not know what impact the ongoing situation at SVB will ultimately have on the SVB Agreement.</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360"/>
          </w:cols>
          <w:pgMar w:left="1440" w:top="1378" w:right="1440" w:bottom="0" w:gutter="0" w:footer="0" w:header="0"/>
          <w:type w:val="continuous"/>
        </w:sectPr>
      </w:pPr>
    </w:p>
    <w:bookmarkStart w:id="90" w:name="page91"/>
    <w:bookmarkEnd w:id="90"/>
    <w:p>
      <w:pPr>
        <w:ind w:left="360"/>
        <w:spacing w:after="0"/>
        <w:rPr>
          <w:sz w:val="20"/>
          <w:szCs w:val="20"/>
          <w:color w:val="auto"/>
        </w:rPr>
      </w:pPr>
      <w:r>
        <w:rPr>
          <w:rFonts w:ascii="Times New Roman" w:cs="Times New Roman" w:eastAsia="Times New Roman" w:hAnsi="Times New Roman"/>
          <w:sz w:val="20"/>
          <w:szCs w:val="20"/>
          <w:b w:val="1"/>
          <w:bCs w:val="1"/>
          <w:color w:val="auto"/>
        </w:rPr>
        <w:t>Material Cash Requirements for Known Contractual Obligations and Commitments</w:t>
      </w:r>
    </w:p>
    <w:p>
      <w:pPr>
        <w:spacing w:after="0" w:line="217" w:lineRule="exact"/>
        <w:rPr>
          <w:sz w:val="20"/>
          <w:szCs w:val="20"/>
          <w:color w:val="auto"/>
        </w:rPr>
      </w:pPr>
    </w:p>
    <w:p>
      <w:pPr>
        <w:jc w:val="both"/>
        <w:ind w:left="360" w:firstLine="360"/>
        <w:spacing w:after="0" w:line="260" w:lineRule="auto"/>
        <w:rPr>
          <w:sz w:val="20"/>
          <w:szCs w:val="20"/>
          <w:color w:val="auto"/>
        </w:rPr>
      </w:pPr>
      <w:r>
        <w:rPr>
          <w:rFonts w:ascii="Times New Roman" w:cs="Times New Roman" w:eastAsia="Times New Roman" w:hAnsi="Times New Roman"/>
          <w:sz w:val="20"/>
          <w:szCs w:val="20"/>
          <w:color w:val="auto"/>
        </w:rPr>
        <w:t>The following is a description of commitments for known and reasonably likely cash requirements as of December 31, 2022 and December 31, 2021. We anticipate fulfilling such commitments with our existing cash and cash equivalents, which amounted to $123.9 million and $400.6 million as of December 31, 2022 and December 31, 2021, respectively, or through additional capital raised to finance our operations.</w:t>
      </w:r>
    </w:p>
    <w:p>
      <w:pPr>
        <w:spacing w:after="0" w:line="163" w:lineRule="exact"/>
        <w:rPr>
          <w:sz w:val="20"/>
          <w:szCs w:val="20"/>
          <w:color w:val="auto"/>
        </w:rPr>
      </w:pPr>
    </w:p>
    <w:p>
      <w:pPr>
        <w:jc w:val="both"/>
        <w:ind w:left="360" w:firstLine="360"/>
        <w:spacing w:after="0" w:line="260" w:lineRule="auto"/>
        <w:rPr>
          <w:sz w:val="20"/>
          <w:szCs w:val="20"/>
          <w:color w:val="auto"/>
        </w:rPr>
      </w:pPr>
      <w:r>
        <w:rPr>
          <w:rFonts w:ascii="Times New Roman" w:cs="Times New Roman" w:eastAsia="Times New Roman" w:hAnsi="Times New Roman"/>
          <w:sz w:val="20"/>
          <w:szCs w:val="20"/>
          <w:color w:val="auto"/>
        </w:rPr>
        <w:t xml:space="preserve">Our future minimum payments under non-cancellable operating lease and finance lease agreements were $80.1 million and $60.8 million, respectively as of December 31, 2022. The timing of these future payments, by year, can be found in our consolidated financial statements in Note 9,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xml:space="preserve"> included within this Annual Report.</w:t>
      </w:r>
    </w:p>
    <w:p>
      <w:pPr>
        <w:spacing w:after="0" w:line="163" w:lineRule="exact"/>
        <w:rPr>
          <w:sz w:val="20"/>
          <w:szCs w:val="20"/>
          <w:color w:val="auto"/>
        </w:rPr>
      </w:pPr>
    </w:p>
    <w:p>
      <w:pPr>
        <w:jc w:val="both"/>
        <w:ind w:left="360" w:firstLine="360"/>
        <w:spacing w:after="0" w:line="253" w:lineRule="auto"/>
        <w:rPr>
          <w:sz w:val="20"/>
          <w:szCs w:val="20"/>
          <w:color w:val="auto"/>
        </w:rPr>
      </w:pPr>
      <w:r>
        <w:rPr>
          <w:rFonts w:ascii="Times New Roman" w:cs="Times New Roman" w:eastAsia="Times New Roman" w:hAnsi="Times New Roman"/>
          <w:sz w:val="20"/>
          <w:szCs w:val="20"/>
          <w:color w:val="auto"/>
        </w:rPr>
        <w:t>As discussed above, the Legacy Sema4 business recently entered into a settlement agreement with one of its third-party payors in order to settle the claims related to coverage and billing matters allegedly resulting in the overpayments by the payor to the Legacy Sema4 business including those related to multi-gene tests, such as carrier screening services. Under the settlement agreement, the total settlement amount is $42 million, to be paid by us to the payor in a series of installments over the next four years with the final installment payment scheduled to be on or before June 30, 2026. The first installment payment of $15 million was made on December 30, 2022. In consideration for the payments, the payor has agreed to provide releases of the Disputed Claims, which releases will become effective 91 days after the first installment payment was received by the payor. For more information regarding this matter, see Note 4, “Revenue Recognition” to our audited consolidated financial statements included within this Annual Report.</w:t>
      </w:r>
    </w:p>
    <w:p>
      <w:pPr>
        <w:spacing w:after="0" w:line="176" w:lineRule="exact"/>
        <w:rPr>
          <w:sz w:val="20"/>
          <w:szCs w:val="20"/>
          <w:color w:val="auto"/>
        </w:rPr>
      </w:pPr>
    </w:p>
    <w:p>
      <w:pPr>
        <w:jc w:val="both"/>
        <w:ind w:left="360" w:firstLine="360"/>
        <w:spacing w:after="0" w:line="266" w:lineRule="auto"/>
        <w:rPr>
          <w:sz w:val="20"/>
          <w:szCs w:val="20"/>
          <w:color w:val="auto"/>
        </w:rPr>
      </w:pPr>
      <w:r>
        <w:rPr>
          <w:rFonts w:ascii="Times New Roman" w:cs="Times New Roman" w:eastAsia="Times New Roman" w:hAnsi="Times New Roman"/>
          <w:sz w:val="20"/>
          <w:szCs w:val="20"/>
          <w:color w:val="auto"/>
        </w:rPr>
        <w:t xml:space="preserve">Our future contractual purchase commitments were $8.8 million as of December 31, 2022. The timing of these future payments, by year, can be found in our consolidated financial statements in Note 10, </w:t>
      </w:r>
      <w:r>
        <w:rPr>
          <w:rFonts w:ascii="Times New Roman" w:cs="Times New Roman" w:eastAsia="Times New Roman" w:hAnsi="Times New Roman"/>
          <w:sz w:val="20"/>
          <w:szCs w:val="20"/>
          <w:b w:val="1"/>
          <w:bCs w:val="1"/>
          <w:i w:val="1"/>
          <w:iCs w:val="1"/>
          <w:color w:val="auto"/>
        </w:rPr>
        <w:t xml:space="preserve">“Commitments and Contingencies,” </w:t>
      </w:r>
      <w:r>
        <w:rPr>
          <w:rFonts w:ascii="Times New Roman" w:cs="Times New Roman" w:eastAsia="Times New Roman" w:hAnsi="Times New Roman"/>
          <w:sz w:val="20"/>
          <w:szCs w:val="20"/>
          <w:color w:val="auto"/>
        </w:rPr>
        <w:t>included within this Annual Report.</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360"/>
          </w:cols>
          <w:pgMar w:left="1440" w:top="1371" w:right="144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7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b w:val="1"/>
          <w:bCs w:val="1"/>
          <w:color w:val="auto"/>
        </w:rPr>
        <w:t>Year Ended</w:t>
      </w:r>
    </w:p>
    <w:p>
      <w:pPr>
        <w:ind w:left="68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3566795</wp:posOffset>
                </wp:positionH>
                <wp:positionV relativeFrom="paragraph">
                  <wp:posOffset>13970</wp:posOffset>
                </wp:positionV>
                <wp:extent cx="216217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62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0.85pt,1.1pt" to="451.1pt,1.1pt" o:allowincell="f" strokecolor="#000000" strokeweight="1pt"/>
            </w:pict>
          </mc:Fallback>
        </mc:AlternateContent>
      </w:r>
    </w:p>
    <w:p>
      <w:pPr>
        <w:spacing w:after="0" w:line="16" w:lineRule="exact"/>
        <w:rPr>
          <w:sz w:val="20"/>
          <w:szCs w:val="20"/>
          <w:color w:val="auto"/>
        </w:rPr>
      </w:pPr>
    </w:p>
    <w:tbl>
      <w:tblPr>
        <w:tblLayout w:type="fixed"/>
        <w:tblInd w:w="340" w:type="dxa"/>
        <w:tblCellMar>
          <w:top w:w="0" w:type="dxa"/>
          <w:left w:w="0" w:type="dxa"/>
          <w:bottom w:w="0" w:type="dxa"/>
          <w:right w:w="0" w:type="dxa"/>
        </w:tblCellMar>
      </w:tblPr>
      <w:tr>
        <w:trPr>
          <w:trHeight w:val="217"/>
        </w:trPr>
        <w:tc>
          <w:tcPr>
            <w:tcW w:w="5280" w:type="dxa"/>
            <w:vAlign w:val="bottom"/>
          </w:tcPr>
          <w:p>
            <w:pPr>
              <w:spacing w:after="0"/>
              <w:rPr>
                <w:sz w:val="18"/>
                <w:szCs w:val="18"/>
                <w:color w:val="auto"/>
              </w:rPr>
            </w:pPr>
          </w:p>
        </w:tc>
        <w:tc>
          <w:tcPr>
            <w:tcW w:w="1100" w:type="dxa"/>
            <w:vAlign w:val="bottom"/>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4"/>
        </w:trPr>
        <w:tc>
          <w:tcPr>
            <w:tcW w:w="5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88"/>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Net cash used in operating activities </w:t>
            </w:r>
            <w:r>
              <w:rPr>
                <w:rFonts w:ascii="Times New Roman" w:cs="Times New Roman" w:eastAsia="Times New Roman" w:hAnsi="Times New Roman"/>
                <w:sz w:val="20"/>
                <w:szCs w:val="20"/>
                <w:color w:val="98989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(319,155)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(190,434)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(93,128)</w:t>
            </w:r>
          </w:p>
        </w:tc>
      </w:tr>
      <w:tr>
        <w:trPr>
          <w:trHeight w:val="285"/>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Net cash used in investing activities </w:t>
            </w:r>
            <w:r>
              <w:rPr>
                <w:rFonts w:ascii="Times New Roman" w:cs="Times New Roman" w:eastAsia="Times New Roman" w:hAnsi="Times New Roman"/>
                <w:sz w:val="20"/>
                <w:szCs w:val="20"/>
                <w:color w:val="989898"/>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(141,326)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(20,786)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(31,974)</w:t>
            </w:r>
          </w:p>
        </w:tc>
      </w:tr>
      <w:tr>
        <w:trPr>
          <w:trHeight w:val="285"/>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r>
              <w:rPr>
                <w:rFonts w:ascii="Times New Roman" w:cs="Times New Roman" w:eastAsia="Times New Roman" w:hAnsi="Times New Roman"/>
                <w:sz w:val="20"/>
                <w:szCs w:val="20"/>
                <w:color w:val="98989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197,315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493,729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-546735</wp:posOffset>
            </wp:positionV>
            <wp:extent cx="5616575" cy="5683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7">
                      <a:extLst>
                        <a:ext uri="{28A0092B-C50C-407E-A947-70E740481C1C}"/>
                      </a:extLst>
                    </a:blip>
                    <a:srcRect/>
                    <a:stretch>
                      <a:fillRect/>
                    </a:stretch>
                  </pic:blipFill>
                  <pic:spPr bwMode="auto">
                    <a:xfrm>
                      <a:off x="0" y="0"/>
                      <a:ext cx="5616575" cy="56832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1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Net cash used in operating activities during the year ended December 31, 2022 was $319.2 million, which was primarily attributable to a net loss of $549.0 million, a change in fair value of the warrant and earn-out liabilities of $70.2 million and an income tax benefit of $49.1 million. This was partially offset by non-cash depreciation and amortization of $59.3 million, non-cash stock-based compensation expense of $42.0 million, impairment loss of $210.1 million, a provision for excess and obsolete inventory of $1.1 million and non-cash lease expense of $2.2 million. The net change in our operating assets and liabilities primarily reflected a $2.4 million decrease in inventories, a $34.5 million increase in accounts payable and accrued expenses driven by the payor settlement accrual which was partially offset by timing of vendor payments, a $19.5 million decrease in other current liabilities mainly driven by the payment of 2021 bonuses, offset by the accrual of the 2022 expected payment, a $5.5 million decrease in accounts receivable primarily from self-pay payors and a $11.1 million increase in prepaid expenses and other current assets mainly driven by the amortization of insurance policy premiums.</w:t>
      </w:r>
    </w:p>
    <w:p>
      <w:pPr>
        <w:spacing w:after="0" w:line="17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Net cash used in operating activities during the year ended December 31, 2021 was $190.4 million, which was primarily attributable to a net loss of $245.4 million and a change in fair value of the warrant and earn-out contingent liabilities of $198.4 million, partially offset by non-cash depreciation and amortization of $21.8 million, non-cash stock-based compensation expense of $219.4 million, and a reserve against obsolete inventory of $2.1 million. The net change in our operating assets and liabilities primarily reflected a $5.5 million decrease in accounts receivable due to a decrease in institutional customer receivables which is in line with the respective revenue stream, a $10.6 million increase in inventories driven by a higher volume of purchases to support increasing testing volumes, a $14.3 million increase in prepaid expenses and other current assets mainly driven by new insurance policy premiums paid during the year, a $25.9 million increase in accounts payable and accrued expenses due to additional volume in the fourth quarter related to COVID-19 testing, resulting in increased related accruals and extended payment terms for large vendors, and a $3.2 million increase in other current liabilities mainly driven increased bonus accruals.</w:t>
      </w:r>
    </w:p>
    <w:p>
      <w:pPr>
        <w:spacing w:after="0" w:line="15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Net cash used in operating activities during the year ended December 31, 2020 was $93.1 million, which was primarily attributable to a net loss of $241.3 million, partially offset by non-cash depreciation and amortization of $11.7 million, non-cash stock-based compensation expense of $120.2 million and a net change in our operating assets and liabilities of $13.8 million. The net change in our operating assets and liabilities primarily reflected an increase in accounts receivable of $10.6 million driven by a slowdown in collections due to the COVID-19 pandemic, a $9.0 million increase in inventories in preparation for the move of certain laboratory operations to a new location in December 2020, an increase in accounts payable and accrued expenses of $14.8 million due to timing of vendor payments and increased spending during the year related to COVID-19 diagnostic testing and a $16.0 million increase in other current liabilities driven by higher personnel-related accruals due to increased headcount at 2020 year-end as compared to 2019 year-end, as well as an increase in accrued payroll taxes due to the deferral of U.S. payroll taxes as part of the CARES 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19"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Net cash used in investing activities during the year ended December 31, 2022 was $141.3 million, which was primarily attributable to the $127 million net of cash spent for the Acquisition of Legacy GeneDx, $7.2 million in</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360"/>
          </w:cols>
          <w:pgMar w:left="1440" w:top="1371" w:right="1440" w:bottom="0" w:gutter="0" w:footer="0" w:header="0"/>
          <w:type w:val="continuous"/>
        </w:sectPr>
      </w:pPr>
    </w:p>
    <w:bookmarkStart w:id="92" w:name="page93"/>
    <w:bookmarkEnd w:id="92"/>
    <w:p>
      <w:pPr>
        <w:jc w:val="both"/>
        <w:spacing w:after="0" w:line="281" w:lineRule="auto"/>
        <w:rPr>
          <w:sz w:val="20"/>
          <w:szCs w:val="20"/>
          <w:color w:val="auto"/>
        </w:rPr>
      </w:pPr>
      <w:r>
        <w:rPr>
          <w:rFonts w:ascii="Times New Roman" w:cs="Times New Roman" w:eastAsia="Times New Roman" w:hAnsi="Times New Roman"/>
          <w:sz w:val="20"/>
          <w:szCs w:val="20"/>
          <w:color w:val="auto"/>
        </w:rPr>
        <w:t>purchases of property and equipment and $7.2 million related to spend on development of internal-use software assets.</w:t>
      </w:r>
    </w:p>
    <w:p>
      <w:pPr>
        <w:spacing w:after="0" w:line="14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Net cash used in investing activities during the year ended December 31, 2021 was $20.8 million, which was attributable to $9.4 million in purchases of property and equipment and $11.4 million of costs related to development of internal-use software assets.</w:t>
      </w:r>
    </w:p>
    <w:p>
      <w:pPr>
        <w:spacing w:after="0" w:line="13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Net cash used in investing activities during the year ended December 31, 2020 was $32.0 million, which was attributable to $24.1 million in purchases of property and equipment and $7.9 million of costs related to development of internal-use software assets.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1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Net cash provided by financing activities during the year ended December 31, 2022 was $197.3 million, which was primarily driven by the $197.7 million proceeds from the Acquisition PIPE Investment, net of issuance costs of $2.3 million. Additionally, $2.9 million relates to cash received from exercise of employee stock options, which was offset by $3.3 million of finance lease principal payments.</w:t>
      </w:r>
    </w:p>
    <w:p>
      <w:pPr>
        <w:spacing w:after="0" w:line="16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Net cash provided by financing activities during the year ended December 31, 2021 was $493.7 million, which was attributable to the consummation of our Business Combination including: $350.0 million from the Business Combination PIPE Investment proceeds; $442.7 million from an equity infusion from the Business Combination, net of redemptions; offset by $230.7 million in the cash payments to certain Legacy Sema4 stockholders; payment of transaction costs of $51.8 million; and $3.8 million of stock appreciate rights pay-outs. These amounts were further offset by an $8.7 million repayment of long-term debt and $3.7 million of capital lease principal payments.</w:t>
      </w:r>
    </w:p>
    <w:p>
      <w:pPr>
        <w:spacing w:after="0" w:line="14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Net cash provided by financing activities during the year ended December 31, 2020 was $129.0 million, which was primarily attributable to $117.3 million in net cash proceeds from the issuance of our Series C redeemable convertible preferred stock and $15.9 million in net cash proceeds from the issuance of long-term debt. These increases were partially offset by $4.0 million in principal payments on our capital lease obligations and $0.2 million in principal payments on our long-term debt obligations.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1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6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See Note 2, “Summary of Significant Accounting Policies” to our consolidated financial statements for further discussion on our accounting policies. We have identified below our accounting policies that we believe could potentially generate materially different results if we were to change underlying assumptions, estimates and/or judgments. Although actual results may differ from those estimates, we believe the estimates are reasonable and appropriate.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9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recognize revenue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360"/>
          </w:cols>
          <w:pgMar w:left="1440" w:top="1378" w:right="1440" w:bottom="0" w:gutter="0" w:footer="0" w:header="0"/>
          <w:type w:val="continuous"/>
        </w:sectPr>
      </w:pPr>
    </w:p>
    <w:bookmarkStart w:id="93" w:name="page94"/>
    <w:bookmarkEnd w:id="93"/>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Diagnostic test revenue</w:t>
      </w:r>
    </w:p>
    <w:p>
      <w:pPr>
        <w:spacing w:after="0" w:line="19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estimate a transaction price in arrangements with third-party insurance payors based on historical collection experience, contractual provisions and insurance reimbursement policies, payor mix, and other relevant information for applicable payor portfolios. The portfolio approach is used as a practical expedient to account for categories of diagnostic test contracts as collective groups rather than on an individual contract basis. Management believes that revenue recognized by utilizing the portfolio approach approximates the revenue that would have been recognized if an individual contract approach was used. For orders received for self-pay patients, we determine a transaction price associated with services rendered in consideration of implicit price concessions that are granted to such orders.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 For institutional clients, the customer is the institution. We determine a transaction price associated with services rendered in accordance with the contractual rates established with each customer.</w:t>
      </w:r>
    </w:p>
    <w:p>
      <w:pPr>
        <w:spacing w:after="0" w:line="251"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We monitor these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our estimates, we will adjust these estimates, which could affect revenue and earnings in the period such variances become known. A 1% decrease or increase in our collection rate from third-party insurance payers within GeneDx, which we believe could be a reasonably likely change, would result in an unfavorable or favorable adjustment to diagnostic test revenue of approximately $9.9 million.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revenue</w:t>
      </w:r>
    </w:p>
    <w:p>
      <w:pPr>
        <w:spacing w:after="0" w:line="194" w:lineRule="exact"/>
        <w:rPr>
          <w:sz w:val="20"/>
          <w:szCs w:val="20"/>
          <w:color w:val="auto"/>
        </w:rPr>
      </w:pPr>
    </w:p>
    <w:p>
      <w:pPr>
        <w:ind w:right="20" w:firstLine="360"/>
        <w:spacing w:after="0" w:line="239" w:lineRule="auto"/>
        <w:rPr>
          <w:sz w:val="20"/>
          <w:szCs w:val="20"/>
          <w:color w:val="auto"/>
        </w:rPr>
      </w:pPr>
      <w:r>
        <w:rPr>
          <w:rFonts w:ascii="Times New Roman" w:cs="Times New Roman" w:eastAsia="Times New Roman" w:hAnsi="Times New Roman"/>
          <w:sz w:val="20"/>
          <w:szCs w:val="20"/>
          <w:color w:val="auto"/>
        </w:rPr>
        <w:t>We also recognize revenue from service agreements and collaboration agreements with biopharma companies and other third parties pursuant to which we provide diagnostic testing and related data aggregation reporting services. Certain of these contracts provide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8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For certain service or collaboration contracts that require us to transfer control of the service over time,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including any subcontracted service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Capitalized Internal-Use Software Costs</w:t>
      </w:r>
    </w:p>
    <w:p>
      <w:pPr>
        <w:spacing w:after="0" w:line="19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which would indicate that the internal-use software is impaired. To the extent that we change our estimates related to internal-use software, the amount of internal-use software development costs we capitalize and amortize could change in future periods.</w:t>
      </w:r>
    </w:p>
    <w:p>
      <w:pPr>
        <w:sectPr>
          <w:pgSz w:w="12240" w:h="15840" w:orient="portrait"/>
          <w:cols w:equalWidth="0" w:num="1">
            <w:col w:w="936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360"/>
          </w:cols>
          <w:pgMar w:left="1440" w:top="1440" w:right="144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195"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20"/>
          <w:szCs w:val="20"/>
          <w:color w:val="auto"/>
        </w:rPr>
        <w:t xml:space="preserve">In accordance with ASC 350, </w:t>
      </w:r>
      <w:r>
        <w:rPr>
          <w:rFonts w:ascii="Times New Roman" w:cs="Times New Roman" w:eastAsia="Times New Roman" w:hAnsi="Times New Roman"/>
          <w:sz w:val="20"/>
          <w:szCs w:val="20"/>
          <w:b w:val="1"/>
          <w:bCs w:val="1"/>
          <w:i w:val="1"/>
          <w:iCs w:val="1"/>
          <w:color w:val="auto"/>
        </w:rPr>
        <w:t>Intangibles - Goodwill and Other</w:t>
      </w:r>
      <w:r>
        <w:rPr>
          <w:rFonts w:ascii="Times New Roman" w:cs="Times New Roman" w:eastAsia="Times New Roman" w:hAnsi="Times New Roman"/>
          <w:sz w:val="20"/>
          <w:szCs w:val="20"/>
          <w:color w:val="auto"/>
        </w:rPr>
        <w:t xml:space="preserve"> we do not amortize goodwill but rather test them for impairment. ASC 350 requires us to perform an impairment review of our goodwill balance at least annually, which we do in the fourth quarter of each year for our single consolidated reporting unit, and whenever events or changes in circumstances indicate that the carrying amount of these assets may not be recoverable.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1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Amortizable intangible assets include trade names and trademarks, developed technology and customer relationships acquired as part of business combinations. All intangible assets subject to amortization are reviewed for impairment in accordance with ASC 360, Property, Plant and Equipment. The recoverability test was performed on a company-wide single asset group level.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Contingent consideration based on milestone achievement</w:t>
      </w:r>
    </w:p>
    <w:p>
      <w:pPr>
        <w:spacing w:after="0" w:line="199"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estimate the fair value of the total earn-out shares based on a Monte Carlo simulation valuation model and assuming the Company will pay the earn-out in shares. Key assumptions include revenue projections, revenue volatility, the Company’s expectation to settle the liability in shares and the share price per share.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Earn-out Contingent Liability</w:t>
      </w:r>
    </w:p>
    <w:p>
      <w:pPr>
        <w:spacing w:after="0" w:line="199"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0"/>
          <w:szCs w:val="20"/>
          <w:color w:val="auto"/>
        </w:rPr>
        <w:t>We estimate the fair value of the total earn-out shares based on a Monte Carlo simulation valuation model. The fair value of the earn-out contingent liability is sensitive to expected volatility estimated based on selected guideline public companies and the Company’s common stock price which is sensitive to changes in the forecasts of earnings and/or the relevant operating metrics. The model used requires the use of assumptions regarding variables that are complex, subjective and generally require judgment to determine.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9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Stock-based compensation for all employee and non-employee stock-based awards, including restricted stock units, is measured at fair value on the date of grant and recognized over the service period. The fair value of restricted stock units are calculated based on the fair value of our common stock on the date of grant, while the fair value of stock options are calculated using a Black-Scholes option-pricing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stock-based compensation expense is recognized. Key assumptions include expected volatility, expected term, risk-free interest rate and dividend yield. The volatility is estimated based on analysis of historical share prices of a peer group of public companies, the historical share prices of the Company, and the implied volatility of the Company’s call options. When selecting these comparable companies, we considered the enterprise value, risk profiles, position within the industry, and whether there was sufficient historical share price information to meet the expected life of the stock-based awards. The expected term of the Company’s options has been determined utilizing the “simplified” method as the awards granted are qualified as “plain-vanilla” options. The risk-free interest rate is based on the U.S. Treasury yield curve in effect at the time of grant for bonds with maturities consistent with the expected holding periods corresponding with the expected term of the option. We estimate zero dividend yield as we have not historically paid dividends on common stock and do not anticipate paying dividends in the foreseeable future.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9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We account for income taxes in accordance with ASC Topic 740, “Income Taxes,” under which deferred income taxes are provided for temporary differences between the financial reporting and tax basis of our assets and liabilities. We reduce deferred tax assets, if necessary, by a valuation allowance if it is more likely than not that we will not realize some or all of our deferred tax assets. In making such a determination, we consider all available positive and negative evidence, including future reversals of existing taxable temporary differences, projected future taxable income, tax-planning strategies, and results of recent operations.</w:t>
      </w:r>
    </w:p>
    <w:p>
      <w:pPr>
        <w:sectPr>
          <w:pgSz w:w="12240" w:h="15840" w:orient="portrait"/>
          <w:cols w:equalWidth="0" w:num="1">
            <w:col w:w="9360"/>
          </w:cols>
          <w:pgMar w:left="1440" w:top="1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360"/>
          </w:cols>
          <w:pgMar w:left="1440" w:top="1369" w:right="1440" w:bottom="0" w:gutter="0" w:footer="0" w:header="0"/>
          <w:type w:val="continuous"/>
        </w:sectPr>
      </w:pPr>
    </w:p>
    <w:bookmarkStart w:id="95" w:name="page96"/>
    <w:bookmarkEnd w:id="95"/>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We recognize the tax benefit from an uncertain tax position only if it is more likely than not that the tax position will be sustained on examination by taxing authorities, based on the technical merits of the position.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JOBS Act Accounting Election</w:t>
      </w:r>
    </w:p>
    <w:p>
      <w:pPr>
        <w:spacing w:after="0" w:line="19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3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97" w:lineRule="exact"/>
        <w:rPr>
          <w:sz w:val="20"/>
          <w:szCs w:val="20"/>
          <w:color w:val="auto"/>
        </w:rPr>
      </w:pPr>
    </w:p>
    <w:p>
      <w:pPr>
        <w:ind w:right="360" w:firstLine="360"/>
        <w:spacing w:after="0" w:line="281" w:lineRule="auto"/>
        <w:rPr>
          <w:sz w:val="20"/>
          <w:szCs w:val="20"/>
          <w:color w:val="auto"/>
        </w:rPr>
      </w:pPr>
      <w:r>
        <w:rPr>
          <w:rFonts w:ascii="Times New Roman" w:cs="Times New Roman" w:eastAsia="Times New Roman" w:hAnsi="Times New Roman"/>
          <w:sz w:val="20"/>
          <w:szCs w:val="20"/>
          <w:color w:val="auto"/>
        </w:rPr>
        <w:t>Information on recent accounting pronouncements can be found in GeneDx’s audited consolidated financial statements in Note 2, “Summary of Significant Accounting Policies”.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9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are exposed to market risks in the ordinary course of our business. These risks primarily relate to interest rates. Our cash, cash equivalents, and restricted cash consists of bank deposits and money market funds, which totaled $138.3 million and $401.5 million at December 31, 2022 and 2021, respectively.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 The majority of our cash, cash equivalents and restricted cash are uninsured with account balances in excess of the Federal Deposit Insurance Company limits. On March 14, 2023, we announced full access to our capital with nearly 100% of the Company’s cash and cash equivalents held in an institution designated as systematically important financial institutions.</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20"/>
          <w:szCs w:val="20"/>
          <w:color w:val="auto"/>
        </w:rPr>
        <w:t xml:space="preserve">The revolving credit facility under the SVB Agreement includes variable interest rate terms for the outstanding principal amount of any advance. Therefore, changes change in interest rates can impact our interest payments we are obligated to pay. As of December 31, 2022, no amounts have been drawn under the SVB Agreement. Additional information on our long-term debt can be found in out audited financial statements in Note 8, </w:t>
      </w:r>
      <w:r>
        <w:rPr>
          <w:rFonts w:ascii="Times New Roman" w:cs="Times New Roman" w:eastAsia="Times New Roman" w:hAnsi="Times New Roman"/>
          <w:sz w:val="20"/>
          <w:szCs w:val="20"/>
          <w:b w:val="1"/>
          <w:bCs w:val="1"/>
          <w:i w:val="1"/>
          <w:iCs w:val="1"/>
          <w:color w:val="auto"/>
        </w:rPr>
        <w:t>“Long-Term Debt.”</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360"/>
          </w:cols>
          <w:pgMar w:left="1440" w:top="1378" w:right="144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360"/>
          </w:cols>
          <w:pgMar w:left="1440" w:top="1371" w:right="1440" w:bottom="0" w:gutter="0" w:footer="0" w:header="0"/>
          <w:type w:val="continuous"/>
        </w:sectPr>
      </w:pPr>
    </w:p>
    <w:bookmarkStart w:id="97" w:name="page98"/>
    <w:bookmarkEnd w:id="97"/>
    <w:p>
      <w:pPr>
        <w:ind w:right="2180" w:firstLine="2177"/>
        <w:spacing w:after="0" w:line="440"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GeneDx Holdings Corp. </w:t>
      </w:r>
      <w:r>
        <w:rPr>
          <w:rFonts w:ascii="Times New Roman" w:cs="Times New Roman" w:eastAsia="Times New Roman" w:hAnsi="Times New Roman"/>
          <w:sz w:val="20"/>
          <w:szCs w:val="20"/>
          <w:b w:val="1"/>
          <w:bCs w:val="1"/>
          <w:color w:val="auto"/>
        </w:rPr>
        <w:t>Opinion on the Financial Statements</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GeneDx Holdings Corp. (the Company) as of December 31, 2022 and 2021, the related consolidated statements of operations and comprehensive loss, stockholders’ equity (deficit)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Adoption of ASU 2016-02</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As discussed in Note 2 to the consolidated financial statements, effective January 1, 2022, the Company changed its method of accounting for leases due to the adoption of ASU 2016-02, Leases.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2018.</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20"/>
        <w:spacing w:after="0"/>
        <w:tabs>
          <w:tab w:leader="none" w:pos="1780" w:val="left"/>
          <w:tab w:leader="none" w:pos="3740" w:val="left"/>
          <w:tab w:leader="none" w:pos="6680" w:val="left"/>
        </w:tabs>
        <w:rPr>
          <w:sz w:val="20"/>
          <w:szCs w:val="20"/>
          <w:color w:val="auto"/>
        </w:rPr>
      </w:pPr>
      <w:r>
        <w:rPr>
          <w:rFonts w:ascii="Times New Roman" w:cs="Times New Roman" w:eastAsia="Times New Roman" w:hAnsi="Times New Roman"/>
          <w:sz w:val="16"/>
          <w:szCs w:val="16"/>
          <w:color w:val="auto"/>
        </w:rPr>
        <w:t>Auditor Firm Id:</w:t>
      </w:r>
      <w:r>
        <w:rPr>
          <w:sz w:val="20"/>
          <w:szCs w:val="20"/>
          <w:color w:val="auto"/>
        </w:rPr>
        <w:tab/>
      </w:r>
      <w:r>
        <w:rPr>
          <w:rFonts w:ascii="Times New Roman" w:cs="Times New Roman" w:eastAsia="Times New Roman" w:hAnsi="Times New Roman"/>
          <w:sz w:val="16"/>
          <w:szCs w:val="16"/>
          <w:color w:val="auto"/>
        </w:rPr>
        <w:t>No. 42  Auditor Name:</w:t>
      </w:r>
      <w:r>
        <w:rPr>
          <w:sz w:val="20"/>
          <w:szCs w:val="20"/>
          <w:color w:val="auto"/>
        </w:rPr>
        <w:tab/>
      </w:r>
      <w:r>
        <w:rPr>
          <w:rFonts w:ascii="Times New Roman" w:cs="Times New Roman" w:eastAsia="Times New Roman" w:hAnsi="Times New Roman"/>
          <w:sz w:val="16"/>
          <w:szCs w:val="16"/>
          <w:color w:val="auto"/>
        </w:rPr>
        <w:t>Ernst &amp; Young LLP  Auditor Location:</w:t>
      </w:r>
      <w:r>
        <w:rPr>
          <w:sz w:val="20"/>
          <w:szCs w:val="20"/>
          <w:color w:val="auto"/>
        </w:rPr>
        <w:tab/>
      </w:r>
      <w:r>
        <w:rPr>
          <w:rFonts w:ascii="Times New Roman" w:cs="Times New Roman" w:eastAsia="Times New Roman" w:hAnsi="Times New Roman"/>
          <w:sz w:val="15"/>
          <w:szCs w:val="15"/>
          <w:color w:val="auto"/>
        </w:rPr>
        <w:t>New York, New York, United States</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9360"/>
          </w:cols>
          <w:pgMar w:left="1440" w:top="1371" w:right="1440" w:bottom="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GeneDx Holdings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6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4"/>
        </w:trPr>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Cash and cash equivalents </w:t>
            </w:r>
            <w:r>
              <w:rPr>
                <w:rFonts w:ascii="Times New Roman" w:cs="Times New Roman" w:eastAsia="Times New Roman" w:hAnsi="Times New Roman"/>
                <w:sz w:val="16"/>
                <w:szCs w:val="16"/>
                <w:color w:val="989898"/>
              </w:rPr>
              <w:t>........................................................................................................................</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123,933</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400,569</w:t>
            </w:r>
          </w:p>
        </w:tc>
        <w:tc>
          <w:tcPr>
            <w:tcW w:w="0" w:type="dxa"/>
            <w:vAlign w:val="bottom"/>
          </w:tcPr>
          <w:p>
            <w:pPr>
              <w:spacing w:after="0"/>
              <w:rPr>
                <w:sz w:val="1"/>
                <w:szCs w:val="1"/>
                <w:color w:val="auto"/>
              </w:rPr>
            </w:pPr>
          </w:p>
        </w:tc>
      </w:tr>
      <w:tr>
        <w:trPr>
          <w:trHeight w:val="24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Restricted cash</w:t>
            </w:r>
            <w:r>
              <w:rPr>
                <w:rFonts w:ascii="Times New Roman" w:cs="Times New Roman" w:eastAsia="Times New Roman" w:hAnsi="Times New Roman"/>
                <w:sz w:val="16"/>
                <w:szCs w:val="16"/>
                <w:color w:val="989898"/>
              </w:rPr>
              <w:t>..........................................................................................................................................</w:t>
            </w:r>
          </w:p>
        </w:tc>
        <w:tc>
          <w:tcPr>
            <w:tcW w:w="3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13,470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Accounts receivable, net </w:t>
            </w:r>
            <w:r>
              <w:rPr>
                <w:rFonts w:ascii="Times New Roman" w:cs="Times New Roman" w:eastAsia="Times New Roman" w:hAnsi="Times New Roman"/>
                <w:sz w:val="16"/>
                <w:szCs w:val="16"/>
                <w:color w:val="989898"/>
              </w:rPr>
              <w:t>..........................................................................................................................</w:t>
            </w:r>
          </w:p>
        </w:tc>
        <w:tc>
          <w:tcPr>
            <w:tcW w:w="3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42,634</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26,509</w:t>
            </w:r>
          </w:p>
        </w:tc>
        <w:tc>
          <w:tcPr>
            <w:tcW w:w="0" w:type="dxa"/>
            <w:vAlign w:val="bottom"/>
          </w:tcPr>
          <w:p>
            <w:pPr>
              <w:spacing w:after="0"/>
              <w:rPr>
                <w:sz w:val="1"/>
                <w:szCs w:val="1"/>
                <w:color w:val="auto"/>
              </w:rPr>
            </w:pPr>
          </w:p>
        </w:tc>
      </w:tr>
      <w:tr>
        <w:trPr>
          <w:trHeight w:val="24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Due from related parties </w:t>
            </w:r>
            <w:r>
              <w:rPr>
                <w:rFonts w:ascii="Times New Roman" w:cs="Times New Roman" w:eastAsia="Times New Roman" w:hAnsi="Times New Roman"/>
                <w:sz w:val="16"/>
                <w:szCs w:val="16"/>
                <w:color w:val="989898"/>
              </w:rPr>
              <w:t>...........................................................................................................................</w:t>
            </w:r>
          </w:p>
        </w:tc>
        <w:tc>
          <w:tcPr>
            <w:tcW w:w="3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708</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4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Inventory, net </w:t>
            </w:r>
            <w:r>
              <w:rPr>
                <w:rFonts w:ascii="Times New Roman" w:cs="Times New Roman" w:eastAsia="Times New Roman" w:hAnsi="Times New Roman"/>
                <w:sz w:val="16"/>
                <w:szCs w:val="16"/>
                <w:color w:val="989898"/>
              </w:rPr>
              <w:t>...........................................................................................................................................</w:t>
            </w:r>
          </w:p>
        </w:tc>
        <w:tc>
          <w:tcPr>
            <w:tcW w:w="3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13,665</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33,456</w:t>
            </w:r>
          </w:p>
        </w:tc>
        <w:tc>
          <w:tcPr>
            <w:tcW w:w="0" w:type="dxa"/>
            <w:vAlign w:val="bottom"/>
          </w:tcPr>
          <w:p>
            <w:pPr>
              <w:spacing w:after="0"/>
              <w:rPr>
                <w:sz w:val="1"/>
                <w:szCs w:val="1"/>
                <w:color w:val="auto"/>
              </w:rPr>
            </w:pPr>
          </w:p>
        </w:tc>
      </w:tr>
      <w:tr>
        <w:trPr>
          <w:trHeight w:val="24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Prepaid expenses </w:t>
            </w:r>
            <w:r>
              <w:rPr>
                <w:rFonts w:ascii="Times New Roman" w:cs="Times New Roman" w:eastAsia="Times New Roman" w:hAnsi="Times New Roman"/>
                <w:sz w:val="16"/>
                <w:szCs w:val="16"/>
                <w:color w:val="989898"/>
              </w:rPr>
              <w:t>......................................................................................................................................</w:t>
            </w:r>
          </w:p>
        </w:tc>
        <w:tc>
          <w:tcPr>
            <w:tcW w:w="3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11,822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19,154</w:t>
            </w:r>
          </w:p>
        </w:tc>
        <w:tc>
          <w:tcPr>
            <w:tcW w:w="0" w:type="dxa"/>
            <w:vAlign w:val="bottom"/>
          </w:tcPr>
          <w:p>
            <w:pPr>
              <w:spacing w:after="0"/>
              <w:rPr>
                <w:sz w:val="1"/>
                <w:szCs w:val="1"/>
                <w:color w:val="auto"/>
              </w:rPr>
            </w:pPr>
          </w:p>
        </w:tc>
      </w:tr>
      <w:tr>
        <w:trPr>
          <w:trHeight w:val="246"/>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Other current assets </w:t>
            </w:r>
            <w:r>
              <w:rPr>
                <w:rFonts w:ascii="Times New Roman" w:cs="Times New Roman" w:eastAsia="Times New Roman" w:hAnsi="Times New Roman"/>
                <w:sz w:val="16"/>
                <w:szCs w:val="16"/>
                <w:color w:val="989898"/>
              </w:rPr>
              <w:t>..................................................................................................................................</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6,390</w:t>
            </w:r>
          </w:p>
        </w:tc>
        <w:tc>
          <w:tcPr>
            <w:tcW w:w="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0" w:type="dxa"/>
            <w:vAlign w:val="bottom"/>
          </w:tcPr>
          <w:p>
            <w:pPr>
              <w:spacing w:after="0"/>
              <w:rPr>
                <w:sz w:val="1"/>
                <w:szCs w:val="1"/>
                <w:color w:val="auto"/>
              </w:rPr>
            </w:pPr>
          </w:p>
        </w:tc>
      </w:tr>
      <w:tr>
        <w:trPr>
          <w:trHeight w:val="214"/>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Total current assets </w:t>
            </w:r>
            <w:r>
              <w:rPr>
                <w:rFonts w:ascii="Times New Roman" w:cs="Times New Roman" w:eastAsia="Times New Roman" w:hAnsi="Times New Roman"/>
                <w:sz w:val="16"/>
                <w:szCs w:val="16"/>
                <w:color w:val="989898"/>
              </w:rPr>
              <w:t>..............................................................................................................................</w:t>
            </w:r>
          </w:p>
        </w:tc>
        <w:tc>
          <w:tcPr>
            <w:tcW w:w="3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212,622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483,544</w:t>
            </w:r>
          </w:p>
        </w:tc>
        <w:tc>
          <w:tcPr>
            <w:tcW w:w="0" w:type="dxa"/>
            <w:vAlign w:val="bottom"/>
          </w:tcPr>
          <w:p>
            <w:pPr>
              <w:spacing w:after="0"/>
              <w:rPr>
                <w:sz w:val="1"/>
                <w:szCs w:val="1"/>
                <w:color w:val="auto"/>
              </w:rPr>
            </w:pPr>
          </w:p>
        </w:tc>
      </w:tr>
      <w:tr>
        <w:trPr>
          <w:trHeight w:val="24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Property and equipment, net </w:t>
            </w:r>
            <w:r>
              <w:rPr>
                <w:rFonts w:ascii="Times New Roman" w:cs="Times New Roman" w:eastAsia="Times New Roman" w:hAnsi="Times New Roman"/>
                <w:sz w:val="16"/>
                <w:szCs w:val="16"/>
                <w:color w:val="989898"/>
                <w:w w:val="99"/>
              </w:rPr>
              <w:t>.......................................................................................................................</w:t>
            </w:r>
          </w:p>
        </w:tc>
        <w:tc>
          <w:tcPr>
            <w:tcW w:w="3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51,527</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62,719</w:t>
            </w:r>
          </w:p>
        </w:tc>
        <w:tc>
          <w:tcPr>
            <w:tcW w:w="0" w:type="dxa"/>
            <w:vAlign w:val="bottom"/>
          </w:tcPr>
          <w:p>
            <w:pPr>
              <w:spacing w:after="0"/>
              <w:rPr>
                <w:sz w:val="1"/>
                <w:szCs w:val="1"/>
                <w:color w:val="auto"/>
              </w:rPr>
            </w:pPr>
          </w:p>
        </w:tc>
      </w:tr>
      <w:tr>
        <w:trPr>
          <w:trHeight w:val="24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Intangible assets, net </w:t>
            </w:r>
            <w:r>
              <w:rPr>
                <w:rFonts w:ascii="Times New Roman" w:cs="Times New Roman" w:eastAsia="Times New Roman" w:hAnsi="Times New Roman"/>
                <w:sz w:val="16"/>
                <w:szCs w:val="16"/>
                <w:color w:val="989898"/>
                <w:w w:val="99"/>
              </w:rPr>
              <w:t>...................................................................................................................................</w:t>
            </w:r>
          </w:p>
        </w:tc>
        <w:tc>
          <w:tcPr>
            <w:tcW w:w="3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186,650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Operating lease right-of-use assets </w:t>
            </w:r>
            <w:r>
              <w:rPr>
                <w:rFonts w:ascii="Times New Roman" w:cs="Times New Roman" w:eastAsia="Times New Roman" w:hAnsi="Times New Roman"/>
                <w:sz w:val="16"/>
                <w:szCs w:val="16"/>
                <w:color w:val="989898"/>
                <w:w w:val="99"/>
              </w:rPr>
              <w:t>.............................................................................................................</w:t>
            </w:r>
          </w:p>
        </w:tc>
        <w:tc>
          <w:tcPr>
            <w:tcW w:w="3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32,758</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Long-term restricted cash </w:t>
            </w:r>
            <w:r>
              <w:rPr>
                <w:rFonts w:ascii="Times New Roman" w:cs="Times New Roman" w:eastAsia="Times New Roman" w:hAnsi="Times New Roman"/>
                <w:sz w:val="16"/>
                <w:szCs w:val="16"/>
                <w:color w:val="989898"/>
                <w:w w:val="99"/>
              </w:rPr>
              <w:t>...........................................................................................................................</w:t>
            </w:r>
          </w:p>
        </w:tc>
        <w:tc>
          <w:tcPr>
            <w:tcW w:w="3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46"/>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Other assets </w:t>
            </w:r>
            <w:r>
              <w:rPr>
                <w:rFonts w:ascii="Times New Roman" w:cs="Times New Roman" w:eastAsia="Times New Roman" w:hAnsi="Times New Roman"/>
                <w:sz w:val="16"/>
                <w:szCs w:val="16"/>
                <w:color w:val="989898"/>
                <w:w w:val="99"/>
              </w:rPr>
              <w:t>.................................................................................................................................................</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6,485</w:t>
            </w:r>
          </w:p>
        </w:tc>
        <w:tc>
          <w:tcPr>
            <w:tcW w:w="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0" w:type="dxa"/>
            <w:vAlign w:val="bottom"/>
          </w:tcPr>
          <w:p>
            <w:pPr>
              <w:spacing w:after="0"/>
              <w:rPr>
                <w:sz w:val="1"/>
                <w:szCs w:val="1"/>
                <w:color w:val="auto"/>
              </w:rPr>
            </w:pPr>
          </w:p>
        </w:tc>
      </w:tr>
      <w:tr>
        <w:trPr>
          <w:trHeight w:val="20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Total assets</w:t>
            </w:r>
            <w:r>
              <w:rPr>
                <w:rFonts w:ascii="Times New Roman" w:cs="Times New Roman" w:eastAsia="Times New Roman" w:hAnsi="Times New Roman"/>
                <w:sz w:val="16"/>
                <w:szCs w:val="16"/>
                <w:color w:val="989898"/>
              </w:rPr>
              <w:t>...........................................................................................................................................</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490,942</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554,093</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Accounts payable </w:t>
            </w:r>
            <w:r>
              <w:rPr>
                <w:rFonts w:ascii="Times New Roman" w:cs="Times New Roman" w:eastAsia="Times New Roman" w:hAnsi="Times New Roman"/>
                <w:sz w:val="16"/>
                <w:szCs w:val="16"/>
                <w:color w:val="989898"/>
              </w:rPr>
              <w:t>.....................................................................................................................................</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46,017</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44,693</w:t>
            </w:r>
          </w:p>
        </w:tc>
        <w:tc>
          <w:tcPr>
            <w:tcW w:w="0" w:type="dxa"/>
            <w:vAlign w:val="bottom"/>
          </w:tcPr>
          <w:p>
            <w:pPr>
              <w:spacing w:after="0"/>
              <w:rPr>
                <w:sz w:val="1"/>
                <w:szCs w:val="1"/>
                <w:color w:val="auto"/>
              </w:rPr>
            </w:pPr>
          </w:p>
        </w:tc>
      </w:tr>
      <w:tr>
        <w:trPr>
          <w:trHeight w:val="24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Accrued expenses </w:t>
            </w:r>
            <w:r>
              <w:rPr>
                <w:rFonts w:ascii="Times New Roman" w:cs="Times New Roman" w:eastAsia="Times New Roman" w:hAnsi="Times New Roman"/>
                <w:sz w:val="16"/>
                <w:szCs w:val="16"/>
                <w:color w:val="989898"/>
              </w:rPr>
              <w:t>.....................................................................................................................................</w:t>
            </w:r>
          </w:p>
        </w:tc>
        <w:tc>
          <w:tcPr>
            <w:tcW w:w="3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38,861</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20,108</w:t>
            </w:r>
          </w:p>
        </w:tc>
        <w:tc>
          <w:tcPr>
            <w:tcW w:w="0" w:type="dxa"/>
            <w:vAlign w:val="bottom"/>
          </w:tcPr>
          <w:p>
            <w:pPr>
              <w:spacing w:after="0"/>
              <w:rPr>
                <w:sz w:val="1"/>
                <w:szCs w:val="1"/>
                <w:color w:val="auto"/>
              </w:rPr>
            </w:pPr>
          </w:p>
        </w:tc>
      </w:tr>
      <w:tr>
        <w:trPr>
          <w:trHeight w:val="24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Due to related parties</w:t>
            </w:r>
            <w:r>
              <w:rPr>
                <w:rFonts w:ascii="Times New Roman" w:cs="Times New Roman" w:eastAsia="Times New Roman" w:hAnsi="Times New Roman"/>
                <w:sz w:val="16"/>
                <w:szCs w:val="16"/>
                <w:color w:val="989898"/>
              </w:rPr>
              <w:t>................................................................................................................................</w:t>
            </w:r>
          </w:p>
        </w:tc>
        <w:tc>
          <w:tcPr>
            <w:tcW w:w="3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3,593</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w:t>
            </w:r>
          </w:p>
        </w:tc>
        <w:tc>
          <w:tcPr>
            <w:tcW w:w="0" w:type="dxa"/>
            <w:vAlign w:val="bottom"/>
          </w:tcPr>
          <w:p>
            <w:pPr>
              <w:spacing w:after="0"/>
              <w:rPr>
                <w:sz w:val="1"/>
                <w:szCs w:val="1"/>
                <w:color w:val="auto"/>
              </w:rPr>
            </w:pPr>
          </w:p>
        </w:tc>
      </w:tr>
      <w:tr>
        <w:trPr>
          <w:trHeight w:val="24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Contract liabilities </w:t>
            </w:r>
            <w:r>
              <w:rPr>
                <w:rFonts w:ascii="Times New Roman" w:cs="Times New Roman" w:eastAsia="Times New Roman" w:hAnsi="Times New Roman"/>
                <w:sz w:val="16"/>
                <w:szCs w:val="16"/>
                <w:color w:val="989898"/>
              </w:rPr>
              <w:t>....................................................................................................................................</w:t>
            </w:r>
          </w:p>
        </w:tc>
        <w:tc>
          <w:tcPr>
            <w:tcW w:w="3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24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Current portion of lease liabilities </w:t>
            </w:r>
            <w:r>
              <w:rPr>
                <w:rFonts w:ascii="Times New Roman" w:cs="Times New Roman" w:eastAsia="Times New Roman" w:hAnsi="Times New Roman"/>
                <w:sz w:val="16"/>
                <w:szCs w:val="16"/>
                <w:color w:val="989898"/>
              </w:rPr>
              <w:t>............................................................................................................</w:t>
            </w:r>
          </w:p>
        </w:tc>
        <w:tc>
          <w:tcPr>
            <w:tcW w:w="3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6,121</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Other current liabilities</w:t>
            </w:r>
            <w:r>
              <w:rPr>
                <w:rFonts w:ascii="Times New Roman" w:cs="Times New Roman" w:eastAsia="Times New Roman" w:hAnsi="Times New Roman"/>
                <w:sz w:val="16"/>
                <w:szCs w:val="16"/>
                <w:color w:val="989898"/>
              </w:rPr>
              <w:t>.............................................................................................................................</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49,665</w:t>
            </w:r>
          </w:p>
        </w:tc>
        <w:tc>
          <w:tcPr>
            <w:tcW w:w="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33,387</w:t>
            </w:r>
          </w:p>
        </w:tc>
        <w:tc>
          <w:tcPr>
            <w:tcW w:w="0" w:type="dxa"/>
            <w:vAlign w:val="bottom"/>
          </w:tcPr>
          <w:p>
            <w:pPr>
              <w:spacing w:after="0"/>
              <w:rPr>
                <w:sz w:val="1"/>
                <w:szCs w:val="1"/>
                <w:color w:val="auto"/>
              </w:rPr>
            </w:pPr>
          </w:p>
        </w:tc>
      </w:tr>
      <w:tr>
        <w:trPr>
          <w:trHeight w:val="214"/>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Total current liabilities </w:t>
            </w:r>
            <w:r>
              <w:rPr>
                <w:rFonts w:ascii="Times New Roman" w:cs="Times New Roman" w:eastAsia="Times New Roman" w:hAnsi="Times New Roman"/>
                <w:sz w:val="16"/>
                <w:szCs w:val="16"/>
                <w:color w:val="989898"/>
              </w:rPr>
              <w:t>.........................................................................................................................</w:t>
            </w:r>
          </w:p>
        </w:tc>
        <w:tc>
          <w:tcPr>
            <w:tcW w:w="3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144,297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101,284</w:t>
            </w:r>
          </w:p>
        </w:tc>
        <w:tc>
          <w:tcPr>
            <w:tcW w:w="0" w:type="dxa"/>
            <w:vAlign w:val="bottom"/>
          </w:tcPr>
          <w:p>
            <w:pPr>
              <w:spacing w:after="0"/>
              <w:rPr>
                <w:sz w:val="1"/>
                <w:szCs w:val="1"/>
                <w:color w:val="auto"/>
              </w:rPr>
            </w:pPr>
          </w:p>
        </w:tc>
      </w:tr>
      <w:tr>
        <w:trPr>
          <w:trHeight w:val="24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Long-term debt, net of current portion </w:t>
            </w:r>
            <w:r>
              <w:rPr>
                <w:rFonts w:ascii="Times New Roman" w:cs="Times New Roman" w:eastAsia="Times New Roman" w:hAnsi="Times New Roman"/>
                <w:sz w:val="16"/>
                <w:szCs w:val="16"/>
                <w:color w:val="989898"/>
                <w:w w:val="99"/>
              </w:rPr>
              <w:t>.......................................................................................................</w:t>
            </w:r>
          </w:p>
        </w:tc>
        <w:tc>
          <w:tcPr>
            <w:tcW w:w="3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6,250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0" w:type="dxa"/>
            <w:vAlign w:val="bottom"/>
          </w:tcPr>
          <w:p>
            <w:pPr>
              <w:spacing w:after="0"/>
              <w:rPr>
                <w:sz w:val="1"/>
                <w:szCs w:val="1"/>
                <w:color w:val="auto"/>
              </w:rPr>
            </w:pPr>
          </w:p>
        </w:tc>
      </w:tr>
      <w:tr>
        <w:trPr>
          <w:trHeight w:val="24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Long-term lease liabilities </w:t>
            </w:r>
            <w:r>
              <w:rPr>
                <w:rFonts w:ascii="Times New Roman" w:cs="Times New Roman" w:eastAsia="Times New Roman" w:hAnsi="Times New Roman"/>
                <w:sz w:val="16"/>
                <w:szCs w:val="16"/>
                <w:color w:val="989898"/>
                <w:w w:val="99"/>
              </w:rPr>
              <w:t>..........................................................................................................................</w:t>
            </w:r>
          </w:p>
        </w:tc>
        <w:tc>
          <w:tcPr>
            <w:tcW w:w="3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60,013</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Other liabilities </w:t>
            </w:r>
            <w:r>
              <w:rPr>
                <w:rFonts w:ascii="Times New Roman" w:cs="Times New Roman" w:eastAsia="Times New Roman" w:hAnsi="Times New Roman"/>
                <w:sz w:val="16"/>
                <w:szCs w:val="16"/>
                <w:color w:val="989898"/>
                <w:w w:val="99"/>
              </w:rPr>
              <w:t>...........................................................................................................................................</w:t>
            </w:r>
          </w:p>
        </w:tc>
        <w:tc>
          <w:tcPr>
            <w:tcW w:w="3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22,000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21,907</w:t>
            </w:r>
          </w:p>
        </w:tc>
        <w:tc>
          <w:tcPr>
            <w:tcW w:w="0" w:type="dxa"/>
            <w:vAlign w:val="bottom"/>
          </w:tcPr>
          <w:p>
            <w:pPr>
              <w:spacing w:after="0"/>
              <w:rPr>
                <w:sz w:val="1"/>
                <w:szCs w:val="1"/>
                <w:color w:val="auto"/>
              </w:rPr>
            </w:pPr>
          </w:p>
        </w:tc>
      </w:tr>
      <w:tr>
        <w:trPr>
          <w:trHeight w:val="24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Deferred taxes </w:t>
            </w:r>
            <w:r>
              <w:rPr>
                <w:rFonts w:ascii="Times New Roman" w:cs="Times New Roman" w:eastAsia="Times New Roman" w:hAnsi="Times New Roman"/>
                <w:sz w:val="16"/>
                <w:szCs w:val="16"/>
                <w:color w:val="989898"/>
                <w:w w:val="99"/>
              </w:rPr>
              <w:t>.............................................................................................................................................</w:t>
            </w:r>
          </w:p>
        </w:tc>
        <w:tc>
          <w:tcPr>
            <w:tcW w:w="3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2,659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Warrant liability</w:t>
            </w:r>
            <w:r>
              <w:rPr>
                <w:rFonts w:ascii="Times New Roman" w:cs="Times New Roman" w:eastAsia="Times New Roman" w:hAnsi="Times New Roman"/>
                <w:sz w:val="16"/>
                <w:szCs w:val="16"/>
                <w:color w:val="989898"/>
                <w:w w:val="99"/>
              </w:rPr>
              <w:t>..........................................................................................................................................</w:t>
            </w:r>
          </w:p>
        </w:tc>
        <w:tc>
          <w:tcPr>
            <w:tcW w:w="3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418</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21,555</w:t>
            </w:r>
          </w:p>
        </w:tc>
        <w:tc>
          <w:tcPr>
            <w:tcW w:w="0" w:type="dxa"/>
            <w:vAlign w:val="bottom"/>
          </w:tcPr>
          <w:p>
            <w:pPr>
              <w:spacing w:after="0"/>
              <w:rPr>
                <w:sz w:val="1"/>
                <w:szCs w:val="1"/>
                <w:color w:val="auto"/>
              </w:rPr>
            </w:pPr>
          </w:p>
        </w:tc>
      </w:tr>
      <w:tr>
        <w:trPr>
          <w:trHeight w:val="246"/>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Earn-out contingent liability </w:t>
            </w:r>
            <w:r>
              <w:rPr>
                <w:rFonts w:ascii="Times New Roman" w:cs="Times New Roman" w:eastAsia="Times New Roman" w:hAnsi="Times New Roman"/>
                <w:sz w:val="16"/>
                <w:szCs w:val="16"/>
                <w:color w:val="989898"/>
                <w:w w:val="99"/>
              </w:rPr>
              <w:t>.......................................................................................................................</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1,600</w:t>
            </w:r>
          </w:p>
        </w:tc>
        <w:tc>
          <w:tcPr>
            <w:tcW w:w="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10,244</w:t>
            </w:r>
          </w:p>
        </w:tc>
        <w:tc>
          <w:tcPr>
            <w:tcW w:w="0" w:type="dxa"/>
            <w:vAlign w:val="bottom"/>
          </w:tcPr>
          <w:p>
            <w:pPr>
              <w:spacing w:after="0"/>
              <w:rPr>
                <w:sz w:val="1"/>
                <w:szCs w:val="1"/>
                <w:color w:val="auto"/>
              </w:rPr>
            </w:pPr>
          </w:p>
        </w:tc>
      </w:tr>
      <w:tr>
        <w:trPr>
          <w:trHeight w:val="22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Total liabilities </w:t>
            </w:r>
            <w:r>
              <w:rPr>
                <w:rFonts w:ascii="Times New Roman" w:cs="Times New Roman" w:eastAsia="Times New Roman" w:hAnsi="Times New Roman"/>
                <w:sz w:val="16"/>
                <w:szCs w:val="16"/>
                <w:color w:val="989898"/>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237,237</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165,990</w:t>
            </w:r>
          </w:p>
        </w:tc>
        <w:tc>
          <w:tcPr>
            <w:tcW w:w="0" w:type="dxa"/>
            <w:vAlign w:val="bottom"/>
          </w:tcPr>
          <w:p>
            <w:pPr>
              <w:spacing w:after="0"/>
              <w:rPr>
                <w:sz w:val="1"/>
                <w:szCs w:val="1"/>
                <w:color w:val="auto"/>
              </w:rPr>
            </w:pPr>
          </w:p>
        </w:tc>
      </w:tr>
      <w:tr>
        <w:trPr>
          <w:trHeight w:val="454"/>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$0.0001 par value: 1,000,000 shares authorized at December 31, 2022 and</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640" w:type="dxa"/>
            <w:vAlign w:val="bottom"/>
          </w:tcPr>
          <w:p>
            <w:pPr>
              <w:ind w:left="360"/>
              <w:spacing w:after="0" w:line="160" w:lineRule="exact"/>
              <w:rPr>
                <w:sz w:val="20"/>
                <w:szCs w:val="20"/>
                <w:color w:val="auto"/>
              </w:rPr>
            </w:pPr>
            <w:r>
              <w:rPr>
                <w:rFonts w:ascii="Times New Roman" w:cs="Times New Roman" w:eastAsia="Times New Roman" w:hAnsi="Times New Roman"/>
                <w:sz w:val="16"/>
                <w:szCs w:val="16"/>
                <w:color w:val="auto"/>
              </w:rPr>
              <w:t>December 31, 2021; 0 shares issued and outstanding at December 31, 2022 and December 31,</w:t>
            </w:r>
          </w:p>
        </w:tc>
        <w:tc>
          <w:tcPr>
            <w:tcW w:w="320" w:type="dxa"/>
            <w:vAlign w:val="bottom"/>
          </w:tcPr>
          <w:p>
            <w:pPr>
              <w:spacing w:after="0"/>
              <w:rPr>
                <w:sz w:val="13"/>
                <w:szCs w:val="13"/>
                <w:color w:val="auto"/>
              </w:rPr>
            </w:pPr>
          </w:p>
        </w:tc>
        <w:tc>
          <w:tcPr>
            <w:tcW w:w="9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2021, respectively </w:t>
            </w:r>
            <w:r>
              <w:rPr>
                <w:rFonts w:ascii="Times New Roman" w:cs="Times New Roman" w:eastAsia="Times New Roman" w:hAnsi="Times New Roman"/>
                <w:sz w:val="16"/>
                <w:szCs w:val="16"/>
                <w:color w:val="989898"/>
              </w:rPr>
              <w:t>..............................................................................................................................</w:t>
            </w: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common stock, $0.0001 par value: 1,000,000,000 shares authorized, 388,511,138 shares</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640" w:type="dxa"/>
            <w:vAlign w:val="bottom"/>
          </w:tcPr>
          <w:p>
            <w:pPr>
              <w:ind w:left="360"/>
              <w:spacing w:after="0" w:line="160" w:lineRule="exact"/>
              <w:rPr>
                <w:sz w:val="20"/>
                <w:szCs w:val="20"/>
                <w:color w:val="auto"/>
              </w:rPr>
            </w:pPr>
            <w:r>
              <w:rPr>
                <w:rFonts w:ascii="Times New Roman" w:cs="Times New Roman" w:eastAsia="Times New Roman" w:hAnsi="Times New Roman"/>
                <w:sz w:val="16"/>
                <w:szCs w:val="16"/>
                <w:color w:val="auto"/>
              </w:rPr>
              <w:t>issued and outstanding at December 31, 2022 and $0.0001 par value: 380,000,000 shares</w:t>
            </w:r>
          </w:p>
        </w:tc>
        <w:tc>
          <w:tcPr>
            <w:tcW w:w="320" w:type="dxa"/>
            <w:vAlign w:val="bottom"/>
          </w:tcPr>
          <w:p>
            <w:pPr>
              <w:spacing w:after="0"/>
              <w:rPr>
                <w:sz w:val="13"/>
                <w:szCs w:val="13"/>
                <w:color w:val="auto"/>
              </w:rPr>
            </w:pPr>
          </w:p>
        </w:tc>
        <w:tc>
          <w:tcPr>
            <w:tcW w:w="9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9"/>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authorized, 242,647,604 shares issued and outstanding at December 31, 2021</w:t>
            </w:r>
            <w:r>
              <w:rPr>
                <w:rFonts w:ascii="Times New Roman" w:cs="Times New Roman" w:eastAsia="Times New Roman" w:hAnsi="Times New Roman"/>
                <w:sz w:val="16"/>
                <w:szCs w:val="16"/>
                <w:color w:val="989898"/>
              </w:rPr>
              <w:t>................................</w:t>
            </w: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Additional paid-in capital </w:t>
            </w:r>
            <w:r>
              <w:rPr>
                <w:rFonts w:ascii="Times New Roman" w:cs="Times New Roman" w:eastAsia="Times New Roman" w:hAnsi="Times New Roman"/>
                <w:sz w:val="16"/>
                <w:szCs w:val="16"/>
                <w:color w:val="989898"/>
                <w:w w:val="99"/>
              </w:rPr>
              <w:t>...........................................................................................................................</w:t>
            </w:r>
          </w:p>
        </w:tc>
        <w:tc>
          <w:tcPr>
            <w:tcW w:w="3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1,378,088</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963,520</w:t>
            </w:r>
          </w:p>
        </w:tc>
        <w:tc>
          <w:tcPr>
            <w:tcW w:w="0" w:type="dxa"/>
            <w:vAlign w:val="bottom"/>
          </w:tcPr>
          <w:p>
            <w:pPr>
              <w:spacing w:after="0"/>
              <w:rPr>
                <w:sz w:val="1"/>
                <w:szCs w:val="1"/>
                <w:color w:val="auto"/>
              </w:rPr>
            </w:pPr>
          </w:p>
        </w:tc>
      </w:tr>
      <w:tr>
        <w:trPr>
          <w:trHeight w:val="246"/>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Accumulated deficit</w:t>
            </w:r>
            <w:r>
              <w:rPr>
                <w:rFonts w:ascii="Times New Roman" w:cs="Times New Roman" w:eastAsia="Times New Roman" w:hAnsi="Times New Roman"/>
                <w:sz w:val="16"/>
                <w:szCs w:val="16"/>
                <w:color w:val="989898"/>
                <w:w w:val="99"/>
              </w:rPr>
              <w:t>....................................................................................................................................</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(1,124,421)</w:t>
            </w:r>
          </w:p>
        </w:tc>
        <w:tc>
          <w:tcPr>
            <w:tcW w:w="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(575,441)</w:t>
            </w:r>
          </w:p>
        </w:tc>
        <w:tc>
          <w:tcPr>
            <w:tcW w:w="0" w:type="dxa"/>
            <w:vAlign w:val="bottom"/>
          </w:tcPr>
          <w:p>
            <w:pPr>
              <w:spacing w:after="0"/>
              <w:rPr>
                <w:sz w:val="1"/>
                <w:szCs w:val="1"/>
                <w:color w:val="auto"/>
              </w:rPr>
            </w:pPr>
          </w:p>
        </w:tc>
      </w:tr>
      <w:tr>
        <w:trPr>
          <w:trHeight w:val="22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Total stockholders’ equity </w:t>
            </w:r>
            <w:r>
              <w:rPr>
                <w:rFonts w:ascii="Times New Roman" w:cs="Times New Roman" w:eastAsia="Times New Roman" w:hAnsi="Times New Roman"/>
                <w:sz w:val="16"/>
                <w:szCs w:val="16"/>
                <w:color w:val="989898"/>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253,705</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388,103</w:t>
            </w:r>
          </w:p>
        </w:tc>
        <w:tc>
          <w:tcPr>
            <w:tcW w:w="0" w:type="dxa"/>
            <w:vAlign w:val="bottom"/>
          </w:tcPr>
          <w:p>
            <w:pPr>
              <w:spacing w:after="0"/>
              <w:rPr>
                <w:sz w:val="1"/>
                <w:szCs w:val="1"/>
                <w:color w:val="auto"/>
              </w:rPr>
            </w:pPr>
          </w:p>
        </w:tc>
      </w:tr>
      <w:tr>
        <w:trPr>
          <w:trHeight w:val="200"/>
        </w:trPr>
        <w:tc>
          <w:tcPr>
            <w:tcW w:w="6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Total liabilities and stockholders’ equity </w:t>
            </w:r>
            <w:r>
              <w:rPr>
                <w:rFonts w:ascii="Times New Roman" w:cs="Times New Roman" w:eastAsia="Times New Roman" w:hAnsi="Times New Roman"/>
                <w:sz w:val="16"/>
                <w:szCs w:val="16"/>
                <w:color w:val="989898"/>
              </w:rPr>
              <w:t>.............................................................................................</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490,942</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554,093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-6831965</wp:posOffset>
            </wp:positionV>
            <wp:extent cx="5969000" cy="68389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8">
                      <a:extLst>
                        <a:ext uri="{28A0092B-C50C-407E-A947-70E740481C1C}"/>
                      </a:extLst>
                    </a:blip>
                    <a:srcRect/>
                    <a:stretch>
                      <a:fillRect/>
                    </a:stretch>
                  </pic:blipFill>
                  <pic:spPr bwMode="auto">
                    <a:xfrm>
                      <a:off x="0" y="0"/>
                      <a:ext cx="5969000" cy="6838950"/>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10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9360"/>
          </w:cols>
          <w:pgMar w:left="1440" w:top="1011" w:right="1440" w:bottom="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GeneDx Holdings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and share amounts)</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52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9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5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0"/>
              <w:spacing w:after="0" w:line="220" w:lineRule="exact"/>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0"/>
              <w:spacing w:after="0" w:line="220" w:lineRule="exact"/>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60"/>
              <w:spacing w:after="0" w:line="220" w:lineRule="exact"/>
              <w:rPr>
                <w:sz w:val="20"/>
                <w:szCs w:val="20"/>
                <w:color w:val="auto"/>
              </w:rPr>
            </w:pPr>
            <w:r>
              <w:rPr>
                <w:rFonts w:ascii="Times New Roman" w:cs="Times New Roman" w:eastAsia="Times New Roman" w:hAnsi="Times New Roman"/>
                <w:sz w:val="20"/>
                <w:szCs w:val="20"/>
                <w:b w:val="1"/>
                <w:bCs w:val="1"/>
                <w:color w:val="auto"/>
                <w:w w:val="99"/>
              </w:rPr>
              <w:t>2020</w:t>
            </w:r>
          </w:p>
        </w:tc>
        <w:tc>
          <w:tcPr>
            <w:tcW w:w="0" w:type="dxa"/>
            <w:vAlign w:val="bottom"/>
          </w:tcPr>
          <w:p>
            <w:pPr>
              <w:spacing w:after="0"/>
              <w:rPr>
                <w:sz w:val="1"/>
                <w:szCs w:val="1"/>
                <w:color w:val="auto"/>
              </w:rPr>
            </w:pPr>
          </w:p>
        </w:tc>
      </w:tr>
      <w:tr>
        <w:trPr>
          <w:trHeight w:val="262"/>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26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Diagnostic test revenue (including related party revenue of</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2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$2,209, $90 and $285 for the years ended December 31, 2022,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227,334</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205,100</w:t>
            </w:r>
          </w:p>
        </w:tc>
        <w:tc>
          <w:tcPr>
            <w:tcW w:w="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175,351</w:t>
            </w:r>
          </w:p>
        </w:tc>
        <w:tc>
          <w:tcPr>
            <w:tcW w:w="0" w:type="dxa"/>
            <w:vAlign w:val="bottom"/>
          </w:tcPr>
          <w:p>
            <w:pPr>
              <w:spacing w:after="0"/>
              <w:rPr>
                <w:sz w:val="1"/>
                <w:szCs w:val="1"/>
                <w:color w:val="auto"/>
              </w:rPr>
            </w:pPr>
          </w:p>
        </w:tc>
      </w:tr>
      <w:tr>
        <w:trPr>
          <w:trHeight w:val="260"/>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2021, and 2020, respectively) </w:t>
            </w:r>
            <w:r>
              <w:rPr>
                <w:rFonts w:ascii="Times New Roman" w:cs="Times New Roman" w:eastAsia="Times New Roman" w:hAnsi="Times New Roman"/>
                <w:sz w:val="20"/>
                <w:szCs w:val="20"/>
                <w:color w:val="989898"/>
              </w:rPr>
              <w:t>........................................................</w:t>
            </w:r>
          </w:p>
        </w:tc>
        <w:tc>
          <w:tcPr>
            <w:tcW w:w="20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26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Other revenue (including related party revenue of $353, $232</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2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and $3 for the years ended December 31, 2022, 2021, and 2020,</w:t>
            </w:r>
          </w:p>
        </w:tc>
        <w:tc>
          <w:tcPr>
            <w:tcW w:w="2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7,360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7,095</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3,971</w:t>
            </w:r>
          </w:p>
        </w:tc>
        <w:tc>
          <w:tcPr>
            <w:tcW w:w="0" w:type="dxa"/>
            <w:vAlign w:val="bottom"/>
          </w:tcPr>
          <w:p>
            <w:pPr>
              <w:spacing w:after="0"/>
              <w:rPr>
                <w:sz w:val="1"/>
                <w:szCs w:val="1"/>
                <w:color w:val="auto"/>
              </w:rPr>
            </w:pPr>
          </w:p>
        </w:tc>
      </w:tr>
      <w:tr>
        <w:trPr>
          <w:trHeight w:val="263"/>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respectively) </w:t>
            </w:r>
            <w:r>
              <w:rPr>
                <w:rFonts w:ascii="Times New Roman" w:cs="Times New Roman" w:eastAsia="Times New Roman" w:hAnsi="Times New Roman"/>
                <w:sz w:val="20"/>
                <w:szCs w:val="20"/>
                <w:color w:val="989898"/>
              </w:rPr>
              <w:t>...................................................................................</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revenue </w:t>
            </w:r>
            <w:r>
              <w:rPr>
                <w:rFonts w:ascii="Times New Roman" w:cs="Times New Roman" w:eastAsia="Times New Roman" w:hAnsi="Times New Roman"/>
                <w:sz w:val="20"/>
                <w:szCs w:val="20"/>
                <w:color w:val="989898"/>
              </w:rPr>
              <w:t>........................................................................</w:t>
            </w: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234,694</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212,195</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179,322</w:t>
            </w:r>
          </w:p>
        </w:tc>
        <w:tc>
          <w:tcPr>
            <w:tcW w:w="0" w:type="dxa"/>
            <w:vAlign w:val="bottom"/>
          </w:tcPr>
          <w:p>
            <w:pPr>
              <w:spacing w:after="0"/>
              <w:rPr>
                <w:sz w:val="1"/>
                <w:szCs w:val="1"/>
                <w:color w:val="auto"/>
              </w:rPr>
            </w:pPr>
          </w:p>
        </w:tc>
      </w:tr>
      <w:tr>
        <w:trPr>
          <w:trHeight w:val="192"/>
        </w:trPr>
        <w:tc>
          <w:tcPr>
            <w:tcW w:w="5260" w:type="dxa"/>
            <w:vAlign w:val="bottom"/>
          </w:tcPr>
          <w:p>
            <w:pPr>
              <w:spacing w:after="0" w:line="192" w:lineRule="exact"/>
              <w:rPr>
                <w:sz w:val="20"/>
                <w:szCs w:val="20"/>
                <w:color w:val="auto"/>
              </w:rPr>
            </w:pPr>
            <w:r>
              <w:rPr>
                <w:rFonts w:ascii="Times New Roman" w:cs="Times New Roman" w:eastAsia="Times New Roman" w:hAnsi="Times New Roman"/>
                <w:sz w:val="20"/>
                <w:szCs w:val="20"/>
                <w:color w:val="auto"/>
              </w:rPr>
              <w:t>Cost of services (including related party expenses of $4,169,</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$3,975 and $2,189 for the years ended December 31, 2022,</w:t>
            </w:r>
          </w:p>
        </w:tc>
        <w:tc>
          <w:tcPr>
            <w:tcW w:w="2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261,444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228,797</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175,296</w:t>
            </w:r>
          </w:p>
        </w:tc>
        <w:tc>
          <w:tcPr>
            <w:tcW w:w="0" w:type="dxa"/>
            <w:vAlign w:val="bottom"/>
          </w:tcPr>
          <w:p>
            <w:pPr>
              <w:spacing w:after="0"/>
              <w:rPr>
                <w:sz w:val="1"/>
                <w:szCs w:val="1"/>
                <w:color w:val="auto"/>
              </w:rPr>
            </w:pPr>
          </w:p>
        </w:tc>
      </w:tr>
      <w:tr>
        <w:trPr>
          <w:trHeight w:val="263"/>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2021, and 2020, respectively) </w:t>
            </w:r>
            <w:r>
              <w:rPr>
                <w:rFonts w:ascii="Times New Roman" w:cs="Times New Roman" w:eastAsia="Times New Roman" w:hAnsi="Times New Roman"/>
                <w:sz w:val="20"/>
                <w:szCs w:val="20"/>
                <w:color w:val="989898"/>
              </w:rPr>
              <w:t>.....................................................</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Gross (loss) profit </w:t>
            </w:r>
            <w:r>
              <w:rPr>
                <w:rFonts w:ascii="Times New Roman" w:cs="Times New Roman" w:eastAsia="Times New Roman" w:hAnsi="Times New Roman"/>
                <w:sz w:val="20"/>
                <w:szCs w:val="20"/>
                <w:color w:val="989898"/>
              </w:rPr>
              <w:t>..................................................................</w:t>
            </w: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(26,750)</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(16,602)</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4,026</w:t>
            </w:r>
          </w:p>
        </w:tc>
        <w:tc>
          <w:tcPr>
            <w:tcW w:w="0" w:type="dxa"/>
            <w:vAlign w:val="bottom"/>
          </w:tcPr>
          <w:p>
            <w:pPr>
              <w:spacing w:after="0"/>
              <w:rPr>
                <w:sz w:val="1"/>
                <w:szCs w:val="1"/>
                <w:color w:val="auto"/>
              </w:rPr>
            </w:pPr>
          </w:p>
        </w:tc>
      </w:tr>
      <w:tr>
        <w:trPr>
          <w:trHeight w:val="262"/>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Research and development </w:t>
            </w:r>
            <w:r>
              <w:rPr>
                <w:rFonts w:ascii="Times New Roman" w:cs="Times New Roman" w:eastAsia="Times New Roman" w:hAnsi="Times New Roman"/>
                <w:sz w:val="20"/>
                <w:szCs w:val="20"/>
                <w:color w:val="989898"/>
                <w:w w:val="99"/>
              </w:rPr>
              <w:t>.............................................................</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86,203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105,162</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72,700</w:t>
            </w:r>
          </w:p>
        </w:tc>
        <w:tc>
          <w:tcPr>
            <w:tcW w:w="0" w:type="dxa"/>
            <w:vAlign w:val="bottom"/>
          </w:tcPr>
          <w:p>
            <w:pPr>
              <w:spacing w:after="0"/>
              <w:rPr>
                <w:sz w:val="1"/>
                <w:szCs w:val="1"/>
                <w:color w:val="auto"/>
              </w:rPr>
            </w:pP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Selling and marketing</w:t>
            </w:r>
            <w:r>
              <w:rPr>
                <w:rFonts w:ascii="Times New Roman" w:cs="Times New Roman" w:eastAsia="Times New Roman" w:hAnsi="Times New Roman"/>
                <w:sz w:val="20"/>
                <w:szCs w:val="20"/>
                <w:color w:val="989898"/>
              </w:rPr>
              <w:t>.....................................................................</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134,913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112,738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63,183</w:t>
            </w:r>
          </w:p>
        </w:tc>
        <w:tc>
          <w:tcPr>
            <w:tcW w:w="0" w:type="dxa"/>
            <w:vAlign w:val="bottom"/>
          </w:tcPr>
          <w:p>
            <w:pPr>
              <w:spacing w:after="0"/>
              <w:rPr>
                <w:sz w:val="1"/>
                <w:szCs w:val="1"/>
                <w:color w:val="auto"/>
              </w:rPr>
            </w:pP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General and administrative </w:t>
            </w:r>
            <w:r>
              <w:rPr>
                <w:rFonts w:ascii="Times New Roman" w:cs="Times New Roman" w:eastAsia="Times New Roman" w:hAnsi="Times New Roman"/>
                <w:sz w:val="20"/>
                <w:szCs w:val="20"/>
                <w:color w:val="989898"/>
                <w:w w:val="99"/>
              </w:rPr>
              <w:t>.............................................................</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203,329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205,988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100,742</w:t>
            </w:r>
          </w:p>
        </w:tc>
        <w:tc>
          <w:tcPr>
            <w:tcW w:w="0" w:type="dxa"/>
            <w:vAlign w:val="bottom"/>
          </w:tcPr>
          <w:p>
            <w:pPr>
              <w:spacing w:after="0"/>
              <w:rPr>
                <w:sz w:val="1"/>
                <w:szCs w:val="1"/>
                <w:color w:val="auto"/>
              </w:rPr>
            </w:pP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Related party expenses </w:t>
            </w:r>
            <w:r>
              <w:rPr>
                <w:rFonts w:ascii="Times New Roman" w:cs="Times New Roman" w:eastAsia="Times New Roman" w:hAnsi="Times New Roman"/>
                <w:sz w:val="20"/>
                <w:szCs w:val="20"/>
                <w:color w:val="989898"/>
                <w:w w:val="99"/>
              </w:rPr>
              <w:t>...................................................................</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9,395</w:t>
            </w:r>
          </w:p>
        </w:tc>
        <w:tc>
          <w:tcPr>
            <w:tcW w:w="0" w:type="dxa"/>
            <w:vAlign w:val="bottom"/>
          </w:tcPr>
          <w:p>
            <w:pPr>
              <w:spacing w:after="0"/>
              <w:rPr>
                <w:sz w:val="1"/>
                <w:szCs w:val="1"/>
                <w:color w:val="auto"/>
              </w:rPr>
            </w:pP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Impairment loss </w:t>
            </w:r>
            <w:r>
              <w:rPr>
                <w:rFonts w:ascii="Times New Roman" w:cs="Times New Roman" w:eastAsia="Times New Roman" w:hAnsi="Times New Roman"/>
                <w:sz w:val="20"/>
                <w:szCs w:val="20"/>
                <w:color w:val="989898"/>
                <w:w w:val="99"/>
              </w:rPr>
              <w:t>..............................................................................</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210,145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5"/>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Loss from operations </w:t>
            </w:r>
            <w:r>
              <w:rPr>
                <w:rFonts w:ascii="Times New Roman" w:cs="Times New Roman" w:eastAsia="Times New Roman" w:hAnsi="Times New Roman"/>
                <w:sz w:val="20"/>
                <w:szCs w:val="20"/>
                <w:color w:val="989898"/>
              </w:rPr>
              <w:t>.............................................................</w:t>
            </w: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(667,652)</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(446,149)</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(241,994)</w:t>
            </w:r>
          </w:p>
        </w:tc>
        <w:tc>
          <w:tcPr>
            <w:tcW w:w="0" w:type="dxa"/>
            <w:vAlign w:val="bottom"/>
          </w:tcPr>
          <w:p>
            <w:pPr>
              <w:spacing w:after="0"/>
              <w:rPr>
                <w:sz w:val="1"/>
                <w:szCs w:val="1"/>
                <w:color w:val="auto"/>
              </w:rPr>
            </w:pPr>
          </w:p>
        </w:tc>
      </w:tr>
      <w:tr>
        <w:trPr>
          <w:trHeight w:val="262"/>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260" w:type="dxa"/>
            <w:vAlign w:val="bottom"/>
          </w:tcPr>
          <w:p>
            <w:pPr>
              <w:ind w:left="240"/>
              <w:spacing w:after="0" w:line="205" w:lineRule="exact"/>
              <w:rPr>
                <w:sz w:val="20"/>
                <w:szCs w:val="20"/>
                <w:color w:val="auto"/>
              </w:rPr>
            </w:pPr>
            <w:r>
              <w:rPr>
                <w:rFonts w:ascii="Times New Roman" w:cs="Times New Roman" w:eastAsia="Times New Roman" w:hAnsi="Times New Roman"/>
                <w:sz w:val="20"/>
                <w:szCs w:val="20"/>
                <w:color w:val="auto"/>
              </w:rPr>
              <w:t>Change in fair market value of warrant and earn-out</w:t>
            </w:r>
          </w:p>
        </w:tc>
        <w:tc>
          <w:tcPr>
            <w:tcW w:w="2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70,229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198,401</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contingent liabilities </w:t>
            </w:r>
            <w:r>
              <w:rPr>
                <w:rFonts w:ascii="Times New Roman" w:cs="Times New Roman" w:eastAsia="Times New Roman" w:hAnsi="Times New Roman"/>
                <w:sz w:val="20"/>
                <w:szCs w:val="20"/>
                <w:color w:val="989898"/>
              </w:rPr>
              <w:t>..................................................................</w:t>
            </w:r>
          </w:p>
        </w:tc>
        <w:tc>
          <w:tcPr>
            <w:tcW w:w="20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Interest income </w:t>
            </w:r>
            <w:r>
              <w:rPr>
                <w:rFonts w:ascii="Times New Roman" w:cs="Times New Roman" w:eastAsia="Times New Roman" w:hAnsi="Times New Roman"/>
                <w:sz w:val="20"/>
                <w:szCs w:val="20"/>
                <w:color w:val="989898"/>
              </w:rPr>
              <w:t>..........................................................................</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w:t>
            </w:r>
          </w:p>
        </w:tc>
        <w:tc>
          <w:tcPr>
            <w:tcW w:w="0" w:type="dxa"/>
            <w:vAlign w:val="bottom"/>
          </w:tcPr>
          <w:p>
            <w:pPr>
              <w:spacing w:after="0"/>
              <w:rPr>
                <w:sz w:val="1"/>
                <w:szCs w:val="1"/>
                <w:color w:val="auto"/>
              </w:rPr>
            </w:pPr>
          </w:p>
        </w:tc>
      </w:tr>
      <w:tr>
        <w:trPr>
          <w:trHeight w:val="285"/>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Interest expense </w:t>
            </w:r>
            <w:r>
              <w:rPr>
                <w:rFonts w:ascii="Times New Roman" w:cs="Times New Roman" w:eastAsia="Times New Roman" w:hAnsi="Times New Roman"/>
                <w:sz w:val="20"/>
                <w:szCs w:val="20"/>
                <w:color w:val="989898"/>
              </w:rPr>
              <w:t>.........................................................................</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(2,474)</w:t>
            </w:r>
          </w:p>
        </w:tc>
        <w:tc>
          <w:tcPr>
            <w:tcW w:w="0" w:type="dxa"/>
            <w:vAlign w:val="bottom"/>
          </w:tcPr>
          <w:p>
            <w:pPr>
              <w:spacing w:after="0"/>
              <w:rPr>
                <w:sz w:val="1"/>
                <w:szCs w:val="1"/>
                <w:color w:val="auto"/>
              </w:rPr>
            </w:pPr>
          </w:p>
        </w:tc>
      </w:tr>
      <w:tr>
        <w:trPr>
          <w:trHeight w:val="288"/>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income, net </w:t>
            </w:r>
            <w:r>
              <w:rPr>
                <w:rFonts w:ascii="Times New Roman" w:cs="Times New Roman" w:eastAsia="Times New Roman" w:hAnsi="Times New Roman"/>
                <w:sz w:val="20"/>
                <w:szCs w:val="20"/>
                <w:color w:val="989898"/>
              </w:rPr>
              <w:t>......................................................................</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5,114</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2,622</w:t>
            </w:r>
          </w:p>
        </w:tc>
        <w:tc>
          <w:tcPr>
            <w:tcW w:w="0" w:type="dxa"/>
            <w:vAlign w:val="bottom"/>
          </w:tcPr>
          <w:p>
            <w:pPr>
              <w:spacing w:after="0"/>
              <w:rPr>
                <w:sz w:val="1"/>
                <w:szCs w:val="1"/>
                <w:color w:val="auto"/>
              </w:rPr>
            </w:pPr>
          </w:p>
        </w:tc>
      </w:tr>
      <w:tr>
        <w:trPr>
          <w:trHeight w:val="265"/>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other income, net</w:t>
            </w:r>
            <w:r>
              <w:rPr>
                <w:rFonts w:ascii="Times New Roman" w:cs="Times New Roman" w:eastAsia="Times New Roman" w:hAnsi="Times New Roman"/>
                <w:sz w:val="20"/>
                <w:szCs w:val="20"/>
                <w:color w:val="989898"/>
              </w:rPr>
              <w:t>...........................................................</w:t>
            </w: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69,620</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200,759</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654</w:t>
            </w:r>
          </w:p>
        </w:tc>
        <w:tc>
          <w:tcPr>
            <w:tcW w:w="0" w:type="dxa"/>
            <w:vAlign w:val="bottom"/>
          </w:tcPr>
          <w:p>
            <w:pPr>
              <w:spacing w:after="0"/>
              <w:rPr>
                <w:sz w:val="1"/>
                <w:szCs w:val="1"/>
                <w:color w:val="auto"/>
              </w:rPr>
            </w:pPr>
          </w:p>
        </w:tc>
      </w:tr>
      <w:tr>
        <w:trPr>
          <w:trHeight w:val="262"/>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Loss before income taxes </w:t>
            </w:r>
            <w:r>
              <w:rPr>
                <w:rFonts w:ascii="Times New Roman" w:cs="Times New Roman" w:eastAsia="Times New Roman" w:hAnsi="Times New Roman"/>
                <w:sz w:val="20"/>
                <w:szCs w:val="20"/>
                <w:color w:val="989898"/>
              </w:rPr>
              <w:t>...............................................................</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(598,032)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(245,390)</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(241,340)</w:t>
            </w:r>
          </w:p>
        </w:tc>
        <w:tc>
          <w:tcPr>
            <w:tcW w:w="0" w:type="dxa"/>
            <w:vAlign w:val="bottom"/>
          </w:tcPr>
          <w:p>
            <w:pPr>
              <w:spacing w:after="0"/>
              <w:rPr>
                <w:sz w:val="1"/>
                <w:szCs w:val="1"/>
                <w:color w:val="auto"/>
              </w:rPr>
            </w:pP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Income tax benefit </w:t>
            </w:r>
            <w:r>
              <w:rPr>
                <w:rFonts w:ascii="Times New Roman" w:cs="Times New Roman" w:eastAsia="Times New Roman" w:hAnsi="Times New Roman"/>
                <w:sz w:val="20"/>
                <w:szCs w:val="20"/>
                <w:color w:val="989898"/>
                <w:w w:val="99"/>
              </w:rPr>
              <w:t>..........................................................................</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49,052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Net loss and comprehensive loss </w:t>
            </w:r>
            <w:r>
              <w:rPr>
                <w:rFonts w:ascii="Times New Roman" w:cs="Times New Roman" w:eastAsia="Times New Roman" w:hAnsi="Times New Roman"/>
                <w:sz w:val="20"/>
                <w:szCs w:val="20"/>
                <w:color w:val="989898"/>
                <w:w w:val="9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(548,980)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(245,390)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(241,340)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shares outstanding, Class A common stock</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337,819,680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108,077,439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5,131</w:t>
            </w:r>
          </w:p>
        </w:tc>
        <w:tc>
          <w:tcPr>
            <w:tcW w:w="0" w:type="dxa"/>
            <w:vAlign w:val="bottom"/>
          </w:tcPr>
          <w:p>
            <w:pPr>
              <w:spacing w:after="0"/>
              <w:rPr>
                <w:sz w:val="1"/>
                <w:szCs w:val="1"/>
                <w:color w:val="auto"/>
              </w:rPr>
            </w:pP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Basic and diluted net loss per share, Class A common stock</w:t>
            </w:r>
            <w:r>
              <w:rPr>
                <w:rFonts w:ascii="Times New Roman" w:cs="Times New Roman" w:eastAsia="Times New Roman" w:hAnsi="Times New Roman"/>
                <w:sz w:val="20"/>
                <w:szCs w:val="20"/>
                <w:color w:val="98989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-5204460</wp:posOffset>
            </wp:positionV>
            <wp:extent cx="5969000" cy="522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9">
                      <a:extLst>
                        <a:ext uri="{28A0092B-C50C-407E-A947-70E740481C1C}"/>
                      </a:extLst>
                    </a:blip>
                    <a:srcRect/>
                    <a:stretch>
                      <a:fillRect/>
                    </a:stretch>
                  </pic:blipFill>
                  <pic:spPr bwMode="auto">
                    <a:xfrm>
                      <a:off x="0" y="0"/>
                      <a:ext cx="5969000" cy="522605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9360"/>
          </w:cols>
          <w:pgMar w:left="1440" w:top="1371" w:right="1440" w:bottom="0" w:gutter="0" w:footer="0" w:header="0"/>
          <w:type w:val="continuous"/>
        </w:sectPr>
      </w:pPr>
    </w:p>
    <w:bookmarkStart w:id="100" w:name="page101"/>
    <w:bookmarkEnd w:id="100"/>
    <w:p>
      <w:pPr>
        <w:jc w:val="center"/>
        <w:ind w:right="-278"/>
        <w:spacing w:after="0"/>
        <w:rPr>
          <w:sz w:val="20"/>
          <w:szCs w:val="20"/>
          <w:color w:val="auto"/>
        </w:rPr>
      </w:pPr>
      <w:r>
        <w:rPr>
          <w:rFonts w:ascii="Times New Roman" w:cs="Times New Roman" w:eastAsia="Times New Roman" w:hAnsi="Times New Roman"/>
          <w:sz w:val="20"/>
          <w:szCs w:val="20"/>
          <w:b w:val="1"/>
          <w:bCs w:val="1"/>
          <w:color w:val="auto"/>
        </w:rPr>
        <w:t>GeneDx Holdings Corp.</w:t>
      </w:r>
    </w:p>
    <w:p>
      <w:pPr>
        <w:spacing w:after="0" w:line="34" w:lineRule="exact"/>
        <w:rPr>
          <w:sz w:val="20"/>
          <w:szCs w:val="20"/>
          <w:color w:val="auto"/>
        </w:rPr>
      </w:pPr>
    </w:p>
    <w:p>
      <w:pPr>
        <w:jc w:val="center"/>
        <w:ind w:right="-278"/>
        <w:spacing w:after="0"/>
        <w:rPr>
          <w:sz w:val="20"/>
          <w:szCs w:val="20"/>
          <w:color w:val="auto"/>
        </w:rPr>
      </w:pPr>
      <w:r>
        <w:rPr>
          <w:rFonts w:ascii="Times New Roman" w:cs="Times New Roman" w:eastAsia="Times New Roman" w:hAnsi="Times New Roman"/>
          <w:sz w:val="19"/>
          <w:szCs w:val="19"/>
          <w:b w:val="1"/>
          <w:bCs w:val="1"/>
          <w:color w:val="auto"/>
        </w:rPr>
        <w:t>Consolidated Statement of Stockholders’ Equity (Deficit)</w:t>
      </w:r>
    </w:p>
    <w:p>
      <w:pPr>
        <w:spacing w:after="0" w:line="22" w:lineRule="exact"/>
        <w:rPr>
          <w:sz w:val="20"/>
          <w:szCs w:val="20"/>
          <w:color w:val="auto"/>
        </w:rPr>
      </w:pPr>
    </w:p>
    <w:p>
      <w:pPr>
        <w:jc w:val="center"/>
        <w:ind w:right="-278"/>
        <w:spacing w:after="0"/>
        <w:rPr>
          <w:sz w:val="20"/>
          <w:szCs w:val="20"/>
          <w:color w:val="auto"/>
        </w:rPr>
      </w:pPr>
      <w:r>
        <w:rPr>
          <w:rFonts w:ascii="Times New Roman" w:cs="Times New Roman" w:eastAsia="Times New Roman" w:hAnsi="Times New Roman"/>
          <w:sz w:val="20"/>
          <w:szCs w:val="20"/>
          <w:b w:val="1"/>
          <w:bCs w:val="1"/>
          <w:color w:val="auto"/>
        </w:rPr>
        <w:t>(in thousands, except share amounts)</w:t>
      </w:r>
    </w:p>
    <w:p>
      <w:pPr>
        <w:sectPr>
          <w:pgSz w:w="15840" w:h="12240" w:orient="landscape"/>
          <w:cols w:equalWidth="0" w:num="1">
            <w:col w:w="14519"/>
          </w:cols>
          <w:pgMar w:left="521" w:top="1337" w:right="8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112</w:t>
            </w:r>
          </w:p>
        </w:tc>
      </w:tr>
    </w:tbl>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2520" w:type="dxa"/>
            <w:vAlign w:val="bottom"/>
            <w:tcBorders>
              <w:right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Redeemable Convertible</w:t>
            </w:r>
          </w:p>
        </w:tc>
        <w:tc>
          <w:tcPr>
            <w:tcW w:w="60" w:type="dxa"/>
            <w:vAlign w:val="bottom"/>
          </w:tcPr>
          <w:p>
            <w:pPr>
              <w:spacing w:after="0"/>
              <w:rPr>
                <w:sz w:val="16"/>
                <w:szCs w:val="16"/>
                <w:color w:val="auto"/>
              </w:rPr>
            </w:pPr>
          </w:p>
        </w:tc>
        <w:tc>
          <w:tcPr>
            <w:tcW w:w="2460" w:type="dxa"/>
            <w:vAlign w:val="bottom"/>
            <w:gridSpan w:val="4"/>
            <w:vMerge w:val="restart"/>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Class A Common Stock</w:t>
            </w:r>
          </w:p>
        </w:tc>
        <w:tc>
          <w:tcPr>
            <w:tcW w:w="60" w:type="dxa"/>
            <w:vAlign w:val="bottom"/>
          </w:tcPr>
          <w:p>
            <w:pPr>
              <w:spacing w:after="0"/>
              <w:rPr>
                <w:sz w:val="16"/>
                <w:szCs w:val="16"/>
                <w:color w:val="auto"/>
              </w:rPr>
            </w:pPr>
          </w:p>
        </w:tc>
        <w:tc>
          <w:tcPr>
            <w:tcW w:w="2460" w:type="dxa"/>
            <w:vAlign w:val="bottom"/>
            <w:gridSpan w:val="4"/>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Class B Common Stock</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40" w:type="dxa"/>
            <w:vAlign w:val="bottom"/>
          </w:tcPr>
          <w:p>
            <w:pPr>
              <w:spacing w:after="0"/>
              <w:rPr>
                <w:sz w:val="18"/>
                <w:szCs w:val="18"/>
                <w:color w:val="auto"/>
              </w:rPr>
            </w:pPr>
          </w:p>
        </w:tc>
        <w:tc>
          <w:tcPr>
            <w:tcW w:w="2520" w:type="dxa"/>
            <w:vAlign w:val="bottom"/>
            <w:tcBorders>
              <w:right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60" w:type="dxa"/>
            <w:vAlign w:val="bottom"/>
          </w:tcPr>
          <w:p>
            <w:pPr>
              <w:spacing w:after="0"/>
              <w:rPr>
                <w:sz w:val="18"/>
                <w:szCs w:val="18"/>
                <w:color w:val="auto"/>
              </w:rPr>
            </w:pPr>
          </w:p>
        </w:tc>
        <w:tc>
          <w:tcPr>
            <w:tcW w:w="246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246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3"/>
                <w:szCs w:val="13"/>
                <w:color w:val="auto"/>
              </w:rPr>
            </w:pPr>
          </w:p>
        </w:tc>
        <w:tc>
          <w:tcPr>
            <w:tcW w:w="120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center"/>
              <w:ind w:right="181"/>
              <w:spacing w:after="0" w:line="161"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0"/>
        </w:trPr>
        <w:tc>
          <w:tcPr>
            <w:tcW w:w="2840" w:type="dxa"/>
            <w:vAlign w:val="bottom"/>
          </w:tcPr>
          <w:p>
            <w:pPr>
              <w:spacing w:after="0"/>
              <w:rPr>
                <w:sz w:val="13"/>
                <w:szCs w:val="13"/>
                <w:color w:val="auto"/>
              </w:rPr>
            </w:pPr>
          </w:p>
        </w:tc>
        <w:tc>
          <w:tcPr>
            <w:tcW w:w="1200" w:type="dxa"/>
            <w:vAlign w:val="bottom"/>
            <w:vMerge w:val="restart"/>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1200" w:type="dxa"/>
            <w:vAlign w:val="bottom"/>
            <w:vMerge w:val="restart"/>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60" w:type="dxa"/>
            <w:vAlign w:val="bottom"/>
          </w:tcPr>
          <w:p>
            <w:pPr>
              <w:spacing w:after="0"/>
              <w:rPr>
                <w:sz w:val="13"/>
                <w:szCs w:val="13"/>
                <w:color w:val="auto"/>
              </w:rPr>
            </w:pPr>
          </w:p>
        </w:tc>
        <w:tc>
          <w:tcPr>
            <w:tcW w:w="1200" w:type="dxa"/>
            <w:vAlign w:val="bottom"/>
            <w:vMerge w:val="restart"/>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 (deficit)</w:t>
            </w:r>
          </w:p>
        </w:tc>
        <w:tc>
          <w:tcPr>
            <w:tcW w:w="0" w:type="dxa"/>
            <w:vAlign w:val="bottom"/>
          </w:tcPr>
          <w:p>
            <w:pPr>
              <w:spacing w:after="0"/>
              <w:rPr>
                <w:sz w:val="1"/>
                <w:szCs w:val="1"/>
                <w:color w:val="auto"/>
              </w:rPr>
            </w:pPr>
          </w:p>
        </w:tc>
      </w:tr>
      <w:tr>
        <w:trPr>
          <w:trHeight w:val="249"/>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2019</w:t>
            </w:r>
          </w:p>
        </w:tc>
        <w:tc>
          <w:tcPr>
            <w:tcW w:w="12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147,038,267</w:t>
            </w:r>
          </w:p>
        </w:tc>
        <w:tc>
          <w:tcPr>
            <w:tcW w:w="60" w:type="dxa"/>
            <w:vAlign w:val="bottom"/>
          </w:tcPr>
          <w:p>
            <w:pPr>
              <w:spacing w:after="0"/>
              <w:rPr>
                <w:sz w:val="21"/>
                <w:szCs w:val="21"/>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217,115</w:t>
            </w:r>
          </w:p>
        </w:tc>
        <w:tc>
          <w:tcPr>
            <w:tcW w:w="6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124</w:t>
            </w:r>
          </w:p>
        </w:tc>
        <w:tc>
          <w:tcPr>
            <w:tcW w:w="6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2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(88,711)</w:t>
            </w:r>
          </w:p>
        </w:tc>
        <w:tc>
          <w:tcPr>
            <w:tcW w:w="60" w:type="dxa"/>
            <w:vAlign w:val="bottom"/>
          </w:tcPr>
          <w:p>
            <w:pPr>
              <w:spacing w:after="0"/>
              <w:rPr>
                <w:sz w:val="21"/>
                <w:szCs w:val="21"/>
                <w:color w:val="auto"/>
              </w:rPr>
            </w:pPr>
          </w:p>
        </w:tc>
        <w:tc>
          <w:tcPr>
            <w:tcW w:w="2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(88,711)</w:t>
            </w:r>
          </w:p>
        </w:tc>
        <w:tc>
          <w:tcPr>
            <w:tcW w:w="0" w:type="dxa"/>
            <w:vAlign w:val="bottom"/>
          </w:tcPr>
          <w:p>
            <w:pPr>
              <w:spacing w:after="0"/>
              <w:rPr>
                <w:sz w:val="1"/>
                <w:szCs w:val="1"/>
                <w:color w:val="auto"/>
              </w:rPr>
            </w:pPr>
          </w:p>
        </w:tc>
      </w:tr>
      <w:tr>
        <w:trPr>
          <w:trHeight w:val="260"/>
        </w:trPr>
        <w:tc>
          <w:tcPr>
            <w:tcW w:w="2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Net loss </w:t>
            </w:r>
            <w:r>
              <w:rPr>
                <w:rFonts w:ascii="Times New Roman" w:cs="Times New Roman" w:eastAsia="Times New Roman" w:hAnsi="Times New Roman"/>
                <w:sz w:val="20"/>
                <w:szCs w:val="20"/>
                <w:color w:val="989898"/>
              </w:rPr>
              <w:t>.....................................</w:t>
            </w: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(241,340)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(241,340)</w:t>
            </w:r>
          </w:p>
        </w:tc>
        <w:tc>
          <w:tcPr>
            <w:tcW w:w="0" w:type="dxa"/>
            <w:vAlign w:val="bottom"/>
          </w:tcPr>
          <w:p>
            <w:pPr>
              <w:spacing w:after="0"/>
              <w:rPr>
                <w:sz w:val="1"/>
                <w:szCs w:val="1"/>
                <w:color w:val="auto"/>
              </w:rPr>
            </w:pPr>
          </w:p>
        </w:tc>
      </w:tr>
      <w:tr>
        <w:trPr>
          <w:trHeight w:val="273"/>
        </w:trPr>
        <w:tc>
          <w:tcPr>
            <w:tcW w:w="2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Common stock issued pursuant</w:t>
            </w:r>
          </w:p>
        </w:tc>
        <w:tc>
          <w:tcPr>
            <w:tcW w:w="120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20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130,557</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2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to stock option exercises </w:t>
            </w:r>
            <w:r>
              <w:rPr>
                <w:rFonts w:ascii="Times New Roman" w:cs="Times New Roman" w:eastAsia="Times New Roman" w:hAnsi="Times New Roman"/>
                <w:sz w:val="20"/>
                <w:szCs w:val="20"/>
                <w:color w:val="989898"/>
              </w:rPr>
              <w:t>...........</w:t>
            </w:r>
          </w:p>
        </w:tc>
        <w:tc>
          <w:tcPr>
            <w:tcW w:w="12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Borders>
              <w:right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2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Issuance of Preferred Series C,</w:t>
            </w:r>
          </w:p>
        </w:tc>
        <w:tc>
          <w:tcPr>
            <w:tcW w:w="120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24,496,946</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117,324</w:t>
            </w:r>
          </w:p>
        </w:tc>
        <w:tc>
          <w:tcPr>
            <w:tcW w:w="6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2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2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net of issuance costs </w:t>
            </w:r>
            <w:r>
              <w:rPr>
                <w:rFonts w:ascii="Times New Roman" w:cs="Times New Roman" w:eastAsia="Times New Roman" w:hAnsi="Times New Roman"/>
                <w:sz w:val="20"/>
                <w:szCs w:val="20"/>
                <w:color w:val="989898"/>
              </w:rPr>
              <w:t>.................</w:t>
            </w:r>
          </w:p>
        </w:tc>
        <w:tc>
          <w:tcPr>
            <w:tcW w:w="12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2020</w:t>
            </w: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171,535,213</w:t>
            </w:r>
          </w:p>
        </w:tc>
        <w:tc>
          <w:tcPr>
            <w:tcW w:w="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334,439</w:t>
            </w:r>
          </w:p>
        </w:tc>
        <w:tc>
          <w:tcPr>
            <w:tcW w:w="6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124</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130,557</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(330,051)</w:t>
            </w:r>
          </w:p>
        </w:tc>
        <w:tc>
          <w:tcPr>
            <w:tcW w:w="60" w:type="dxa"/>
            <w:vAlign w:val="bottom"/>
          </w:tcPr>
          <w:p>
            <w:pPr>
              <w:spacing w:after="0"/>
              <w:rPr>
                <w:sz w:val="21"/>
                <w:szCs w:val="21"/>
                <w:color w:val="auto"/>
              </w:rPr>
            </w:pP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(330,051)</w:t>
            </w:r>
          </w:p>
        </w:tc>
        <w:tc>
          <w:tcPr>
            <w:tcW w:w="0" w:type="dxa"/>
            <w:vAlign w:val="bottom"/>
          </w:tcPr>
          <w:p>
            <w:pPr>
              <w:spacing w:after="0"/>
              <w:rPr>
                <w:sz w:val="1"/>
                <w:szCs w:val="1"/>
                <w:color w:val="auto"/>
              </w:rPr>
            </w:pPr>
          </w:p>
        </w:tc>
      </w:tr>
      <w:tr>
        <w:trPr>
          <w:trHeight w:val="260"/>
        </w:trPr>
        <w:tc>
          <w:tcPr>
            <w:tcW w:w="2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Net loss </w:t>
            </w:r>
            <w:r>
              <w:rPr>
                <w:rFonts w:ascii="Times New Roman" w:cs="Times New Roman" w:eastAsia="Times New Roman" w:hAnsi="Times New Roman"/>
                <w:sz w:val="20"/>
                <w:szCs w:val="20"/>
                <w:color w:val="989898"/>
              </w:rPr>
              <w:t>.....................................</w:t>
            </w: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(245,390)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(245,390)</w:t>
            </w:r>
          </w:p>
        </w:tc>
        <w:tc>
          <w:tcPr>
            <w:tcW w:w="0" w:type="dxa"/>
            <w:vAlign w:val="bottom"/>
          </w:tcPr>
          <w:p>
            <w:pPr>
              <w:spacing w:after="0"/>
              <w:rPr>
                <w:sz w:val="1"/>
                <w:szCs w:val="1"/>
                <w:color w:val="auto"/>
              </w:rPr>
            </w:pPr>
          </w:p>
        </w:tc>
      </w:tr>
      <w:tr>
        <w:trPr>
          <w:trHeight w:val="243"/>
        </w:trPr>
        <w:tc>
          <w:tcPr>
            <w:tcW w:w="2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Common stock issued pursuant</w:t>
            </w:r>
          </w:p>
        </w:tc>
        <w:tc>
          <w:tcPr>
            <w:tcW w:w="120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995,526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1,253,179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1,783</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1,783</w:t>
            </w:r>
          </w:p>
        </w:tc>
        <w:tc>
          <w:tcPr>
            <w:tcW w:w="0" w:type="dxa"/>
            <w:vAlign w:val="bottom"/>
          </w:tcPr>
          <w:p>
            <w:pPr>
              <w:spacing w:after="0"/>
              <w:rPr>
                <w:sz w:val="1"/>
                <w:szCs w:val="1"/>
                <w:color w:val="auto"/>
              </w:rPr>
            </w:pPr>
          </w:p>
        </w:tc>
      </w:tr>
      <w:tr>
        <w:trPr>
          <w:trHeight w:val="227"/>
        </w:trPr>
        <w:tc>
          <w:tcPr>
            <w:tcW w:w="284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 xml:space="preserve">to stock option exercises </w:t>
            </w:r>
            <w:r>
              <w:rPr>
                <w:rFonts w:ascii="Times New Roman" w:cs="Times New Roman" w:eastAsia="Times New Roman" w:hAnsi="Times New Roman"/>
                <w:sz w:val="20"/>
                <w:szCs w:val="20"/>
                <w:color w:val="989898"/>
              </w:rPr>
              <w:t>............</w:t>
            </w: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right w:val="single" w:sz="8" w:color="auto"/>
            </w:tcBorders>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Conversion of Preferred into</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(171,535,213)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(334,439)</w:t>
            </w:r>
          </w:p>
        </w:tc>
        <w:tc>
          <w:tcPr>
            <w:tcW w:w="60" w:type="dxa"/>
            <w:vAlign w:val="bottom"/>
            <w:tcBorders>
              <w:right w:val="single" w:sz="8" w:color="auto"/>
            </w:tcBorders>
          </w:tcPr>
          <w:p>
            <w:pPr>
              <w:spacing w:after="0"/>
              <w:rPr>
                <w:sz w:val="20"/>
                <w:szCs w:val="20"/>
                <w:color w:val="auto"/>
              </w:rPr>
            </w:pPr>
          </w:p>
        </w:tc>
        <w:tc>
          <w:tcPr>
            <w:tcW w:w="126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148,543,062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0"/>
                <w:szCs w:val="20"/>
                <w:color w:val="auto"/>
              </w:rPr>
            </w:pPr>
          </w:p>
        </w:tc>
        <w:tc>
          <w:tcPr>
            <w:tcW w:w="12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104,517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104,532</w:t>
            </w:r>
          </w:p>
        </w:tc>
        <w:tc>
          <w:tcPr>
            <w:tcW w:w="0" w:type="dxa"/>
            <w:vAlign w:val="bottom"/>
          </w:tcPr>
          <w:p>
            <w:pPr>
              <w:spacing w:after="0"/>
              <w:rPr>
                <w:sz w:val="1"/>
                <w:szCs w:val="1"/>
                <w:color w:val="auto"/>
              </w:rPr>
            </w:pPr>
          </w:p>
        </w:tc>
      </w:tr>
      <w:tr>
        <w:trPr>
          <w:trHeight w:val="227"/>
        </w:trPr>
        <w:tc>
          <w:tcPr>
            <w:tcW w:w="284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 xml:space="preserve">Common Stock </w:t>
            </w:r>
            <w:r>
              <w:rPr>
                <w:rFonts w:ascii="Times New Roman" w:cs="Times New Roman" w:eastAsia="Times New Roman" w:hAnsi="Times New Roman"/>
                <w:sz w:val="20"/>
                <w:szCs w:val="20"/>
                <w:color w:val="989898"/>
              </w:rPr>
              <w:t>..........................</w:t>
            </w: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Common Stock into Class A</w:t>
            </w:r>
          </w:p>
        </w:tc>
        <w:tc>
          <w:tcPr>
            <w:tcW w:w="120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1,309,320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(1,383,736)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(744)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(744)</w:t>
            </w:r>
          </w:p>
        </w:tc>
        <w:tc>
          <w:tcPr>
            <w:tcW w:w="0" w:type="dxa"/>
            <w:vAlign w:val="bottom"/>
          </w:tcPr>
          <w:p>
            <w:pPr>
              <w:spacing w:after="0"/>
              <w:rPr>
                <w:sz w:val="1"/>
                <w:szCs w:val="1"/>
                <w:color w:val="auto"/>
              </w:rPr>
            </w:pPr>
          </w:p>
        </w:tc>
      </w:tr>
      <w:tr>
        <w:trPr>
          <w:trHeight w:val="227"/>
        </w:trPr>
        <w:tc>
          <w:tcPr>
            <w:tcW w:w="284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 xml:space="preserve">Common Stock </w:t>
            </w:r>
            <w:r>
              <w:rPr>
                <w:rFonts w:ascii="Times New Roman" w:cs="Times New Roman" w:eastAsia="Times New Roman" w:hAnsi="Times New Roman"/>
                <w:sz w:val="20"/>
                <w:szCs w:val="20"/>
                <w:color w:val="989898"/>
              </w:rPr>
              <w:t>..........................</w:t>
            </w: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right w:val="single" w:sz="8" w:color="auto"/>
            </w:tcBorders>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equity infusion from the</w:t>
            </w:r>
          </w:p>
        </w:tc>
        <w:tc>
          <w:tcPr>
            <w:tcW w:w="120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90,333,562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0"/>
                <w:szCs w:val="20"/>
                <w:color w:val="auto"/>
              </w:rPr>
            </w:pPr>
          </w:p>
        </w:tc>
        <w:tc>
          <w:tcPr>
            <w:tcW w:w="12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510,742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510,751</w:t>
            </w:r>
          </w:p>
        </w:tc>
        <w:tc>
          <w:tcPr>
            <w:tcW w:w="0" w:type="dxa"/>
            <w:vAlign w:val="bottom"/>
          </w:tcPr>
          <w:p>
            <w:pPr>
              <w:spacing w:after="0"/>
              <w:rPr>
                <w:sz w:val="1"/>
                <w:szCs w:val="1"/>
                <w:color w:val="auto"/>
              </w:rPr>
            </w:pPr>
          </w:p>
        </w:tc>
      </w:tr>
      <w:tr>
        <w:trPr>
          <w:trHeight w:val="227"/>
        </w:trPr>
        <w:tc>
          <w:tcPr>
            <w:tcW w:w="284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 xml:space="preserve">Business Combination </w:t>
            </w:r>
            <w:r>
              <w:rPr>
                <w:rFonts w:ascii="Times New Roman" w:cs="Times New Roman" w:eastAsia="Times New Roman" w:hAnsi="Times New Roman"/>
                <w:sz w:val="20"/>
                <w:szCs w:val="20"/>
                <w:color w:val="989898"/>
              </w:rPr>
              <w:t>...............</w:t>
            </w: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right w:val="single" w:sz="8" w:color="auto"/>
            </w:tcBorders>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Stock based compensation</w:t>
            </w:r>
          </w:p>
        </w:tc>
        <w:tc>
          <w:tcPr>
            <w:tcW w:w="120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120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12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304,837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304,837</w:t>
            </w:r>
          </w:p>
        </w:tc>
        <w:tc>
          <w:tcPr>
            <w:tcW w:w="0" w:type="dxa"/>
            <w:vAlign w:val="bottom"/>
          </w:tcPr>
          <w:p>
            <w:pPr>
              <w:spacing w:after="0"/>
              <w:rPr>
                <w:sz w:val="1"/>
                <w:szCs w:val="1"/>
                <w:color w:val="auto"/>
              </w:rPr>
            </w:pPr>
          </w:p>
        </w:tc>
      </w:tr>
      <w:tr>
        <w:trPr>
          <w:trHeight w:val="257"/>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 xml:space="preserve">modification reclassification </w:t>
            </w:r>
            <w:r>
              <w:rPr>
                <w:rFonts w:ascii="Times New Roman" w:cs="Times New Roman" w:eastAsia="Times New Roman" w:hAnsi="Times New Roman"/>
                <w:sz w:val="20"/>
                <w:szCs w:val="20"/>
                <w:color w:val="989898"/>
              </w:rPr>
              <w:t>......</w:t>
            </w:r>
          </w:p>
        </w:tc>
        <w:tc>
          <w:tcPr>
            <w:tcW w:w="12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Borders>
              <w:right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Stock-based compensation</w:t>
            </w:r>
          </w:p>
        </w:tc>
        <w:tc>
          <w:tcPr>
            <w:tcW w:w="120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120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12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42,385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42,385</w:t>
            </w:r>
          </w:p>
        </w:tc>
        <w:tc>
          <w:tcPr>
            <w:tcW w:w="0" w:type="dxa"/>
            <w:vAlign w:val="bottom"/>
          </w:tcPr>
          <w:p>
            <w:pPr>
              <w:spacing w:after="0"/>
              <w:rPr>
                <w:sz w:val="1"/>
                <w:szCs w:val="1"/>
                <w:color w:val="auto"/>
              </w:rPr>
            </w:pPr>
          </w:p>
        </w:tc>
      </w:tr>
      <w:tr>
        <w:trPr>
          <w:trHeight w:val="257"/>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expense</w:t>
            </w:r>
            <w:r>
              <w:rPr>
                <w:rFonts w:ascii="Times New Roman" w:cs="Times New Roman" w:eastAsia="Times New Roman" w:hAnsi="Times New Roman"/>
                <w:sz w:val="20"/>
                <w:szCs w:val="20"/>
                <w:color w:val="989898"/>
              </w:rPr>
              <w:t>.......................................</w:t>
            </w:r>
          </w:p>
        </w:tc>
        <w:tc>
          <w:tcPr>
            <w:tcW w:w="12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Borders>
              <w:right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Vested restricted stock units</w:t>
            </w:r>
          </w:p>
        </w:tc>
        <w:tc>
          <w:tcPr>
            <w:tcW w:w="120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1,466,010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12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ind w:left="70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63"/>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 xml:space="preserve">converted to common stock </w:t>
            </w:r>
            <w:r>
              <w:rPr>
                <w:rFonts w:ascii="Times New Roman" w:cs="Times New Roman" w:eastAsia="Times New Roman" w:hAnsi="Times New Roman"/>
                <w:sz w:val="20"/>
                <w:szCs w:val="20"/>
                <w:color w:val="989898"/>
              </w:rPr>
              <w:t>.......</w:t>
            </w:r>
          </w:p>
        </w:tc>
        <w:tc>
          <w:tcPr>
            <w:tcW w:w="12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Borders>
              <w:right w:val="single" w:sz="8" w:color="auto"/>
            </w:tcBorders>
            <w:gridSpan w:val="2"/>
            <w:vMerge w:val="continue"/>
          </w:tcPr>
          <w:p>
            <w:pPr>
              <w:spacing w:after="0"/>
              <w:rPr>
                <w:sz w:val="22"/>
                <w:szCs w:val="22"/>
                <w:color w:val="auto"/>
              </w:rPr>
            </w:pPr>
          </w:p>
        </w:tc>
        <w:tc>
          <w:tcPr>
            <w:tcW w:w="12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2021</w:t>
            </w:r>
          </w:p>
        </w:tc>
        <w:tc>
          <w:tcPr>
            <w:tcW w:w="12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3"/>
                <w:szCs w:val="23"/>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242,647,604</w:t>
            </w:r>
          </w:p>
        </w:tc>
        <w:tc>
          <w:tcPr>
            <w:tcW w:w="60" w:type="dxa"/>
            <w:vAlign w:val="bottom"/>
          </w:tcPr>
          <w:p>
            <w:pPr>
              <w:spacing w:after="0"/>
              <w:rPr>
                <w:sz w:val="23"/>
                <w:szCs w:val="2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3"/>
                <w:szCs w:val="23"/>
                <w:color w:val="auto"/>
              </w:rPr>
            </w:pPr>
          </w:p>
        </w:tc>
        <w:tc>
          <w:tcPr>
            <w:tcW w:w="12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963,520</w:t>
            </w:r>
          </w:p>
        </w:tc>
        <w:tc>
          <w:tcPr>
            <w:tcW w:w="60" w:type="dxa"/>
            <w:vAlign w:val="bottom"/>
          </w:tcPr>
          <w:p>
            <w:pPr>
              <w:spacing w:after="0"/>
              <w:rPr>
                <w:sz w:val="23"/>
                <w:szCs w:val="23"/>
                <w:color w:val="auto"/>
              </w:rPr>
            </w:pPr>
          </w:p>
        </w:tc>
        <w:tc>
          <w:tcPr>
            <w:tcW w:w="26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(575,441)</w:t>
            </w:r>
          </w:p>
        </w:tc>
        <w:tc>
          <w:tcPr>
            <w:tcW w:w="60" w:type="dxa"/>
            <w:vAlign w:val="bottom"/>
          </w:tcPr>
          <w:p>
            <w:pPr>
              <w:spacing w:after="0"/>
              <w:rPr>
                <w:sz w:val="23"/>
                <w:szCs w:val="23"/>
                <w:color w:val="auto"/>
              </w:rPr>
            </w:pPr>
          </w:p>
        </w:tc>
        <w:tc>
          <w:tcPr>
            <w:tcW w:w="2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388,103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-3669665</wp:posOffset>
            </wp:positionV>
            <wp:extent cx="9055100" cy="36830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0">
                      <a:extLst>
                        <a:ext uri="{28A0092B-C50C-407E-A947-70E740481C1C}"/>
                      </a:extLst>
                    </a:blip>
                    <a:srcRect/>
                    <a:stretch>
                      <a:fillRect/>
                    </a:stretch>
                  </pic:blipFill>
                  <pic:spPr bwMode="auto">
                    <a:xfrm>
                      <a:off x="0" y="0"/>
                      <a:ext cx="9055100" cy="36830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1797050</wp:posOffset>
                </wp:positionH>
                <wp:positionV relativeFrom="paragraph">
                  <wp:posOffset>-4010025</wp:posOffset>
                </wp:positionV>
                <wp:extent cx="156210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2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5pt,-315.7499pt" to="264.5pt,-3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3435350</wp:posOffset>
                </wp:positionH>
                <wp:positionV relativeFrom="paragraph">
                  <wp:posOffset>-4010025</wp:posOffset>
                </wp:positionV>
                <wp:extent cx="156210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2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5pt,-315.7499pt" to="393.5pt,-3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5035550</wp:posOffset>
                </wp:positionH>
                <wp:positionV relativeFrom="paragraph">
                  <wp:posOffset>-4010025</wp:posOffset>
                </wp:positionV>
                <wp:extent cx="15621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2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5pt,-315.7499pt" to="519.5pt,-3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1797050</wp:posOffset>
                </wp:positionH>
                <wp:positionV relativeFrom="paragraph">
                  <wp:posOffset>-3657600</wp:posOffset>
                </wp:positionV>
                <wp:extent cx="7620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5pt,-288pt" to="201.5pt,-28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-3657600</wp:posOffset>
                </wp:positionV>
                <wp:extent cx="76200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288pt" to="264.5pt,-28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3435350</wp:posOffset>
                </wp:positionH>
                <wp:positionV relativeFrom="paragraph">
                  <wp:posOffset>-3657600</wp:posOffset>
                </wp:positionV>
                <wp:extent cx="7620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5pt,-288pt" to="330.5pt,-28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4235450</wp:posOffset>
                </wp:positionH>
                <wp:positionV relativeFrom="paragraph">
                  <wp:posOffset>-3657600</wp:posOffset>
                </wp:positionV>
                <wp:extent cx="76200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5pt,-288pt" to="393.5pt,-28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5035550</wp:posOffset>
                </wp:positionH>
                <wp:positionV relativeFrom="paragraph">
                  <wp:posOffset>-3657600</wp:posOffset>
                </wp:positionV>
                <wp:extent cx="7620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5pt,-288pt" to="456.5pt,-28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5835650</wp:posOffset>
                </wp:positionH>
                <wp:positionV relativeFrom="paragraph">
                  <wp:posOffset>-3657600</wp:posOffset>
                </wp:positionV>
                <wp:extent cx="76200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5pt,-288pt" to="519.5pt,-28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6635750</wp:posOffset>
                </wp:positionH>
                <wp:positionV relativeFrom="paragraph">
                  <wp:posOffset>-3657600</wp:posOffset>
                </wp:positionV>
                <wp:extent cx="7620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2.5pt,-288pt" to="582.5pt,-28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7435850</wp:posOffset>
                </wp:positionH>
                <wp:positionV relativeFrom="paragraph">
                  <wp:posOffset>-3657600</wp:posOffset>
                </wp:positionV>
                <wp:extent cx="76200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5.5pt,-288pt" to="645.5pt,-28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8235950</wp:posOffset>
                </wp:positionH>
                <wp:positionV relativeFrom="paragraph">
                  <wp:posOffset>-3657600</wp:posOffset>
                </wp:positionV>
                <wp:extent cx="7620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8.5pt,-288pt" to="708.5pt,-28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1797050</wp:posOffset>
                </wp:positionH>
                <wp:positionV relativeFrom="paragraph">
                  <wp:posOffset>-2647950</wp:posOffset>
                </wp:positionV>
                <wp:extent cx="76200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5pt,-208.4999pt" to="201.5pt,-20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-2647950</wp:posOffset>
                </wp:positionV>
                <wp:extent cx="76200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208.4999pt" to="264.5pt,-20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3435350</wp:posOffset>
                </wp:positionH>
                <wp:positionV relativeFrom="paragraph">
                  <wp:posOffset>-2647950</wp:posOffset>
                </wp:positionV>
                <wp:extent cx="7620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5pt,-208.4999pt" to="330.5pt,-20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4235450</wp:posOffset>
                </wp:positionH>
                <wp:positionV relativeFrom="paragraph">
                  <wp:posOffset>-2647950</wp:posOffset>
                </wp:positionV>
                <wp:extent cx="76200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5pt,-208.4999pt" to="393.5pt,-20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5035550</wp:posOffset>
                </wp:positionH>
                <wp:positionV relativeFrom="paragraph">
                  <wp:posOffset>-2647950</wp:posOffset>
                </wp:positionV>
                <wp:extent cx="76200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5pt,-208.4999pt" to="456.5pt,-20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5835650</wp:posOffset>
                </wp:positionH>
                <wp:positionV relativeFrom="paragraph">
                  <wp:posOffset>-2647950</wp:posOffset>
                </wp:positionV>
                <wp:extent cx="76200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5pt,-208.4999pt" to="519.5pt,-20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6635750</wp:posOffset>
                </wp:positionH>
                <wp:positionV relativeFrom="paragraph">
                  <wp:posOffset>-2647950</wp:posOffset>
                </wp:positionV>
                <wp:extent cx="76200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2.5pt,-208.4999pt" to="582.5pt,-20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7435850</wp:posOffset>
                </wp:positionH>
                <wp:positionV relativeFrom="paragraph">
                  <wp:posOffset>-2647950</wp:posOffset>
                </wp:positionV>
                <wp:extent cx="76200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5.5pt,-208.4999pt" to="645.5pt,-20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8235950</wp:posOffset>
                </wp:positionH>
                <wp:positionV relativeFrom="paragraph">
                  <wp:posOffset>-2647950</wp:posOffset>
                </wp:positionV>
                <wp:extent cx="7620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8.5pt,-208.4999pt" to="708.5pt,-20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1797050</wp:posOffset>
                </wp:positionH>
                <wp:positionV relativeFrom="paragraph">
                  <wp:posOffset>-180975</wp:posOffset>
                </wp:positionV>
                <wp:extent cx="7620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5pt,-14.2499pt" to="201.5pt,-1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-180975</wp:posOffset>
                </wp:positionV>
                <wp:extent cx="76200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14.2499pt" to="264.5pt,-1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3435350</wp:posOffset>
                </wp:positionH>
                <wp:positionV relativeFrom="paragraph">
                  <wp:posOffset>-180975</wp:posOffset>
                </wp:positionV>
                <wp:extent cx="76200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5pt,-14.2499pt" to="330.5pt,-1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4235450</wp:posOffset>
                </wp:positionH>
                <wp:positionV relativeFrom="paragraph">
                  <wp:posOffset>-180975</wp:posOffset>
                </wp:positionV>
                <wp:extent cx="76200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5pt,-14.2499pt" to="393.5pt,-1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5035550</wp:posOffset>
                </wp:positionH>
                <wp:positionV relativeFrom="paragraph">
                  <wp:posOffset>-180975</wp:posOffset>
                </wp:positionV>
                <wp:extent cx="76200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5pt,-14.2499pt" to="456.5pt,-1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5835650</wp:posOffset>
                </wp:positionH>
                <wp:positionV relativeFrom="paragraph">
                  <wp:posOffset>-180975</wp:posOffset>
                </wp:positionV>
                <wp:extent cx="76200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5pt,-14.2499pt" to="519.5pt,-1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6635750</wp:posOffset>
                </wp:positionH>
                <wp:positionV relativeFrom="paragraph">
                  <wp:posOffset>-180975</wp:posOffset>
                </wp:positionV>
                <wp:extent cx="76200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2.5pt,-14.2499pt" to="582.5pt,-1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7435850</wp:posOffset>
                </wp:positionH>
                <wp:positionV relativeFrom="paragraph">
                  <wp:posOffset>-180975</wp:posOffset>
                </wp:positionV>
                <wp:extent cx="76200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5.5pt,-14.2499pt" to="645.5pt,-1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8235950</wp:posOffset>
                </wp:positionH>
                <wp:positionV relativeFrom="paragraph">
                  <wp:posOffset>-180975</wp:posOffset>
                </wp:positionV>
                <wp:extent cx="76200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8.5pt,-14.2499pt" to="708.5pt,-14.2499pt" o:allowincell="f" strokecolor="#000000" strokeweight="0pt"/>
            </w:pict>
          </mc:Fallback>
        </mc:AlternateContent>
      </w:r>
    </w:p>
    <w:p>
      <w:pPr>
        <w:sectPr>
          <w:pgSz w:w="15840" w:h="12240" w:orient="landscape"/>
          <w:cols w:equalWidth="0" w:num="2">
            <w:col w:w="230" w:space="109"/>
            <w:col w:w="14180"/>
          </w:cols>
          <w:pgMar w:left="521" w:top="1337" w:right="800" w:bottom="1440" w:gutter="0" w:footer="0" w:header="0"/>
          <w:type w:val="continuous"/>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429260</wp:posOffset>
            </wp:positionH>
            <wp:positionV relativeFrom="page">
              <wp:posOffset>845185</wp:posOffset>
            </wp:positionV>
            <wp:extent cx="9211945" cy="25266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1">
                      <a:extLst>
                        <a:ext uri="{28A0092B-C50C-407E-A947-70E740481C1C}"/>
                      </a:extLst>
                    </a:blip>
                    <a:srcRect/>
                    <a:stretch>
                      <a:fillRect/>
                    </a:stretch>
                  </pic:blipFill>
                  <pic:spPr bwMode="auto">
                    <a:xfrm>
                      <a:off x="0" y="0"/>
                      <a:ext cx="9211945" cy="2526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219" w:type="dxa"/>
        <w:tblCellMar>
          <w:top w:w="0" w:type="dxa"/>
          <w:left w:w="0" w:type="dxa"/>
          <w:bottom w:w="0" w:type="dxa"/>
          <w:right w:w="0" w:type="dxa"/>
        </w:tblCellMar>
      </w:tblPr>
      <w:tr>
        <w:trPr>
          <w:trHeight w:val="239"/>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 xml:space="preserve">Net loss </w:t>
            </w:r>
            <w:r>
              <w:rPr>
                <w:rFonts w:ascii="Times New Roman" w:cs="Times New Roman" w:eastAsia="Times New Roman" w:hAnsi="Times New Roman"/>
                <w:sz w:val="20"/>
                <w:szCs w:val="20"/>
                <w:color w:val="989898"/>
              </w:rPr>
              <w:t>......................................</w:t>
            </w:r>
          </w:p>
        </w:tc>
        <w:tc>
          <w:tcPr>
            <w:tcW w:w="1800" w:type="dxa"/>
            <w:vAlign w:val="bottom"/>
            <w:gridSpan w:val="3"/>
          </w:tcPr>
          <w:p>
            <w:pPr>
              <w:ind w:left="920"/>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800" w:type="dxa"/>
            <w:vAlign w:val="bottom"/>
            <w:gridSpan w:val="3"/>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(548,980)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(548,980)</w:t>
            </w:r>
          </w:p>
        </w:tc>
        <w:tc>
          <w:tcPr>
            <w:tcW w:w="0" w:type="dxa"/>
            <w:vAlign w:val="bottom"/>
          </w:tcPr>
          <w:p>
            <w:pPr>
              <w:spacing w:after="0"/>
              <w:rPr>
                <w:sz w:val="1"/>
                <w:szCs w:val="1"/>
                <w:color w:val="auto"/>
              </w:rPr>
            </w:pPr>
          </w:p>
        </w:tc>
      </w:tr>
      <w:tr>
        <w:trPr>
          <w:trHeight w:val="238"/>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Common stock issued pursuant</w:t>
            </w:r>
          </w:p>
        </w:tc>
        <w:tc>
          <w:tcPr>
            <w:tcW w:w="1800" w:type="dxa"/>
            <w:vAlign w:val="bottom"/>
            <w:gridSpan w:val="3"/>
            <w:vMerge w:val="restart"/>
          </w:tcPr>
          <w:p>
            <w:pPr>
              <w:ind w:left="920"/>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Borders>
              <w:right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11,021,636</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0"/>
                <w:szCs w:val="20"/>
                <w:color w:val="auto"/>
              </w:rPr>
            </w:pPr>
          </w:p>
        </w:tc>
        <w:tc>
          <w:tcPr>
            <w:tcW w:w="1800" w:type="dxa"/>
            <w:vAlign w:val="bottom"/>
            <w:gridSpan w:val="3"/>
            <w:vMerge w:val="restart"/>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vMerge w:val="restart"/>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2,947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2,948</w:t>
            </w:r>
          </w:p>
        </w:tc>
        <w:tc>
          <w:tcPr>
            <w:tcW w:w="0" w:type="dxa"/>
            <w:vAlign w:val="bottom"/>
          </w:tcPr>
          <w:p>
            <w:pPr>
              <w:spacing w:after="0"/>
              <w:rPr>
                <w:sz w:val="1"/>
                <w:szCs w:val="1"/>
                <w:color w:val="auto"/>
              </w:rPr>
            </w:pPr>
          </w:p>
        </w:tc>
      </w:tr>
      <w:tr>
        <w:trPr>
          <w:trHeight w:val="227"/>
        </w:trPr>
        <w:tc>
          <w:tcPr>
            <w:tcW w:w="284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 xml:space="preserve">to stock option exercises </w:t>
            </w:r>
            <w:r>
              <w:rPr>
                <w:rFonts w:ascii="Times New Roman" w:cs="Times New Roman" w:eastAsia="Times New Roman" w:hAnsi="Times New Roman"/>
                <w:sz w:val="20"/>
                <w:szCs w:val="20"/>
                <w:color w:val="989898"/>
              </w:rPr>
              <w:t>............</w:t>
            </w:r>
          </w:p>
        </w:tc>
        <w:tc>
          <w:tcPr>
            <w:tcW w:w="1800" w:type="dxa"/>
            <w:vAlign w:val="bottom"/>
            <w:gridSpan w:val="3"/>
            <w:vMerge w:val="continue"/>
          </w:tcPr>
          <w:p>
            <w:pPr>
              <w:spacing w:after="0"/>
              <w:rPr>
                <w:sz w:val="19"/>
                <w:szCs w:val="19"/>
                <w:color w:val="auto"/>
              </w:rPr>
            </w:pPr>
          </w:p>
        </w:tc>
        <w:tc>
          <w:tcPr>
            <w:tcW w:w="720" w:type="dxa"/>
            <w:vAlign w:val="bottom"/>
            <w:tcBorders>
              <w:right w:val="single" w:sz="8" w:color="auto"/>
            </w:tcBorders>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0" w:type="dxa"/>
            <w:vAlign w:val="bottom"/>
            <w:gridSpan w:val="3"/>
            <w:vMerge w:val="continue"/>
          </w:tcPr>
          <w:p>
            <w:pPr>
              <w:spacing w:after="0"/>
              <w:rPr>
                <w:sz w:val="19"/>
                <w:szCs w:val="19"/>
                <w:color w:val="auto"/>
              </w:rPr>
            </w:pPr>
          </w:p>
        </w:tc>
        <w:tc>
          <w:tcPr>
            <w:tcW w:w="960" w:type="dxa"/>
            <w:vAlign w:val="bottom"/>
            <w:gridSpan w:val="3"/>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Stock based compensation</w:t>
            </w:r>
          </w:p>
        </w:tc>
        <w:tc>
          <w:tcPr>
            <w:tcW w:w="1800" w:type="dxa"/>
            <w:vAlign w:val="bottom"/>
            <w:gridSpan w:val="3"/>
            <w:vMerge w:val="restart"/>
          </w:tcPr>
          <w:p>
            <w:pPr>
              <w:ind w:left="920"/>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Borders>
              <w:right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800" w:type="dxa"/>
            <w:vAlign w:val="bottom"/>
            <w:gridSpan w:val="3"/>
            <w:vMerge w:val="restart"/>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vMerge w:val="restart"/>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41,975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41,975</w:t>
            </w:r>
          </w:p>
        </w:tc>
        <w:tc>
          <w:tcPr>
            <w:tcW w:w="0" w:type="dxa"/>
            <w:vAlign w:val="bottom"/>
          </w:tcPr>
          <w:p>
            <w:pPr>
              <w:spacing w:after="0"/>
              <w:rPr>
                <w:sz w:val="1"/>
                <w:szCs w:val="1"/>
                <w:color w:val="auto"/>
              </w:rPr>
            </w:pPr>
          </w:p>
        </w:tc>
      </w:tr>
      <w:tr>
        <w:trPr>
          <w:trHeight w:val="227"/>
        </w:trPr>
        <w:tc>
          <w:tcPr>
            <w:tcW w:w="284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expense</w:t>
            </w:r>
            <w:r>
              <w:rPr>
                <w:rFonts w:ascii="Times New Roman" w:cs="Times New Roman" w:eastAsia="Times New Roman" w:hAnsi="Times New Roman"/>
                <w:sz w:val="20"/>
                <w:szCs w:val="20"/>
                <w:color w:val="989898"/>
              </w:rPr>
              <w:t>.......................................</w:t>
            </w:r>
          </w:p>
        </w:tc>
        <w:tc>
          <w:tcPr>
            <w:tcW w:w="1800" w:type="dxa"/>
            <w:vAlign w:val="bottom"/>
            <w:gridSpan w:val="3"/>
            <w:vMerge w:val="continue"/>
          </w:tcPr>
          <w:p>
            <w:pPr>
              <w:spacing w:after="0"/>
              <w:rPr>
                <w:sz w:val="19"/>
                <w:szCs w:val="19"/>
                <w:color w:val="auto"/>
              </w:rPr>
            </w:pPr>
          </w:p>
        </w:tc>
        <w:tc>
          <w:tcPr>
            <w:tcW w:w="72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0" w:type="dxa"/>
            <w:vAlign w:val="bottom"/>
            <w:gridSpan w:val="3"/>
            <w:vMerge w:val="continue"/>
          </w:tcPr>
          <w:p>
            <w:pPr>
              <w:spacing w:after="0"/>
              <w:rPr>
                <w:sz w:val="19"/>
                <w:szCs w:val="19"/>
                <w:color w:val="auto"/>
              </w:rPr>
            </w:pPr>
          </w:p>
        </w:tc>
        <w:tc>
          <w:tcPr>
            <w:tcW w:w="960" w:type="dxa"/>
            <w:vAlign w:val="bottom"/>
            <w:gridSpan w:val="3"/>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Shares issued for PIPE, net of</w:t>
            </w:r>
          </w:p>
        </w:tc>
        <w:tc>
          <w:tcPr>
            <w:tcW w:w="1800" w:type="dxa"/>
            <w:vAlign w:val="bottom"/>
            <w:gridSpan w:val="3"/>
            <w:vMerge w:val="restart"/>
          </w:tcPr>
          <w:p>
            <w:pPr>
              <w:ind w:left="920"/>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Borders>
              <w:right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50,000,000</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60" w:type="dxa"/>
            <w:vAlign w:val="bottom"/>
          </w:tcPr>
          <w:p>
            <w:pPr>
              <w:spacing w:after="0"/>
              <w:rPr>
                <w:sz w:val="20"/>
                <w:szCs w:val="20"/>
                <w:color w:val="auto"/>
              </w:rPr>
            </w:pPr>
          </w:p>
        </w:tc>
        <w:tc>
          <w:tcPr>
            <w:tcW w:w="1800" w:type="dxa"/>
            <w:vAlign w:val="bottom"/>
            <w:gridSpan w:val="3"/>
            <w:vMerge w:val="restart"/>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vMerge w:val="restart"/>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197,654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197,659</w:t>
            </w:r>
          </w:p>
        </w:tc>
        <w:tc>
          <w:tcPr>
            <w:tcW w:w="0" w:type="dxa"/>
            <w:vAlign w:val="bottom"/>
          </w:tcPr>
          <w:p>
            <w:pPr>
              <w:spacing w:after="0"/>
              <w:rPr>
                <w:sz w:val="1"/>
                <w:szCs w:val="1"/>
                <w:color w:val="auto"/>
              </w:rPr>
            </w:pPr>
          </w:p>
        </w:tc>
      </w:tr>
      <w:tr>
        <w:trPr>
          <w:trHeight w:val="247"/>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 xml:space="preserve">issuance costs </w:t>
            </w:r>
            <w:r>
              <w:rPr>
                <w:rFonts w:ascii="Times New Roman" w:cs="Times New Roman" w:eastAsia="Times New Roman" w:hAnsi="Times New Roman"/>
                <w:sz w:val="20"/>
                <w:szCs w:val="20"/>
                <w:color w:val="989898"/>
              </w:rPr>
              <w:t>.............................</w:t>
            </w:r>
          </w:p>
        </w:tc>
        <w:tc>
          <w:tcPr>
            <w:tcW w:w="1800" w:type="dxa"/>
            <w:vAlign w:val="bottom"/>
            <w:gridSpan w:val="3"/>
            <w:vMerge w:val="continue"/>
          </w:tcPr>
          <w:p>
            <w:pPr>
              <w:spacing w:after="0"/>
              <w:rPr>
                <w:sz w:val="21"/>
                <w:szCs w:val="21"/>
                <w:color w:val="auto"/>
              </w:rPr>
            </w:pPr>
          </w:p>
        </w:tc>
        <w:tc>
          <w:tcPr>
            <w:tcW w:w="720" w:type="dxa"/>
            <w:vAlign w:val="bottom"/>
            <w:tcBorders>
              <w:right w:val="single" w:sz="8" w:color="auto"/>
            </w:tcBorders>
            <w:gridSpan w:val="2"/>
            <w:vMerge w:val="continue"/>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0" w:type="dxa"/>
            <w:vAlign w:val="bottom"/>
            <w:gridSpan w:val="3"/>
            <w:vMerge w:val="continue"/>
          </w:tcPr>
          <w:p>
            <w:pPr>
              <w:spacing w:after="0"/>
              <w:rPr>
                <w:sz w:val="21"/>
                <w:szCs w:val="21"/>
                <w:color w:val="auto"/>
              </w:rPr>
            </w:pPr>
          </w:p>
        </w:tc>
        <w:tc>
          <w:tcPr>
            <w:tcW w:w="960" w:type="dxa"/>
            <w:vAlign w:val="bottom"/>
            <w:gridSpan w:val="3"/>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Shares issued for acquisition (1)</w:t>
            </w:r>
          </w:p>
        </w:tc>
        <w:tc>
          <w:tcPr>
            <w:tcW w:w="1800" w:type="dxa"/>
            <w:vAlign w:val="bottom"/>
            <w:gridSpan w:val="3"/>
          </w:tcPr>
          <w:p>
            <w:pPr>
              <w:ind w:left="920"/>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80,000,000</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2"/>
                <w:szCs w:val="22"/>
                <w:color w:val="auto"/>
              </w:rPr>
            </w:pPr>
          </w:p>
        </w:tc>
        <w:tc>
          <w:tcPr>
            <w:tcW w:w="1800" w:type="dxa"/>
            <w:vAlign w:val="bottom"/>
            <w:gridSpan w:val="3"/>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171,992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172,000</w:t>
            </w:r>
          </w:p>
        </w:tc>
        <w:tc>
          <w:tcPr>
            <w:tcW w:w="0" w:type="dxa"/>
            <w:vAlign w:val="bottom"/>
          </w:tcPr>
          <w:p>
            <w:pPr>
              <w:spacing w:after="0"/>
              <w:rPr>
                <w:sz w:val="1"/>
                <w:szCs w:val="1"/>
                <w:color w:val="auto"/>
              </w:rPr>
            </w:pPr>
          </w:p>
        </w:tc>
      </w:tr>
      <w:tr>
        <w:trPr>
          <w:trHeight w:val="239"/>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Vested restricted stock units</w:t>
            </w:r>
          </w:p>
        </w:tc>
        <w:tc>
          <w:tcPr>
            <w:tcW w:w="1800" w:type="dxa"/>
            <w:vAlign w:val="bottom"/>
            <w:gridSpan w:val="3"/>
            <w:vMerge w:val="restart"/>
          </w:tcPr>
          <w:p>
            <w:pPr>
              <w:ind w:left="920"/>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Borders>
              <w:right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4,841,898</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800" w:type="dxa"/>
            <w:vAlign w:val="bottom"/>
            <w:gridSpan w:val="3"/>
            <w:vMerge w:val="restart"/>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vMerge w:val="restart"/>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 xml:space="preserve">converted to common stock </w:t>
            </w:r>
            <w:r>
              <w:rPr>
                <w:rFonts w:ascii="Times New Roman" w:cs="Times New Roman" w:eastAsia="Times New Roman" w:hAnsi="Times New Roman"/>
                <w:sz w:val="20"/>
                <w:szCs w:val="20"/>
                <w:color w:val="989898"/>
              </w:rPr>
              <w:t>.......</w:t>
            </w:r>
          </w:p>
        </w:tc>
        <w:tc>
          <w:tcPr>
            <w:tcW w:w="1800" w:type="dxa"/>
            <w:vAlign w:val="bottom"/>
            <w:gridSpan w:val="3"/>
            <w:vMerge w:val="continue"/>
          </w:tcPr>
          <w:p>
            <w:pPr>
              <w:spacing w:after="0"/>
              <w:rPr>
                <w:sz w:val="22"/>
                <w:szCs w:val="22"/>
                <w:color w:val="auto"/>
              </w:rPr>
            </w:pPr>
          </w:p>
        </w:tc>
        <w:tc>
          <w:tcPr>
            <w:tcW w:w="720" w:type="dxa"/>
            <w:vAlign w:val="bottom"/>
            <w:tcBorders>
              <w:right w:val="single" w:sz="8" w:color="auto"/>
            </w:tcBorders>
            <w:gridSpan w:val="2"/>
            <w:vMerge w:val="continue"/>
          </w:tcPr>
          <w:p>
            <w:pPr>
              <w:spacing w:after="0"/>
              <w:rPr>
                <w:sz w:val="22"/>
                <w:szCs w:val="22"/>
                <w:color w:val="auto"/>
              </w:rPr>
            </w:pPr>
          </w:p>
        </w:tc>
        <w:tc>
          <w:tcPr>
            <w:tcW w:w="12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gridSpan w:val="3"/>
            <w:vMerge w:val="continue"/>
          </w:tcPr>
          <w:p>
            <w:pPr>
              <w:spacing w:after="0"/>
              <w:rPr>
                <w:sz w:val="22"/>
                <w:szCs w:val="22"/>
                <w:color w:val="auto"/>
              </w:rPr>
            </w:pPr>
          </w:p>
        </w:tc>
        <w:tc>
          <w:tcPr>
            <w:tcW w:w="960" w:type="dxa"/>
            <w:vAlign w:val="bottom"/>
            <w:gridSpan w:val="3"/>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2022</w:t>
            </w:r>
          </w:p>
        </w:tc>
        <w:tc>
          <w:tcPr>
            <w:tcW w:w="120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54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388,511,138</w:t>
            </w:r>
          </w:p>
        </w:tc>
        <w:tc>
          <w:tcPr>
            <w:tcW w:w="60" w:type="dxa"/>
            <w:vAlign w:val="bottom"/>
          </w:tcPr>
          <w:p>
            <w:pPr>
              <w:spacing w:after="0"/>
              <w:rPr>
                <w:sz w:val="24"/>
                <w:szCs w:val="24"/>
                <w:color w:val="auto"/>
              </w:rPr>
            </w:pPr>
          </w:p>
        </w:tc>
        <w:tc>
          <w:tcPr>
            <w:tcW w:w="54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38</w:t>
            </w:r>
          </w:p>
        </w:tc>
        <w:tc>
          <w:tcPr>
            <w:tcW w:w="60" w:type="dxa"/>
            <w:vAlign w:val="bottom"/>
          </w:tcPr>
          <w:p>
            <w:pPr>
              <w:spacing w:after="0"/>
              <w:rPr>
                <w:sz w:val="24"/>
                <w:szCs w:val="24"/>
                <w:color w:val="auto"/>
              </w:rPr>
            </w:pPr>
          </w:p>
        </w:tc>
        <w:tc>
          <w:tcPr>
            <w:tcW w:w="120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54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1,378,088</w:t>
            </w:r>
          </w:p>
        </w:tc>
        <w:tc>
          <w:tcPr>
            <w:tcW w:w="6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(1,124,421)</w:t>
            </w:r>
          </w:p>
        </w:tc>
        <w:tc>
          <w:tcPr>
            <w:tcW w:w="6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253,705</w:t>
            </w:r>
          </w:p>
        </w:tc>
        <w:tc>
          <w:tcPr>
            <w:tcW w:w="0" w:type="dxa"/>
            <w:vAlign w:val="bottom"/>
          </w:tcPr>
          <w:p>
            <w:pPr>
              <w:spacing w:after="0"/>
              <w:rPr>
                <w:sz w:val="1"/>
                <w:szCs w:val="1"/>
                <w:color w:val="auto"/>
              </w:rPr>
            </w:pPr>
          </w:p>
        </w:tc>
      </w:tr>
      <w:tr>
        <w:trPr>
          <w:trHeight w:val="260"/>
        </w:trPr>
        <w:tc>
          <w:tcPr>
            <w:tcW w:w="2840" w:type="dxa"/>
            <w:vAlign w:val="bottom"/>
          </w:tcPr>
          <w:p>
            <w:pPr>
              <w:spacing w:after="0"/>
              <w:rPr>
                <w:sz w:val="22"/>
                <w:szCs w:val="22"/>
                <w:color w:val="auto"/>
              </w:rPr>
            </w:pPr>
          </w:p>
        </w:tc>
        <w:tc>
          <w:tcPr>
            <w:tcW w:w="1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w:t>
            </w:r>
          </w:p>
        </w:tc>
        <w:tc>
          <w:tcPr>
            <w:tcW w:w="60" w:type="dxa"/>
            <w:vAlign w:val="bottom"/>
          </w:tcPr>
          <w:p>
            <w:pPr>
              <w:spacing w:after="0"/>
              <w:rPr>
                <w:sz w:val="22"/>
                <w:szCs w:val="22"/>
                <w:color w:val="auto"/>
              </w:rPr>
            </w:pPr>
          </w:p>
        </w:tc>
        <w:tc>
          <w:tcPr>
            <w:tcW w:w="6600" w:type="dxa"/>
            <w:vAlign w:val="bottom"/>
            <w:gridSpan w:val="15"/>
          </w:tcPr>
          <w:p>
            <w:pPr>
              <w:jc w:val="right"/>
              <w:ind w:right="40"/>
              <w:spacing w:after="0"/>
              <w:rPr>
                <w:sz w:val="20"/>
                <w:szCs w:val="20"/>
                <w:color w:val="auto"/>
              </w:rPr>
            </w:pPr>
            <w:r>
              <w:rPr>
                <w:rFonts w:ascii="Times New Roman" w:cs="Times New Roman" w:eastAsia="Times New Roman" w:hAnsi="Times New Roman"/>
                <w:sz w:val="20"/>
                <w:szCs w:val="20"/>
                <w:color w:val="auto"/>
                <w:w w:val="97"/>
              </w:rPr>
              <w:t>accompanying notes are an integral part of these consolidated financial statements.</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1939290</wp:posOffset>
                </wp:positionH>
                <wp:positionV relativeFrom="paragraph">
                  <wp:posOffset>-365125</wp:posOffset>
                </wp:positionV>
                <wp:extent cx="76200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2.7pt,-28.7499pt" to="212.7pt,-2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2739390</wp:posOffset>
                </wp:positionH>
                <wp:positionV relativeFrom="paragraph">
                  <wp:posOffset>-365125</wp:posOffset>
                </wp:positionV>
                <wp:extent cx="76200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7pt,-28.7499pt" to="275.7pt,-2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3577590</wp:posOffset>
                </wp:positionH>
                <wp:positionV relativeFrom="paragraph">
                  <wp:posOffset>-365125</wp:posOffset>
                </wp:positionV>
                <wp:extent cx="76200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7pt,-28.7499pt" to="341.7pt,-2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4377690</wp:posOffset>
                </wp:positionH>
                <wp:positionV relativeFrom="paragraph">
                  <wp:posOffset>-365125</wp:posOffset>
                </wp:positionV>
                <wp:extent cx="76200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7pt,-28.7499pt" to="404.7pt,-2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5177790</wp:posOffset>
                </wp:positionH>
                <wp:positionV relativeFrom="paragraph">
                  <wp:posOffset>-365125</wp:posOffset>
                </wp:positionV>
                <wp:extent cx="76200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7pt,-28.7499pt" to="467.7pt,-2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5977890</wp:posOffset>
                </wp:positionH>
                <wp:positionV relativeFrom="paragraph">
                  <wp:posOffset>-365125</wp:posOffset>
                </wp:positionV>
                <wp:extent cx="76200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0.7pt,-28.7499pt" to="530.7pt,-2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6777990</wp:posOffset>
                </wp:positionH>
                <wp:positionV relativeFrom="paragraph">
                  <wp:posOffset>-365125</wp:posOffset>
                </wp:positionV>
                <wp:extent cx="76200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3.7pt,-28.7499pt" to="593.7pt,-2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7578090</wp:posOffset>
                </wp:positionH>
                <wp:positionV relativeFrom="paragraph">
                  <wp:posOffset>-365125</wp:posOffset>
                </wp:positionV>
                <wp:extent cx="76200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6.7pt,-28.7499pt" to="656.7pt,-2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8378190</wp:posOffset>
                </wp:positionH>
                <wp:positionV relativeFrom="paragraph">
                  <wp:posOffset>-365125</wp:posOffset>
                </wp:positionV>
                <wp:extent cx="76200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9.7pt,-28.7499pt" to="719.7pt,-28.7499pt" o:allowincell="f" strokecolor="#000000" strokeweight="0pt"/>
            </w:pict>
          </mc:Fallback>
        </mc:AlternateConten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113</w:t>
            </w:r>
          </w:p>
        </w:tc>
      </w:tr>
    </w:tbl>
    <w:p>
      <w:pPr>
        <w:sectPr>
          <w:pgSz w:w="15840" w:h="12240" w:orient="landscape"/>
          <w:cols w:equalWidth="0" w:num="1">
            <w:col w:w="14399"/>
          </w:cols>
          <w:pgMar w:left="521" w:top="1440" w:right="92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GeneDx Holdings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5"/>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r>
              <w:rPr>
                <w:rFonts w:ascii="Times New Roman" w:cs="Times New Roman" w:eastAsia="Times New Roman" w:hAnsi="Times New Roman"/>
                <w:sz w:val="18"/>
                <w:szCs w:val="18"/>
                <w:color w:val="989898"/>
              </w:rPr>
              <w:t>.......................................................................................................</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(548,980)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(245,390)</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(241,340)</w:t>
            </w:r>
          </w:p>
        </w:tc>
        <w:tc>
          <w:tcPr>
            <w:tcW w:w="0" w:type="dxa"/>
            <w:vAlign w:val="bottom"/>
          </w:tcPr>
          <w:p>
            <w:pPr>
              <w:spacing w:after="0"/>
              <w:rPr>
                <w:sz w:val="1"/>
                <w:szCs w:val="1"/>
                <w:color w:val="auto"/>
              </w:rPr>
            </w:pPr>
          </w:p>
        </w:tc>
      </w:tr>
      <w:tr>
        <w:trPr>
          <w:trHeight w:val="186"/>
        </w:trPr>
        <w:tc>
          <w:tcPr>
            <w:tcW w:w="526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Adjustments to reconcile net loss to net cash used in operating</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60" w:type="dxa"/>
            <w:vAlign w:val="bottom"/>
          </w:tcPr>
          <w:p>
            <w:pPr>
              <w:jc w:val="right"/>
              <w:ind w:right="4290"/>
              <w:spacing w:after="0"/>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Depreciation and amortization expense </w:t>
            </w:r>
            <w:r>
              <w:rPr>
                <w:rFonts w:ascii="Times New Roman" w:cs="Times New Roman" w:eastAsia="Times New Roman" w:hAnsi="Times New Roman"/>
                <w:sz w:val="18"/>
                <w:szCs w:val="18"/>
                <w:color w:val="9898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18"/>
                <w:szCs w:val="18"/>
                <w:color w:val="9898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219,421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120,231</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Change in fair value of warrant and contingent liabilities</w:t>
            </w:r>
            <w:r>
              <w:rPr>
                <w:rFonts w:ascii="Times New Roman" w:cs="Times New Roman" w:eastAsia="Times New Roman" w:hAnsi="Times New Roman"/>
                <w:sz w:val="18"/>
                <w:szCs w:val="18"/>
                <w:color w:val="9898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(198,401)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Income tax benefit </w:t>
            </w:r>
            <w:r>
              <w:rPr>
                <w:rFonts w:ascii="Times New Roman" w:cs="Times New Roman" w:eastAsia="Times New Roman" w:hAnsi="Times New Roman"/>
                <w:sz w:val="18"/>
                <w:szCs w:val="18"/>
                <w:color w:val="9898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Provision for excess and obsolete inventory </w:t>
            </w:r>
            <w:r>
              <w:rPr>
                <w:rFonts w:ascii="Times New Roman" w:cs="Times New Roman" w:eastAsia="Times New Roman" w:hAnsi="Times New Roman"/>
                <w:sz w:val="18"/>
                <w:szCs w:val="18"/>
                <w:color w:val="9898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Non-cash lease expense </w:t>
            </w:r>
            <w:r>
              <w:rPr>
                <w:rFonts w:ascii="Times New Roman" w:cs="Times New Roman" w:eastAsia="Times New Roman" w:hAnsi="Times New Roman"/>
                <w:sz w:val="18"/>
                <w:szCs w:val="18"/>
                <w:color w:val="9898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Loss on extinguishment of debt </w:t>
            </w:r>
            <w:r>
              <w:rPr>
                <w:rFonts w:ascii="Times New Roman" w:cs="Times New Roman" w:eastAsia="Times New Roman" w:hAnsi="Times New Roman"/>
                <w:sz w:val="18"/>
                <w:szCs w:val="18"/>
                <w:color w:val="9898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Impairment loss </w:t>
            </w:r>
            <w:r>
              <w:rPr>
                <w:rFonts w:ascii="Times New Roman" w:cs="Times New Roman" w:eastAsia="Times New Roman" w:hAnsi="Times New Roman"/>
                <w:sz w:val="18"/>
                <w:szCs w:val="18"/>
                <w:color w:val="9898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210,145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Amortization of debt issuance costs </w:t>
            </w:r>
            <w:r>
              <w:rPr>
                <w:rFonts w:ascii="Times New Roman" w:cs="Times New Roman" w:eastAsia="Times New Roman" w:hAnsi="Times New Roman"/>
                <w:sz w:val="18"/>
                <w:szCs w:val="18"/>
                <w:color w:val="9898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526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Change in operating assets and liabilities, net of effects from</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business: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Accounts receivable </w:t>
            </w:r>
            <w:r>
              <w:rPr>
                <w:rFonts w:ascii="Times New Roman" w:cs="Times New Roman" w:eastAsia="Times New Roman" w:hAnsi="Times New Roman"/>
                <w:sz w:val="18"/>
                <w:szCs w:val="18"/>
                <w:color w:val="9898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Inventory </w:t>
            </w:r>
            <w:r>
              <w:rPr>
                <w:rFonts w:ascii="Times New Roman" w:cs="Times New Roman" w:eastAsia="Times New Roman" w:hAnsi="Times New Roman"/>
                <w:sz w:val="18"/>
                <w:szCs w:val="18"/>
                <w:color w:val="9898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Prepaid expenses and other current assets</w:t>
            </w:r>
            <w:r>
              <w:rPr>
                <w:rFonts w:ascii="Times New Roman" w:cs="Times New Roman" w:eastAsia="Times New Roman" w:hAnsi="Times New Roman"/>
                <w:sz w:val="18"/>
                <w:szCs w:val="18"/>
                <w:color w:val="9898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Due to/from related parties </w:t>
            </w:r>
            <w:r>
              <w:rPr>
                <w:rFonts w:ascii="Times New Roman" w:cs="Times New Roman" w:eastAsia="Times New Roman" w:hAnsi="Times New Roman"/>
                <w:sz w:val="18"/>
                <w:szCs w:val="18"/>
                <w:color w:val="9898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color w:val="9898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Accounts payable and accrued expenses </w:t>
            </w:r>
            <w:r>
              <w:rPr>
                <w:rFonts w:ascii="Times New Roman" w:cs="Times New Roman" w:eastAsia="Times New Roman" w:hAnsi="Times New Roman"/>
                <w:sz w:val="18"/>
                <w:szCs w:val="18"/>
                <w:color w:val="9898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14,805</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Contract liabilities </w:t>
            </w:r>
            <w:r>
              <w:rPr>
                <w:rFonts w:ascii="Times New Roman" w:cs="Times New Roman" w:eastAsia="Times New Roman" w:hAnsi="Times New Roman"/>
                <w:sz w:val="18"/>
                <w:szCs w:val="18"/>
                <w:color w:val="9898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45"/>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 current liabilities</w:t>
            </w:r>
            <w:r>
              <w:rPr>
                <w:rFonts w:ascii="Times New Roman" w:cs="Times New Roman" w:eastAsia="Times New Roman" w:hAnsi="Times New Roman"/>
                <w:sz w:val="18"/>
                <w:szCs w:val="18"/>
                <w:color w:val="989898"/>
              </w:rPr>
              <w:t>....................................................................</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(19,467)</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15,960</w:t>
            </w:r>
          </w:p>
        </w:tc>
        <w:tc>
          <w:tcPr>
            <w:tcW w:w="0" w:type="dxa"/>
            <w:vAlign w:val="bottom"/>
          </w:tcPr>
          <w:p>
            <w:pPr>
              <w:spacing w:after="0"/>
              <w:rPr>
                <w:sz w:val="1"/>
                <w:szCs w:val="1"/>
                <w:color w:val="auto"/>
              </w:rPr>
            </w:pPr>
          </w:p>
        </w:tc>
      </w:tr>
      <w:tr>
        <w:trPr>
          <w:trHeight w:val="200"/>
        </w:trPr>
        <w:tc>
          <w:tcPr>
            <w:tcW w:w="526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989898"/>
              </w:rPr>
              <w:t>..........................................................</w:t>
            </w:r>
            <w:r>
              <w:rPr>
                <w:rFonts w:ascii="Times New Roman" w:cs="Times New Roman" w:eastAsia="Times New Roman" w:hAnsi="Times New Roman"/>
                <w:sz w:val="18"/>
                <w:szCs w:val="18"/>
                <w:color w:val="000000"/>
              </w:rPr>
              <w:t>Netcashusedinoperatingactivities</w:t>
            </w:r>
          </w:p>
        </w:tc>
        <w:tc>
          <w:tcPr>
            <w:tcW w:w="320" w:type="dxa"/>
            <w:vAlign w:val="bottom"/>
            <w:tcBorders>
              <w:bottom w:val="single" w:sz="8" w:color="auto"/>
            </w:tcBorders>
          </w:tcPr>
          <w:p>
            <w:pPr>
              <w:jc w:val="right"/>
              <w:ind w:right="9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(319,155)</w:t>
            </w:r>
          </w:p>
        </w:tc>
        <w:tc>
          <w:tcPr>
            <w:tcW w:w="60" w:type="dxa"/>
            <w:vAlign w:val="bottom"/>
          </w:tcPr>
          <w:p>
            <w:pPr>
              <w:spacing w:after="0"/>
              <w:rPr>
                <w:sz w:val="17"/>
                <w:szCs w:val="17"/>
                <w:color w:val="auto"/>
              </w:rPr>
            </w:pPr>
          </w:p>
        </w:tc>
        <w:tc>
          <w:tcPr>
            <w:tcW w:w="300" w:type="dxa"/>
            <w:vAlign w:val="bottom"/>
            <w:tcBorders>
              <w:bottom w:val="single" w:sz="8" w:color="auto"/>
            </w:tcBorders>
          </w:tcPr>
          <w:p>
            <w:pPr>
              <w:jc w:val="right"/>
              <w:ind w:right="7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(190,434)</w:t>
            </w:r>
          </w:p>
        </w:tc>
        <w:tc>
          <w:tcPr>
            <w:tcW w:w="60" w:type="dxa"/>
            <w:vAlign w:val="bottom"/>
          </w:tcPr>
          <w:p>
            <w:pPr>
              <w:spacing w:after="0"/>
              <w:rPr>
                <w:sz w:val="17"/>
                <w:szCs w:val="17"/>
                <w:color w:val="auto"/>
              </w:rPr>
            </w:pPr>
          </w:p>
        </w:tc>
        <w:tc>
          <w:tcPr>
            <w:tcW w:w="340" w:type="dxa"/>
            <w:vAlign w:val="bottom"/>
            <w:tcBorders>
              <w:bottom w:val="single" w:sz="8" w:color="auto"/>
            </w:tcBorders>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(93,128)</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5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Purchase of business, net of cash acquired </w:t>
            </w:r>
            <w:r>
              <w:rPr>
                <w:rFonts w:ascii="Times New Roman" w:cs="Times New Roman" w:eastAsia="Times New Roman" w:hAnsi="Times New Roman"/>
                <w:sz w:val="18"/>
                <w:szCs w:val="18"/>
                <w:color w:val="989898"/>
                <w:w w:val="99"/>
              </w:rPr>
              <w:t>................................................</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(127,004)</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Purchases of property and equipment </w:t>
            </w:r>
            <w:r>
              <w:rPr>
                <w:rFonts w:ascii="Times New Roman" w:cs="Times New Roman" w:eastAsia="Times New Roman" w:hAnsi="Times New Roman"/>
                <w:sz w:val="18"/>
                <w:szCs w:val="18"/>
                <w:color w:val="989898"/>
                <w:w w:val="99"/>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(24,094)</w:t>
            </w:r>
          </w:p>
        </w:tc>
        <w:tc>
          <w:tcPr>
            <w:tcW w:w="0" w:type="dxa"/>
            <w:vAlign w:val="bottom"/>
          </w:tcPr>
          <w:p>
            <w:pPr>
              <w:spacing w:after="0"/>
              <w:rPr>
                <w:sz w:val="1"/>
                <w:szCs w:val="1"/>
                <w:color w:val="auto"/>
              </w:rPr>
            </w:pPr>
          </w:p>
        </w:tc>
      </w:tr>
      <w:tr>
        <w:trPr>
          <w:trHeight w:val="245"/>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xml:space="preserve">Development of internal-use software assets </w:t>
            </w:r>
            <w:r>
              <w:rPr>
                <w:rFonts w:ascii="Times New Roman" w:cs="Times New Roman" w:eastAsia="Times New Roman" w:hAnsi="Times New Roman"/>
                <w:sz w:val="18"/>
                <w:szCs w:val="18"/>
                <w:color w:val="989898"/>
                <w:w w:val="98"/>
              </w:rPr>
              <w:t>.............................................</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0" w:type="dxa"/>
            <w:vAlign w:val="bottom"/>
          </w:tcPr>
          <w:p>
            <w:pPr>
              <w:spacing w:after="0"/>
              <w:rPr>
                <w:sz w:val="1"/>
                <w:szCs w:val="1"/>
                <w:color w:val="auto"/>
              </w:rPr>
            </w:pPr>
          </w:p>
        </w:tc>
      </w:tr>
      <w:tr>
        <w:trPr>
          <w:trHeight w:val="200"/>
        </w:trPr>
        <w:tc>
          <w:tcPr>
            <w:tcW w:w="526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989898"/>
              </w:rPr>
              <w:t>..........................................................</w:t>
            </w:r>
            <w:r>
              <w:rPr>
                <w:rFonts w:ascii="Times New Roman" w:cs="Times New Roman" w:eastAsia="Times New Roman" w:hAnsi="Times New Roman"/>
                <w:sz w:val="18"/>
                <w:szCs w:val="18"/>
                <w:color w:val="000000"/>
              </w:rPr>
              <w:t>Netcashusedininvestingactivities</w:t>
            </w:r>
          </w:p>
        </w:tc>
        <w:tc>
          <w:tcPr>
            <w:tcW w:w="320" w:type="dxa"/>
            <w:vAlign w:val="bottom"/>
            <w:tcBorders>
              <w:bottom w:val="single" w:sz="8" w:color="auto"/>
            </w:tcBorders>
          </w:tcPr>
          <w:p>
            <w:pPr>
              <w:jc w:val="right"/>
              <w:ind w:right="9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(141,326)</w:t>
            </w:r>
          </w:p>
        </w:tc>
        <w:tc>
          <w:tcPr>
            <w:tcW w:w="60" w:type="dxa"/>
            <w:vAlign w:val="bottom"/>
          </w:tcPr>
          <w:p>
            <w:pPr>
              <w:spacing w:after="0"/>
              <w:rPr>
                <w:sz w:val="17"/>
                <w:szCs w:val="17"/>
                <w:color w:val="auto"/>
              </w:rPr>
            </w:pPr>
          </w:p>
        </w:tc>
        <w:tc>
          <w:tcPr>
            <w:tcW w:w="300" w:type="dxa"/>
            <w:vAlign w:val="bottom"/>
            <w:tcBorders>
              <w:bottom w:val="single" w:sz="8" w:color="auto"/>
            </w:tcBorders>
          </w:tcPr>
          <w:p>
            <w:pPr>
              <w:jc w:val="right"/>
              <w:ind w:right="7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(20,786)</w:t>
            </w:r>
          </w:p>
        </w:tc>
        <w:tc>
          <w:tcPr>
            <w:tcW w:w="60" w:type="dxa"/>
            <w:vAlign w:val="bottom"/>
          </w:tcPr>
          <w:p>
            <w:pPr>
              <w:spacing w:after="0"/>
              <w:rPr>
                <w:sz w:val="17"/>
                <w:szCs w:val="17"/>
                <w:color w:val="auto"/>
              </w:rPr>
            </w:pPr>
          </w:p>
        </w:tc>
        <w:tc>
          <w:tcPr>
            <w:tcW w:w="340" w:type="dxa"/>
            <w:vAlign w:val="bottom"/>
            <w:tcBorders>
              <w:bottom w:val="single" w:sz="8" w:color="auto"/>
            </w:tcBorders>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(31,974)</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5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26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Proceeds from issuance of Series C redeemable convertible preferred</w:t>
            </w:r>
          </w:p>
        </w:tc>
        <w:tc>
          <w:tcPr>
            <w:tcW w:w="3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117,324</w:t>
            </w:r>
          </w:p>
        </w:tc>
        <w:tc>
          <w:tcPr>
            <w:tcW w:w="0" w:type="dxa"/>
            <w:vAlign w:val="bottom"/>
          </w:tcPr>
          <w:p>
            <w:pPr>
              <w:spacing w:after="0"/>
              <w:rPr>
                <w:sz w:val="1"/>
                <w:szCs w:val="1"/>
                <w:color w:val="auto"/>
              </w:rPr>
            </w:pPr>
          </w:p>
        </w:tc>
      </w:tr>
      <w:tr>
        <w:trPr>
          <w:trHeight w:val="234"/>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stock, net of issuance costs </w:t>
            </w:r>
            <w:r>
              <w:rPr>
                <w:rFonts w:ascii="Times New Roman" w:cs="Times New Roman" w:eastAsia="Times New Roman" w:hAnsi="Times New Roman"/>
                <w:sz w:val="18"/>
                <w:szCs w:val="18"/>
                <w:color w:val="989898"/>
              </w:rPr>
              <w:t>....................................................................</w:t>
            </w:r>
          </w:p>
        </w:tc>
        <w:tc>
          <w:tcPr>
            <w:tcW w:w="32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Proceeds from PIPE issuance</w:t>
            </w:r>
            <w:r>
              <w:rPr>
                <w:rFonts w:ascii="Times New Roman" w:cs="Times New Roman" w:eastAsia="Times New Roman" w:hAnsi="Times New Roman"/>
                <w:sz w:val="18"/>
                <w:szCs w:val="18"/>
                <w:color w:val="989898"/>
                <w:w w:val="99"/>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197,659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xml:space="preserve">Proceeds from equity infusion from the merger, net of redemptions </w:t>
            </w:r>
            <w:r>
              <w:rPr>
                <w:rFonts w:ascii="Times New Roman" w:cs="Times New Roman" w:eastAsia="Times New Roman" w:hAnsi="Times New Roman"/>
                <w:sz w:val="18"/>
                <w:szCs w:val="18"/>
                <w:color w:val="989898"/>
                <w:w w:val="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442,684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xml:space="preserve">Legacy Sema4 Shareholder payout </w:t>
            </w:r>
            <w:r>
              <w:rPr>
                <w:rFonts w:ascii="Times New Roman" w:cs="Times New Roman" w:eastAsia="Times New Roman" w:hAnsi="Times New Roman"/>
                <w:sz w:val="18"/>
                <w:szCs w:val="18"/>
                <w:color w:val="989898"/>
                <w:w w:val="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(230,665)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xml:space="preserve">Payment of transaction costs </w:t>
            </w:r>
            <w:r>
              <w:rPr>
                <w:rFonts w:ascii="Times New Roman" w:cs="Times New Roman" w:eastAsia="Times New Roman" w:hAnsi="Times New Roman"/>
                <w:sz w:val="18"/>
                <w:szCs w:val="18"/>
                <w:color w:val="989898"/>
                <w:w w:val="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xml:space="preserve">Stock Appreciation Rights payout </w:t>
            </w:r>
            <w:r>
              <w:rPr>
                <w:rFonts w:ascii="Times New Roman" w:cs="Times New Roman" w:eastAsia="Times New Roman" w:hAnsi="Times New Roman"/>
                <w:sz w:val="18"/>
                <w:szCs w:val="18"/>
                <w:color w:val="989898"/>
                <w:w w:val="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Repayment of long-term debt </w:t>
            </w:r>
            <w:r>
              <w:rPr>
                <w:rFonts w:ascii="Times New Roman" w:cs="Times New Roman" w:eastAsia="Times New Roman" w:hAnsi="Times New Roman"/>
                <w:sz w:val="18"/>
                <w:szCs w:val="18"/>
                <w:color w:val="989898"/>
                <w:w w:val="99"/>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xml:space="preserve">Exercise of stock options </w:t>
            </w:r>
            <w:r>
              <w:rPr>
                <w:rFonts w:ascii="Times New Roman" w:cs="Times New Roman" w:eastAsia="Times New Roman" w:hAnsi="Times New Roman"/>
                <w:sz w:val="18"/>
                <w:szCs w:val="18"/>
                <w:color w:val="989898"/>
                <w:w w:val="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xml:space="preserve">Proceeds from long-term debt </w:t>
            </w:r>
            <w:r>
              <w:rPr>
                <w:rFonts w:ascii="Times New Roman" w:cs="Times New Roman" w:eastAsia="Times New Roman" w:hAnsi="Times New Roman"/>
                <w:sz w:val="18"/>
                <w:szCs w:val="18"/>
                <w:color w:val="989898"/>
                <w:w w:val="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Long-term debt principal payments </w:t>
            </w:r>
            <w:r>
              <w:rPr>
                <w:rFonts w:ascii="Times New Roman" w:cs="Times New Roman" w:eastAsia="Times New Roman" w:hAnsi="Times New Roman"/>
                <w:sz w:val="18"/>
                <w:szCs w:val="18"/>
                <w:color w:val="989898"/>
                <w:w w:val="99"/>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40"/>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xml:space="preserve">Debt issuance costs </w:t>
            </w:r>
            <w:r>
              <w:rPr>
                <w:rFonts w:ascii="Times New Roman" w:cs="Times New Roman" w:eastAsia="Times New Roman" w:hAnsi="Times New Roman"/>
                <w:sz w:val="18"/>
                <w:szCs w:val="18"/>
                <w:color w:val="989898"/>
                <w:w w:val="98"/>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Finance lease principal payments </w:t>
            </w:r>
            <w:r>
              <w:rPr>
                <w:rFonts w:ascii="Times New Roman" w:cs="Times New Roman" w:eastAsia="Times New Roman" w:hAnsi="Times New Roman"/>
                <w:sz w:val="18"/>
                <w:szCs w:val="18"/>
                <w:color w:val="989898"/>
                <w:w w:val="99"/>
              </w:rPr>
              <w:t>..............................................................</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0" w:type="dxa"/>
            <w:vAlign w:val="bottom"/>
          </w:tcPr>
          <w:p>
            <w:pPr>
              <w:spacing w:after="0"/>
              <w:rPr>
                <w:sz w:val="1"/>
                <w:szCs w:val="1"/>
                <w:color w:val="auto"/>
              </w:rPr>
            </w:pPr>
          </w:p>
        </w:tc>
      </w:tr>
      <w:tr>
        <w:trPr>
          <w:trHeight w:val="200"/>
        </w:trPr>
        <w:tc>
          <w:tcPr>
            <w:tcW w:w="526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989898"/>
              </w:rPr>
              <w:t>..................................................</w:t>
            </w:r>
            <w:r>
              <w:rPr>
                <w:rFonts w:ascii="Times New Roman" w:cs="Times New Roman" w:eastAsia="Times New Roman" w:hAnsi="Times New Roman"/>
                <w:sz w:val="18"/>
                <w:szCs w:val="18"/>
                <w:color w:val="000000"/>
              </w:rPr>
              <w:t>Netcashprovidedbyfinancingactivities</w:t>
            </w:r>
          </w:p>
        </w:tc>
        <w:tc>
          <w:tcPr>
            <w:tcW w:w="320" w:type="dxa"/>
            <w:vAlign w:val="bottom"/>
            <w:tcBorders>
              <w:bottom w:val="single" w:sz="8" w:color="auto"/>
            </w:tcBorders>
          </w:tcPr>
          <w:p>
            <w:pPr>
              <w:jc w:val="right"/>
              <w:ind w:right="9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197,315</w:t>
            </w:r>
          </w:p>
        </w:tc>
        <w:tc>
          <w:tcPr>
            <w:tcW w:w="60" w:type="dxa"/>
            <w:vAlign w:val="bottom"/>
          </w:tcPr>
          <w:p>
            <w:pPr>
              <w:spacing w:after="0"/>
              <w:rPr>
                <w:sz w:val="17"/>
                <w:szCs w:val="17"/>
                <w:color w:val="auto"/>
              </w:rPr>
            </w:pPr>
          </w:p>
        </w:tc>
        <w:tc>
          <w:tcPr>
            <w:tcW w:w="300" w:type="dxa"/>
            <w:vAlign w:val="bottom"/>
            <w:tcBorders>
              <w:bottom w:val="single" w:sz="8" w:color="auto"/>
            </w:tcBorders>
          </w:tcPr>
          <w:p>
            <w:pPr>
              <w:jc w:val="right"/>
              <w:ind w:right="7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493,729</w:t>
            </w:r>
          </w:p>
        </w:tc>
        <w:tc>
          <w:tcPr>
            <w:tcW w:w="60" w:type="dxa"/>
            <w:vAlign w:val="bottom"/>
          </w:tcPr>
          <w:p>
            <w:pPr>
              <w:spacing w:after="0"/>
              <w:rPr>
                <w:sz w:val="17"/>
                <w:szCs w:val="17"/>
                <w:color w:val="auto"/>
              </w:rPr>
            </w:pPr>
          </w:p>
        </w:tc>
        <w:tc>
          <w:tcPr>
            <w:tcW w:w="340" w:type="dxa"/>
            <w:vAlign w:val="bottom"/>
            <w:tcBorders>
              <w:bottom w:val="single" w:sz="8" w:color="auto"/>
            </w:tcBorders>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129,056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Net (decrease) increase in cash, cash equivalents and restricted cash </w:t>
            </w:r>
            <w:r>
              <w:rPr>
                <w:rFonts w:ascii="Times New Roman" w:cs="Times New Roman" w:eastAsia="Times New Roman" w:hAnsi="Times New Roman"/>
                <w:sz w:val="18"/>
                <w:szCs w:val="18"/>
                <w:color w:val="989898"/>
                <w:w w:val="99"/>
              </w:rPr>
              <w:t>.......</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(263,166)</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282,509</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0" w:type="dxa"/>
            <w:vAlign w:val="bottom"/>
          </w:tcPr>
          <w:p>
            <w:pPr>
              <w:spacing w:after="0"/>
              <w:rPr>
                <w:sz w:val="1"/>
                <w:szCs w:val="1"/>
                <w:color w:val="auto"/>
              </w:rPr>
            </w:pPr>
          </w:p>
        </w:tc>
      </w:tr>
      <w:tr>
        <w:trPr>
          <w:trHeight w:val="245"/>
        </w:trPr>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Cash, cash equivalents and restricted cash, at beginning of year </w:t>
            </w:r>
            <w:r>
              <w:rPr>
                <w:rFonts w:ascii="Times New Roman" w:cs="Times New Roman" w:eastAsia="Times New Roman" w:hAnsi="Times New Roman"/>
                <w:sz w:val="18"/>
                <w:szCs w:val="18"/>
                <w:color w:val="989898"/>
                <w:w w:val="99"/>
              </w:rPr>
              <w:t>..............</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401,469</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118,960</w:t>
            </w: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-7362190</wp:posOffset>
            </wp:positionV>
            <wp:extent cx="5969000" cy="7369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2">
                      <a:extLst>
                        <a:ext uri="{28A0092B-C50C-407E-A947-70E740481C1C}"/>
                      </a:extLst>
                    </a:blip>
                    <a:srcRect/>
                    <a:stretch>
                      <a:fillRect/>
                    </a:stretch>
                  </pic:blipFill>
                  <pic:spPr bwMode="auto">
                    <a:xfrm>
                      <a:off x="0" y="0"/>
                      <a:ext cx="5969000" cy="7369175"/>
                    </a:xfrm>
                    <a:prstGeom prst="rect">
                      <a:avLst/>
                    </a:prstGeom>
                    <a:noFill/>
                  </pic:spPr>
                </pic:pic>
              </a:graphicData>
            </a:graphic>
          </wp:anchor>
        </w:drawing>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360"/>
          </w:cols>
          <w:pgMar w:left="1440" w:top="1371" w:right="1440" w:bottom="0" w:gutter="0" w:footer="0" w:header="0"/>
          <w:type w:val="continuous"/>
        </w:sectPr>
      </w:pPr>
    </w:p>
    <w:bookmarkStart w:id="103" w:name="page104"/>
    <w:bookmarkEnd w:id="103"/>
    <w:tbl>
      <w:tblPr>
        <w:tblLayout w:type="fixed"/>
        <w:tblInd w:w="60" w:type="dxa"/>
        <w:tblCellMar>
          <w:top w:w="0" w:type="dxa"/>
          <w:left w:w="0" w:type="dxa"/>
          <w:bottom w:w="0" w:type="dxa"/>
          <w:right w:w="0" w:type="dxa"/>
        </w:tblCellMar>
      </w:tblPr>
      <w:tr>
        <w:trPr>
          <w:trHeight w:val="25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r>
              <w:rPr>
                <w:rFonts w:ascii="Times New Roman" w:cs="Times New Roman" w:eastAsia="Times New Roman" w:hAnsi="Times New Roman"/>
                <w:sz w:val="18"/>
                <w:szCs w:val="18"/>
                <w:color w:val="989898"/>
              </w:rPr>
              <w:t>.........................</w:t>
            </w:r>
          </w:p>
        </w:tc>
        <w:tc>
          <w:tcPr>
            <w:tcW w:w="4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138,303</w:t>
            </w:r>
          </w:p>
        </w:tc>
        <w:tc>
          <w:tcPr>
            <w:tcW w:w="4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401,469</w:t>
            </w:r>
          </w:p>
        </w:tc>
        <w:tc>
          <w:tcPr>
            <w:tcW w:w="4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118,960</w:t>
            </w:r>
          </w:p>
        </w:tc>
        <w:tc>
          <w:tcPr>
            <w:tcW w:w="0" w:type="dxa"/>
            <w:vAlign w:val="bottom"/>
          </w:tcPr>
          <w:p>
            <w:pPr>
              <w:spacing w:after="0"/>
              <w:rPr>
                <w:sz w:val="1"/>
                <w:szCs w:val="1"/>
                <w:color w:val="auto"/>
              </w:rPr>
            </w:pPr>
          </w:p>
        </w:tc>
      </w:tr>
      <w:tr>
        <w:trPr>
          <w:trHeight w:val="461"/>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Cash paid for interest </w:t>
            </w:r>
            <w:r>
              <w:rPr>
                <w:rFonts w:ascii="Times New Roman" w:cs="Times New Roman" w:eastAsia="Times New Roman" w:hAnsi="Times New Roman"/>
                <w:sz w:val="18"/>
                <w:szCs w:val="18"/>
                <w:color w:val="989898"/>
              </w:rPr>
              <w:t>.................................................................................</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2,751</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30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w w:val="99"/>
              </w:rPr>
              <w:t xml:space="preserve">Cash paid for taxes </w:t>
            </w:r>
            <w:r>
              <w:rPr>
                <w:rFonts w:ascii="Times New Roman" w:cs="Times New Roman" w:eastAsia="Times New Roman" w:hAnsi="Times New Roman"/>
                <w:sz w:val="18"/>
                <w:szCs w:val="18"/>
                <w:color w:val="989898"/>
                <w:w w:val="99"/>
              </w:rPr>
              <w:t>.....................................................................................</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Stock consideration paid for purchase of business </w:t>
            </w:r>
            <w:r>
              <w:rPr>
                <w:rFonts w:ascii="Times New Roman" w:cs="Times New Roman" w:eastAsia="Times New Roman" w:hAnsi="Times New Roman"/>
                <w:sz w:val="18"/>
                <w:szCs w:val="18"/>
                <w:color w:val="989898"/>
              </w:rPr>
              <w:t>....................................</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172,000</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6"/>
        </w:trPr>
        <w:tc>
          <w:tcPr>
            <w:tcW w:w="526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Purchases of property and equipment in accounts payable and accrued</w:t>
            </w:r>
          </w:p>
        </w:tc>
        <w:tc>
          <w:tcPr>
            <w:tcW w:w="4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761</w:t>
            </w:r>
          </w:p>
        </w:tc>
        <w:tc>
          <w:tcPr>
            <w:tcW w:w="4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4"/>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 xml:space="preserve">expenses </w:t>
            </w:r>
            <w:r>
              <w:rPr>
                <w:rFonts w:ascii="Times New Roman" w:cs="Times New Roman" w:eastAsia="Times New Roman" w:hAnsi="Times New Roman"/>
                <w:sz w:val="18"/>
                <w:szCs w:val="18"/>
                <w:color w:val="989898"/>
                <w:w w:val="99"/>
              </w:rPr>
              <w:t>.................................................................................................</w:t>
            </w:r>
          </w:p>
        </w:tc>
        <w:tc>
          <w:tcPr>
            <w:tcW w:w="4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Software development costs in accounts payable and accrued expenses </w:t>
            </w:r>
            <w:r>
              <w:rPr>
                <w:rFonts w:ascii="Times New Roman" w:cs="Times New Roman" w:eastAsia="Times New Roman" w:hAnsi="Times New Roman"/>
                <w:sz w:val="18"/>
                <w:szCs w:val="18"/>
                <w:color w:val="989898"/>
              </w:rPr>
              <w:t>..</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1,149</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55"/>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w w:val="99"/>
              </w:rPr>
              <w:t xml:space="preserve">Debt issuance costs incurred but unpaid </w:t>
            </w:r>
            <w:r>
              <w:rPr>
                <w:rFonts w:ascii="Times New Roman" w:cs="Times New Roman" w:eastAsia="Times New Roman" w:hAnsi="Times New Roman"/>
                <w:sz w:val="18"/>
                <w:szCs w:val="18"/>
                <w:color w:val="989898"/>
                <w:w w:val="99"/>
              </w:rPr>
              <w:t>....................................................</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901700</wp:posOffset>
            </wp:positionV>
            <wp:extent cx="5969000" cy="15779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43">
                      <a:extLst>
                        <a:ext uri="{28A0092B-C50C-407E-A947-70E740481C1C}"/>
                      </a:extLst>
                    </a:blip>
                    <a:srcRect/>
                    <a:stretch>
                      <a:fillRect/>
                    </a:stretch>
                  </pic:blipFill>
                  <pic:spPr bwMode="auto">
                    <a:xfrm>
                      <a:off x="0" y="0"/>
                      <a:ext cx="5969000" cy="157797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14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9360"/>
          </w:cols>
          <w:pgMar w:left="1440" w:top="1410" w:right="1440" w:bottom="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GeneDx Holdings Corp.</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90" w:lineRule="exact"/>
        <w:rPr>
          <w:sz w:val="20"/>
          <w:szCs w:val="20"/>
          <w:color w:val="auto"/>
        </w:rPr>
      </w:pPr>
    </w:p>
    <w:p>
      <w:pPr>
        <w:ind w:left="720" w:hanging="720"/>
        <w:spacing w:after="0"/>
        <w:tabs>
          <w:tab w:leader="none" w:pos="72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 and Description of Business</w:t>
      </w:r>
    </w:p>
    <w:p>
      <w:pPr>
        <w:spacing w:after="0" w:line="21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GeneDx Holdings Corp. (“GeneDx Holdings”) (formerly, Sema4 Holdings Corp. (“Sema4 Holdings”)) through its subsidiaries Sema4 OpCo, Inc., formerly Mount Sinai Genomics Inc., a Delaware corporation (“Legacy Sema4”) and GeneDx, LLC, provides genomics-related diagnostic and information services and pursues genomics medical research. GeneDx utilizes an integrated portfolio of laboratory processes, software tools and informatics capabilities to process DNA-containing samples, analyze information about patient-specific genetic variation and generate test reports for clinicians and their patients. GeneDx provides a variety of genetic diagnostic tests, and screening solutions, and information with a focus on pediatrics, rare diseases for children and adults, and hereditary cancer screening. GeneDx Holdings’ operating subsidiaries primarily serve healthcare professionals who work with their patients and bills third-party payors across the United States.</w:t>
      </w:r>
    </w:p>
    <w:p>
      <w:pPr>
        <w:spacing w:after="0" w:line="16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On July 22, 2021 (the “Closing Date”), CM Life Sciences, Inc. (“CMLS”) completed the acquisition of Legacy Sema4, pursuant to that certain Agreement and Plan of Merger (as amended, the “Business Combination Merger Agreement”), dated February 9, 2021. On the Closing Date, S-IV Sub, Inc. merged with and into the Legacy Sema4, with Legacy Sema4 surviving the merger as a wholly-owned subsidiary of CMLS (the “Business Combination Merger” and, together with the other transactions contemplated by the Business Combination Merger Agreement, the “Business Combination”). In connection with the consummation of the Business Combination, CMLS changed its name to “Sema4 Holdings Corp.” and Legacy Sema4 changed its name to “Sema4 OpCo, Inc.” All equity securities of Legacy Sema4 were converted into the right to receive the applicable portion of the merger consideration.</w:t>
      </w:r>
    </w:p>
    <w:p>
      <w:pPr>
        <w:spacing w:after="0" w:line="169"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The Business Combination Merger was accounted for as a reverse recapitalization with Legacy Sema4 as the accounting acquirer and CMLS as the acquired company for accounting purposes. The shares and net loss per common share, prior to the Business Combination Merger, have been retroactively restated as shares reflecting the exchange ratio established in the Business Combination Merger (1 share of Legacy Sema4 Class A common stock for 123.8339 shares of Sema4 Holdings Class A common stock (the “Class A common stock”) (the “Conversion Ratio”).</w:t>
      </w:r>
    </w:p>
    <w:p>
      <w:pPr>
        <w:spacing w:after="0" w:line="16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Prior to the Business Combination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w:t>
      </w:r>
    </w:p>
    <w:p>
      <w:pPr>
        <w:spacing w:after="0" w:line="164"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In addition, on April 29, 2022, the Company consummated the transactions contemplated by that certain Agreement and Plan of Merger, dated as of January 14, 2022 (as amended, the “ Acquisition Merger Agreement”), by and among the Company and GeneDx, Inc. (“Legacy GeneDx”), a New Jersey corporation and wholly-owned subsidiary of OPKO Health, Inc. (“OPKO”), GeneDx Holding 2, Inc., which held 100% of Legacy GeneDx (“Holdco2”), at the Effective Time (as defined in the Acquisition Merger Agreement) and OPKO, which provided for, among other things, the acquisition of Legacy GeneDx from OPKO. After giving effect to the mergers and the other transactions contemplated by the Acquisition Merger Agreement (the “Acquisition”), Legacy GeneDx was converted into a Delaware limited liability company and became the Company’s wholly-owned indirect subsidiary. See Note 3, “Business Combination,” for additional details regarding the Business Combination and Acquisition.</w:t>
      </w:r>
    </w:p>
    <w:p>
      <w:pPr>
        <w:spacing w:after="0" w:line="16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On January 9, 2023, Sema4 Holdings Corp. changed its name to GeneDx Holdings Corp. Upon the name change, the Company’s Class A common stock and public warrants are listed on the Nasdaq under the symbols “WGS” and “WGSWW,” respectively.</w:t>
      </w:r>
    </w:p>
    <w:p>
      <w:pPr>
        <w:spacing w:after="0" w:line="155"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Unless otherwise stated herein or unless the context otherwise requires, references in these notes to the “Company,” or “GeneDx” refer to (i) Legacy Sema4 prior to the consummation of the Business Combination; and</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360"/>
          </w:cols>
          <w:pgMar w:left="1440" w:top="1371" w:right="1440" w:bottom="0" w:gutter="0" w:footer="0" w:header="0"/>
          <w:type w:val="continuous"/>
        </w:sectPr>
      </w:pPr>
    </w:p>
    <w:bookmarkStart w:id="105" w:name="page106"/>
    <w:bookmarkEnd w:id="105"/>
    <w:p>
      <w:pPr>
        <w:spacing w:after="0" w:line="281" w:lineRule="auto"/>
        <w:tabs>
          <w:tab w:leader="none" w:pos="32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GeneDx Holdings and its subsidiaries following the consummation of the Business Combination (including, following the consummation of the Acquisition, Legacy GeneDx).</w:t>
      </w:r>
    </w:p>
    <w:p>
      <w:pPr>
        <w:spacing w:after="0" w:line="354" w:lineRule="exact"/>
        <w:rPr>
          <w:sz w:val="20"/>
          <w:szCs w:val="20"/>
          <w:color w:val="auto"/>
        </w:rPr>
      </w:pPr>
    </w:p>
    <w:p>
      <w:pPr>
        <w:ind w:left="720" w:hanging="720"/>
        <w:spacing w:after="0"/>
        <w:tabs>
          <w:tab w:leader="none" w:pos="72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99"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conformity with accounting principles generally accepted in the United States of America (“U.S. GAAP”). The Company’s historical financial information includes costs of certain services historically provided by Icahn School of Medicine at Mount Sinai (“ISMMS”) pursuant to the Transition Services Agreement (“TSA”). These financial statements consolidate the operations and accounts of the Company and its wholly-owned subsidiaries. All intercompany accounts and transactions have been eliminated.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1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preparation of audited consolidated financial statements in conformity with U.S. GAAP requires management to make certain estimates, judgments and assumptions that affect the reported amounts of assets and liabilities and the related disclosures at the date of the audited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capitalization of software costs, the valuation of stock-based awards, inventory, earn-out contingent liabilities and earn-out Restricted Stock Units (“RSUs”). Actual results could differ materially from those estimates, judgments and assumptions.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 and Other Risks and Uncertainties</w:t>
      </w:r>
    </w:p>
    <w:p>
      <w:pPr>
        <w:spacing w:after="0" w:line="19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primarily of cash and cash equivalents and accounts receivable. The majority of the Company’s cash, cash equivalents and restricted cash are uninsured with account balances in excess of the Federal Deposit Insurance Company limits. On March 14, 2023, we announced full access to our capital with now 100% of the Company’s cash, cash equivalents and marketable securities held in institutions designated as systematically important financial institutions.</w:t>
      </w:r>
    </w:p>
    <w:p>
      <w:pPr>
        <w:spacing w:after="0" w:line="14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43"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The Company assesses both the customer and, if applicable, the third 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as of December 31, 2022 and 2021 were primarily from large managed care insurance companies. There was no individual customer that accounted for 10% or more of revenue or accounts receivable for any of the years presented. The Company does not require collateral as a means to mitigate customer credit risk.</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9360"/>
          </w:cols>
          <w:pgMar w:left="1440" w:top="1378" w:right="1440" w:bottom="0" w:gutter="0" w:footer="0" w:header="0"/>
          <w:type w:val="continuous"/>
        </w:sectPr>
      </w:pPr>
    </w:p>
    <w:bookmarkStart w:id="106" w:name="page107"/>
    <w:bookmarkEnd w:id="106"/>
    <w:p>
      <w:pPr>
        <w:ind w:firstLine="360"/>
        <w:spacing w:after="0" w:line="281" w:lineRule="auto"/>
        <w:rPr>
          <w:sz w:val="20"/>
          <w:szCs w:val="20"/>
          <w:color w:val="auto"/>
        </w:rPr>
      </w:pPr>
      <w:r>
        <w:rPr>
          <w:rFonts w:ascii="Times New Roman" w:cs="Times New Roman" w:eastAsia="Times New Roman" w:hAnsi="Times New Roman"/>
          <w:sz w:val="20"/>
          <w:szCs w:val="20"/>
          <w:color w:val="auto"/>
        </w:rPr>
        <w:t>For each significant payor group, revenue as a percentage of total revenues and accounts receivable as a percentage of total accounts receivable are as follows:</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25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Accounts Receivable</w:t>
            </w:r>
          </w:p>
        </w:tc>
      </w:tr>
      <w:tr>
        <w:trPr>
          <w:trHeight w:val="220"/>
        </w:trPr>
        <w:tc>
          <w:tcPr>
            <w:tcW w:w="25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r>
      <w:tr>
        <w:trPr>
          <w:trHeight w:val="220"/>
        </w:trPr>
        <w:tc>
          <w:tcPr>
            <w:tcW w:w="2500" w:type="dxa"/>
            <w:vAlign w:val="bottom"/>
          </w:tcPr>
          <w:p>
            <w:pPr>
              <w:spacing w:after="0"/>
              <w:rPr>
                <w:sz w:val="19"/>
                <w:szCs w:val="19"/>
                <w:color w:val="auto"/>
              </w:rPr>
            </w:pPr>
          </w:p>
        </w:tc>
        <w:tc>
          <w:tcPr>
            <w:tcW w:w="10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3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2"/>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Payor group A (1) </w:t>
            </w:r>
            <w:r>
              <w:rPr>
                <w:rFonts w:ascii="Times New Roman" w:cs="Times New Roman" w:eastAsia="Times New Roman" w:hAnsi="Times New Roman"/>
                <w:sz w:val="20"/>
                <w:szCs w:val="20"/>
                <w:color w:val="989898"/>
              </w:rPr>
              <w:t>...................</w:t>
            </w:r>
          </w:p>
        </w:tc>
        <w:tc>
          <w:tcPr>
            <w:tcW w:w="1000" w:type="dxa"/>
            <w:vAlign w:val="bottom"/>
          </w:tcPr>
          <w:p>
            <w:pPr>
              <w:jc w:val="center"/>
              <w:ind w:left="244"/>
              <w:spacing w:after="0"/>
              <w:rPr>
                <w:sz w:val="20"/>
                <w:szCs w:val="20"/>
                <w:color w:val="auto"/>
              </w:rPr>
            </w:pPr>
            <w:r>
              <w:rPr>
                <w:rFonts w:ascii="Times New Roman" w:cs="Times New Roman" w:eastAsia="Times New Roman" w:hAnsi="Times New Roman"/>
                <w:sz w:val="20"/>
                <w:szCs w:val="20"/>
                <w:color w:val="auto"/>
                <w:w w:val="99"/>
              </w:rPr>
              <w:t>*</w:t>
            </w:r>
          </w:p>
        </w:tc>
        <w:tc>
          <w:tcPr>
            <w:tcW w:w="1680" w:type="dxa"/>
            <w:vAlign w:val="bottom"/>
            <w:gridSpan w:val="3"/>
          </w:tcPr>
          <w:p>
            <w:pPr>
              <w:jc w:val="center"/>
              <w:ind w:left="304"/>
              <w:spacing w:after="0"/>
              <w:rPr>
                <w:sz w:val="20"/>
                <w:szCs w:val="20"/>
                <w:color w:val="auto"/>
              </w:rPr>
            </w:pPr>
            <w:r>
              <w:rPr>
                <w:rFonts w:ascii="Times New Roman" w:cs="Times New Roman" w:eastAsia="Times New Roman" w:hAnsi="Times New Roman"/>
                <w:sz w:val="20"/>
                <w:szCs w:val="20"/>
                <w:color w:val="auto"/>
                <w:w w:val="98"/>
              </w:rPr>
              <w:t>22%</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center"/>
              <w:ind w:right="224"/>
              <w:spacing w:after="0"/>
              <w:rPr>
                <w:sz w:val="20"/>
                <w:szCs w:val="20"/>
                <w:color w:val="auto"/>
              </w:rPr>
            </w:pPr>
            <w:r>
              <w:rPr>
                <w:rFonts w:ascii="Times New Roman" w:cs="Times New Roman" w:eastAsia="Times New Roman" w:hAnsi="Times New Roman"/>
                <w:sz w:val="20"/>
                <w:szCs w:val="20"/>
                <w:color w:val="auto"/>
                <w:w w:val="98"/>
              </w:rPr>
              <w:t>27%</w:t>
            </w:r>
          </w:p>
        </w:tc>
        <w:tc>
          <w:tcPr>
            <w:tcW w:w="140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15%</w:t>
            </w:r>
          </w:p>
        </w:tc>
      </w:tr>
      <w:tr>
        <w:trPr>
          <w:trHeight w:val="285"/>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Payor group B (2) </w:t>
            </w:r>
            <w:r>
              <w:rPr>
                <w:rFonts w:ascii="Times New Roman" w:cs="Times New Roman" w:eastAsia="Times New Roman" w:hAnsi="Times New Roman"/>
                <w:sz w:val="20"/>
                <w:szCs w:val="20"/>
                <w:color w:val="989898"/>
                <w:w w:val="99"/>
              </w:rPr>
              <w:t>....................</w:t>
            </w:r>
          </w:p>
        </w:tc>
        <w:tc>
          <w:tcPr>
            <w:tcW w:w="1000" w:type="dxa"/>
            <w:vAlign w:val="bottom"/>
          </w:tcPr>
          <w:p>
            <w:pPr>
              <w:jc w:val="center"/>
              <w:ind w:left="264"/>
              <w:spacing w:after="0"/>
              <w:rPr>
                <w:sz w:val="20"/>
                <w:szCs w:val="20"/>
                <w:color w:val="auto"/>
              </w:rPr>
            </w:pPr>
            <w:r>
              <w:rPr>
                <w:rFonts w:ascii="Times New Roman" w:cs="Times New Roman" w:eastAsia="Times New Roman" w:hAnsi="Times New Roman"/>
                <w:sz w:val="20"/>
                <w:szCs w:val="20"/>
                <w:color w:val="auto"/>
                <w:w w:val="98"/>
              </w:rPr>
              <w:t>30%</w:t>
            </w:r>
          </w:p>
        </w:tc>
        <w:tc>
          <w:tcPr>
            <w:tcW w:w="1680" w:type="dxa"/>
            <w:vAlign w:val="bottom"/>
            <w:gridSpan w:val="3"/>
          </w:tcPr>
          <w:p>
            <w:pPr>
              <w:jc w:val="center"/>
              <w:ind w:left="304"/>
              <w:spacing w:after="0"/>
              <w:rPr>
                <w:sz w:val="20"/>
                <w:szCs w:val="20"/>
                <w:color w:val="auto"/>
              </w:rPr>
            </w:pPr>
            <w:r>
              <w:rPr>
                <w:rFonts w:ascii="Times New Roman" w:cs="Times New Roman" w:eastAsia="Times New Roman" w:hAnsi="Times New Roman"/>
                <w:sz w:val="20"/>
                <w:szCs w:val="20"/>
                <w:color w:val="auto"/>
                <w:w w:val="98"/>
              </w:rPr>
              <w:t>13%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center"/>
              <w:ind w:right="224"/>
              <w:spacing w:after="0"/>
              <w:rPr>
                <w:sz w:val="20"/>
                <w:szCs w:val="20"/>
                <w:color w:val="auto"/>
              </w:rPr>
            </w:pPr>
            <w:r>
              <w:rPr>
                <w:rFonts w:ascii="Times New Roman" w:cs="Times New Roman" w:eastAsia="Times New Roman" w:hAnsi="Times New Roman"/>
                <w:sz w:val="20"/>
                <w:szCs w:val="20"/>
                <w:color w:val="auto"/>
                <w:w w:val="98"/>
              </w:rPr>
              <w:t>14%</w:t>
            </w:r>
          </w:p>
        </w:tc>
        <w:tc>
          <w:tcPr>
            <w:tcW w:w="14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14%</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85"/>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Payor group D </w:t>
            </w:r>
            <w:r>
              <w:rPr>
                <w:rFonts w:ascii="Times New Roman" w:cs="Times New Roman" w:eastAsia="Times New Roman" w:hAnsi="Times New Roman"/>
                <w:sz w:val="20"/>
                <w:szCs w:val="20"/>
                <w:color w:val="989898"/>
              </w:rPr>
              <w:t>.........................</w:t>
            </w:r>
          </w:p>
        </w:tc>
        <w:tc>
          <w:tcPr>
            <w:tcW w:w="1000" w:type="dxa"/>
            <w:vAlign w:val="bottom"/>
          </w:tcPr>
          <w:p>
            <w:pPr>
              <w:jc w:val="center"/>
              <w:ind w:left="244"/>
              <w:spacing w:after="0"/>
              <w:rPr>
                <w:sz w:val="20"/>
                <w:szCs w:val="20"/>
                <w:color w:val="auto"/>
              </w:rPr>
            </w:pPr>
            <w:r>
              <w:rPr>
                <w:rFonts w:ascii="Times New Roman" w:cs="Times New Roman" w:eastAsia="Times New Roman" w:hAnsi="Times New Roman"/>
                <w:sz w:val="20"/>
                <w:szCs w:val="20"/>
                <w:color w:val="auto"/>
                <w:w w:val="99"/>
              </w:rPr>
              <w:t>*</w:t>
            </w:r>
          </w:p>
        </w:tc>
        <w:tc>
          <w:tcPr>
            <w:tcW w:w="1680" w:type="dxa"/>
            <w:vAlign w:val="bottom"/>
            <w:gridSpan w:val="3"/>
          </w:tcPr>
          <w:p>
            <w:pPr>
              <w:jc w:val="center"/>
              <w:ind w:left="324"/>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center"/>
              <w:ind w:right="204"/>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15%</w:t>
            </w:r>
          </w:p>
        </w:tc>
      </w:tr>
      <w:tr>
        <w:trPr>
          <w:trHeight w:val="285"/>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Payor group E</w:t>
            </w:r>
            <w:r>
              <w:rPr>
                <w:rFonts w:ascii="Times New Roman" w:cs="Times New Roman" w:eastAsia="Times New Roman" w:hAnsi="Times New Roman"/>
                <w:sz w:val="20"/>
                <w:szCs w:val="20"/>
                <w:color w:val="989898"/>
              </w:rPr>
              <w:t>..........................</w:t>
            </w:r>
          </w:p>
        </w:tc>
        <w:tc>
          <w:tcPr>
            <w:tcW w:w="1000" w:type="dxa"/>
            <w:vAlign w:val="bottom"/>
          </w:tcPr>
          <w:p>
            <w:pPr>
              <w:jc w:val="center"/>
              <w:ind w:left="264"/>
              <w:spacing w:after="0"/>
              <w:rPr>
                <w:sz w:val="20"/>
                <w:szCs w:val="20"/>
                <w:color w:val="auto"/>
              </w:rPr>
            </w:pPr>
            <w:r>
              <w:rPr>
                <w:rFonts w:ascii="Times New Roman" w:cs="Times New Roman" w:eastAsia="Times New Roman" w:hAnsi="Times New Roman"/>
                <w:sz w:val="20"/>
                <w:szCs w:val="20"/>
                <w:color w:val="auto"/>
                <w:w w:val="98"/>
              </w:rPr>
              <w:t>15%</w:t>
            </w:r>
          </w:p>
        </w:tc>
        <w:tc>
          <w:tcPr>
            <w:tcW w:w="1680" w:type="dxa"/>
            <w:vAlign w:val="bottom"/>
            <w:gridSpan w:val="3"/>
          </w:tcPr>
          <w:p>
            <w:pPr>
              <w:jc w:val="center"/>
              <w:ind w:left="324"/>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center"/>
              <w:ind w:right="204"/>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14%</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-727710</wp:posOffset>
            </wp:positionV>
            <wp:extent cx="5969000" cy="749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44">
                      <a:extLst>
                        <a:ext uri="{28A0092B-C50C-407E-A947-70E740481C1C}"/>
                      </a:extLst>
                    </a:blip>
                    <a:srcRect/>
                    <a:stretch>
                      <a:fillRect/>
                    </a:stretch>
                  </pic:blipFill>
                  <pic:spPr bwMode="auto">
                    <a:xfrm>
                      <a:off x="0" y="0"/>
                      <a:ext cx="5969000" cy="74930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ind w:left="360" w:hanging="360"/>
        <w:spacing w:after="0"/>
        <w:tabs>
          <w:tab w:leader="none" w:pos="3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10%</w:t>
      </w:r>
    </w:p>
    <w:p>
      <w:pPr>
        <w:spacing w:after="0" w:line="171" w:lineRule="exact"/>
        <w:rPr>
          <w:sz w:val="20"/>
          <w:szCs w:val="20"/>
          <w:color w:val="auto"/>
        </w:rPr>
      </w:pPr>
    </w:p>
    <w:p>
      <w:pPr>
        <w:ind w:left="360" w:right="120" w:hanging="360"/>
        <w:spacing w:after="0" w:line="282" w:lineRule="auto"/>
        <w:tabs>
          <w:tab w:leader="none" w:pos="227"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payor group represented less than 10% of the Company’s total revenues in 2022 due primarily to a reversal of revenue related to certain overpayments previously made by this payor. Refer to Note 4, “Revenue Recognition.”</w:t>
      </w:r>
    </w:p>
    <w:p>
      <w:pPr>
        <w:spacing w:after="0" w:line="143" w:lineRule="exact"/>
        <w:rPr>
          <w:rFonts w:ascii="Times New Roman" w:cs="Times New Roman" w:eastAsia="Times New Roman" w:hAnsi="Times New Roman"/>
          <w:sz w:val="16"/>
          <w:szCs w:val="16"/>
          <w:color w:val="auto"/>
        </w:rPr>
      </w:pPr>
    </w:p>
    <w:p>
      <w:pPr>
        <w:ind w:left="360" w:right="240" w:hanging="360"/>
        <w:spacing w:after="0" w:line="282" w:lineRule="auto"/>
        <w:tabs>
          <w:tab w:leader="none" w:pos="227"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payor group includes multiple individual plans and the Company calculates and presents the aggregated value from all plans, which is consistent with the Company’s portfolio approach used in accounting for diagnostic test revenue.</w:t>
      </w:r>
    </w:p>
    <w:p>
      <w:pPr>
        <w:spacing w:after="0" w:line="132" w:lineRule="exact"/>
        <w:rPr>
          <w:sz w:val="20"/>
          <w:szCs w:val="20"/>
          <w:color w:val="auto"/>
        </w:rPr>
      </w:pPr>
    </w:p>
    <w:p>
      <w:pPr>
        <w:jc w:val="both"/>
        <w:ind w:firstLine="326"/>
        <w:spacing w:after="0" w:line="256" w:lineRule="auto"/>
        <w:rPr>
          <w:sz w:val="20"/>
          <w:szCs w:val="20"/>
          <w:color w:val="auto"/>
        </w:rPr>
      </w:pPr>
      <w:r>
        <w:rPr>
          <w:rFonts w:ascii="Times New Roman" w:cs="Times New Roman" w:eastAsia="Times New Roman" w:hAnsi="Times New Roman"/>
          <w:sz w:val="20"/>
          <w:szCs w:val="20"/>
          <w:color w:val="auto"/>
        </w:rPr>
        <w:t>The Company is subject to a concentration of risk from a limited number of suppliers for certain reagents and laboratory supplies. One supplier accounted for approximately 5%, 7% and 11% of purchases for the years ended December 31, 2022, 2021 and 2020, respectively. Another supplier accounted for approximately 12%, 11% and 10% of purchases for the years ended December 31, 2022, 2021 and 2020, respectively. This risk is managed by maintaining a target quantity of surplus stock. Alternative suppliers are available for some or all of these reagents and supplies.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Impact of COVID-19</w:t>
      </w:r>
    </w:p>
    <w:p>
      <w:pPr>
        <w:spacing w:after="0" w:line="21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Beginning in April 2020, the Company’s diagnostic test volumes decreased significantly as compared to the prior year as a result of the initial outbreak of the COVID-19 pandemic and the related limitations and priorities across the healthcare system. In response, beginning in May 2020, the Company entered into several service agreements with state governments and healthcare institutions to provide testing for the presence of COVID-19 variants. Test volumes have since improved to what would, at this time, be considered normalized market conditions. A COVID-19 resurgence in the United States could however have a material impact on the Company’s consolidated results of operations, cash flows and financial condition.</w:t>
      </w:r>
    </w:p>
    <w:p>
      <w:pPr>
        <w:spacing w:after="0" w:line="150"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provided by the CARES Act, the Company received $5.4 million, comprised of $2.6 million received under the Provider Relief Fund (“PRF”) distribution and $2.8 million received under the Employee Retention Credit (“ERC”) distribution which was recorded in other current liabilities within the consolidated balance sheets as of December 31, 2022 and December 31, 2021.</w:t>
      </w:r>
    </w:p>
    <w:p>
      <w:pPr>
        <w:spacing w:after="0" w:line="170"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During 2021, the Company received an additional $5.6 million under the PRF distribution, which was recognized in other income in the consolidated statements of operations and comprehensive loss.</w:t>
      </w:r>
    </w:p>
    <w:p>
      <w:pPr>
        <w:spacing w:after="0" w:line="12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Additionally, under the CARES Act, the Company deferred payment of U.S. social security taxes in 2020. As a result, $3.8 million of employer payroll tax payments were initially deferred as of December 31, 2020 with $1.9 million paid in both December 2021 and December 2022 with no remaining liability as of December 31, 2022.</w:t>
      </w:r>
    </w:p>
    <w:p>
      <w:pPr>
        <w:spacing w:after="0" w:line="156"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Following the Company’s announcement that it would discontinue COVID-19 testing services by March 31, 2022, the Company no longer provides COVID-19 testing services. During the year ended December 31, 2022, the Company wrote off an accounts receivable balance of $0.4 million related to COVID-19 testing services.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9360"/>
          </w:cols>
          <w:pgMar w:left="1440" w:top="1378" w:right="144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Restricted Cash</w:t>
      </w:r>
    </w:p>
    <w:p>
      <w:pPr>
        <w:spacing w:after="0" w:line="19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3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The following table provides a reconciliation of cash, cash equivalents and restricted cash reported on the consolidated balance sheets that sum to the total of the same amounts shown on the consolidated statements of cash flows (in thousands):</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0"/>
        </w:trPr>
        <w:tc>
          <w:tcPr>
            <w:tcW w:w="52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2"/>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Cash and cash equivalents </w:t>
            </w:r>
            <w:r>
              <w:rPr>
                <w:rFonts w:ascii="Times New Roman" w:cs="Times New Roman" w:eastAsia="Times New Roman" w:hAnsi="Times New Roman"/>
                <w:sz w:val="20"/>
                <w:szCs w:val="20"/>
                <w:color w:val="989898"/>
                <w:w w:val="99"/>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123,933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400,569</w:t>
            </w:r>
          </w:p>
        </w:tc>
        <w:tc>
          <w:tcPr>
            <w:tcW w:w="60" w:type="dxa"/>
            <w:vAlign w:val="bottom"/>
          </w:tcPr>
          <w:p>
            <w:pPr>
              <w:spacing w:after="0"/>
              <w:rPr>
                <w:sz w:val="22"/>
                <w:szCs w:val="22"/>
                <w:color w:val="auto"/>
              </w:rPr>
            </w:pP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108,132</w:t>
            </w: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w:t>
            </w:r>
            <w:r>
              <w:rPr>
                <w:rFonts w:ascii="Times New Roman" w:cs="Times New Roman" w:eastAsia="Times New Roman" w:hAnsi="Times New Roman"/>
                <w:sz w:val="20"/>
                <w:szCs w:val="20"/>
                <w:color w:val="989898"/>
              </w:rPr>
              <w: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14,370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10,828</w:t>
            </w:r>
          </w:p>
        </w:tc>
      </w:tr>
      <w:tr>
        <w:trPr>
          <w:trHeight w:val="24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Total </w:t>
            </w:r>
            <w:r>
              <w:rPr>
                <w:rFonts w:ascii="Times New Roman" w:cs="Times New Roman" w:eastAsia="Times New Roman" w:hAnsi="Times New Roman"/>
                <w:sz w:val="20"/>
                <w:szCs w:val="20"/>
                <w:color w:val="989898"/>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138,303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401,469</w:t>
            </w:r>
          </w:p>
        </w:tc>
        <w:tc>
          <w:tcPr>
            <w:tcW w:w="60" w:type="dxa"/>
            <w:vAlign w:val="bottom"/>
          </w:tcPr>
          <w:p>
            <w:pPr>
              <w:spacing w:after="0"/>
              <w:rPr>
                <w:sz w:val="21"/>
                <w:szCs w:val="21"/>
                <w:color w:val="auto"/>
              </w:rPr>
            </w:pP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118,960</w:t>
            </w:r>
          </w:p>
        </w:tc>
      </w:tr>
      <w:tr>
        <w:trPr>
          <w:trHeight w:val="20"/>
        </w:trPr>
        <w:tc>
          <w:tcPr>
            <w:tcW w:w="5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5969000" cy="5810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45">
                      <a:extLst>
                        <a:ext uri="{28A0092B-C50C-407E-A947-70E740481C1C}"/>
                      </a:extLst>
                    </a:blip>
                    <a:srcRect/>
                    <a:stretch>
                      <a:fillRect/>
                    </a:stretch>
                  </pic:blipFill>
                  <pic:spPr bwMode="auto">
                    <a:xfrm>
                      <a:off x="0" y="0"/>
                      <a:ext cx="5969000" cy="581025"/>
                    </a:xfrm>
                    <a:prstGeom prst="rect">
                      <a:avLst/>
                    </a:prstGeom>
                    <a:noFill/>
                  </pic:spPr>
                </pic:pic>
              </a:graphicData>
            </a:graphic>
          </wp:anchor>
        </w:drawing>
      </w:r>
    </w:p>
    <w:p>
      <w:pPr>
        <w:spacing w:after="0" w:line="168" w:lineRule="exact"/>
        <w:rPr>
          <w:sz w:val="20"/>
          <w:szCs w:val="20"/>
          <w:color w:val="auto"/>
        </w:rPr>
      </w:pPr>
    </w:p>
    <w:p>
      <w:pPr>
        <w:jc w:val="both"/>
        <w:ind w:firstLine="416"/>
        <w:spacing w:after="0" w:line="256" w:lineRule="auto"/>
        <w:rPr>
          <w:sz w:val="20"/>
          <w:szCs w:val="20"/>
          <w:color w:val="auto"/>
        </w:rPr>
      </w:pPr>
      <w:r>
        <w:rPr>
          <w:rFonts w:ascii="Times New Roman" w:cs="Times New Roman" w:eastAsia="Times New Roman" w:hAnsi="Times New Roman"/>
          <w:sz w:val="20"/>
          <w:szCs w:val="20"/>
          <w:color w:val="auto"/>
        </w:rPr>
        <w:t xml:space="preserve">Restricted cash as of December 31, 2022 includes $13.5 million held in escrow as restricted cash related to the closing of the Acquisition of Legacy GeneDx. The escrow amount is to be held for a period of 12 months following the closing date of the Acquisition as a fund for OPKO’s indemnification obligations pursuant to the Acquisition Merger Agreement. In addition, restricted cash, non-current, as of December 31, 2022 consists of money market deposit accounts that secure an irrevocable standby letter of credit that serves as collateral for security deposit operating leases (see Note 9,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w:t>
      </w:r>
    </w:p>
    <w:p>
      <w:pPr>
        <w:spacing w:after="0" w:line="19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20"/>
          <w:szCs w:val="20"/>
          <w:color w:val="auto"/>
        </w:rPr>
        <w:t>Accounts receivable consists of amounts due from customers and third-party payors for services performed and reflect the consideration to which the Company expects to be entitled in exchange for providing those services. Accounts receivable is estimated and recorded in the period the related revenue is recorded. During the years ended December 31, 2022 and 2021, the Company did not record provisions for doubtful accounts. The Company did not write off any accounts receivable balances for the years ended December 31, 2022 and 2021, and $0.2 million of accounts receivable was written off for the year ended December 31, 2020.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 net</w:t>
      </w:r>
    </w:p>
    <w:p>
      <w:pPr>
        <w:spacing w:after="0" w:line="19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Inventory, net, which primarily consists of finished goods such as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 During the fourth quarter of 2022, the Company identified indicators of impairment specifically with the planned exit and discontinuance of testing for Legacy Sema4. Certain inventory testing supplies and reagents have been or are being liquidated or disposed of rather than used to produce revenue. As a result, the Company recorded a $22.5 million impairment charge within impairment loss in the Company’s consolidated statements of operations and comprehensive loss for the year ended December 31, 2022. There was no impairment loss recorded for the years ended December 31, 2021 and December 31, 2020.</w:t>
      </w:r>
    </w:p>
    <w:p>
      <w:pPr>
        <w:spacing w:after="0" w:line="15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Additionally, in the normal course of business the Company recorded a reserve offsetting inventory in the consolidated balance sheets, for excess and obsolete inventory of $1.1 million and $2.1 million for the years ended December 31, 2022 and December 31, 2021,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9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Property and equipment, net are stated at cost less accumulated depreciation and amortization. Equipment includes assets under finance lease. Improvements are capitalized, while maintenance and repairs are expensed as incurred. When assets are retired or otherwise disposed of, the cost and accumulated depreciation and amortization are removed from the consolidated balance sheets and any resulting gain or loss is reflected in the consolidated statements of operations and comprehensive loss in the period realized.</w:t>
      </w:r>
    </w:p>
    <w:p>
      <w:pPr>
        <w:sectPr>
          <w:pgSz w:w="12240" w:h="15840" w:orient="portrait"/>
          <w:cols w:equalWidth="0" w:num="1">
            <w:col w:w="9360"/>
          </w:cols>
          <w:pgMar w:left="1440" w:top="1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9360"/>
          </w:cols>
          <w:pgMar w:left="1440" w:top="1369" w:right="1440" w:bottom="0" w:gutter="0" w:footer="0" w:header="0"/>
          <w:type w:val="continuous"/>
        </w:sectPr>
      </w:pPr>
    </w:p>
    <w:bookmarkStart w:id="108" w:name="page109"/>
    <w:bookmarkEnd w:id="108"/>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Finance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spacing w:after="0" w:line="13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 During the fourth quarter of 2022, the Company identified indicators that it is more likely than not that the fair value of certain asset groups was less than their carrying value, see Note 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21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 accounts for acquisitions of entities that include inputs and processes and have the ability to create outputs as business combinations. The tangible and identifiable intangible assets acquired and liabilities assumed in a business combination are recorded based on their estimated fair values as of the business combination date, including identifiable intangible assets which either arise from a contractual or legal right or are separable from goodwill. The Company bases the estimated fair value of identifiable intangible assets acquired in a business combination on third-party valuations that use information and assumptions provided by the Company’s management, which consider estimates of inputs and assumptions that a market participant would use. Any excess purchase price over the estimated fair value assigned to the net tangible and identifiable intangible assets acquired and liabilities assumed is recorded as goodwill. The use of alternative valuation assumptions, including estimated revenue projections, growth rates, estimated cost savings, cash flows, discount rates, estimated useful lives and probabilities surrounding the achievement of contingent milestones could result in different purchase price allocations and amortization expense in current and future periods.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199"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 xml:space="preserve">In accordance with ASC 350, Intangibles-Goodwill and Other (“ASC 350”), the Company’s goodwill is not amortized but is tested for impairment on an annual basis or whenever events or changes in circumstances indicate that the carrying amount of these assets may not be recoverable. Under ASC 350, the Company will perform annual impairment reviews of goodwill during the fourth fiscal quarter or more frequently if business factors indicate. In the fourth quarter of 2022, the Company identified indicators of impairment that indicate that it is more likely than not that the fair value of a reporting unit is less than its carrying value and as a result goodwill was fully written off with $174.5 million recorded within impairment loss in the Company’s consolidated statements of operations and comprehensive loss for the year ended December 31, 2022, see Note 18, </w:t>
      </w:r>
      <w:r>
        <w:rPr>
          <w:rFonts w:ascii="Times New Roman" w:cs="Times New Roman" w:eastAsia="Times New Roman" w:hAnsi="Times New Roman"/>
          <w:sz w:val="20"/>
          <w:szCs w:val="20"/>
          <w:b w:val="1"/>
          <w:bCs w:val="1"/>
          <w:i w:val="1"/>
          <w:iCs w:val="1"/>
          <w:color w:val="auto"/>
        </w:rPr>
        <w:t>“Goodwill and Intangible Assets.”</w:t>
      </w:r>
      <w:r>
        <w:rPr>
          <w:rFonts w:ascii="Times New Roman" w:cs="Times New Roman" w:eastAsia="Times New Roman" w:hAnsi="Times New Roman"/>
          <w:sz w:val="20"/>
          <w:szCs w:val="20"/>
          <w:color w:val="auto"/>
        </w:rPr>
        <w:t xml:space="preserve"> There was no goodwill for the years ended December 31, 2021 and December 31, 2020.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0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Amortizable intangible assets include trade names and trademarks, developed technology and customer relationships acquired as part of business combinations. Intangible assets acquired through our business combinations in the second quarter of 2022 are amortized on a straight line basis. All intangible assets subject to amortization are reviewed for impairment in accordance with ASC 360, Property, Plant and Equipment. There were no impairment losses recorded on intangible assets for any periods presented.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Capitalized Software</w:t>
      </w:r>
    </w:p>
    <w:p>
      <w:pPr>
        <w:spacing w:after="0" w:line="20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The Company capitalizes certain costs incurred related to the development of our software applications for internal use during the application development state. If a project constitutes an enhancement to existing software, the Company assesses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9360"/>
          </w:cols>
          <w:pgMar w:left="1440" w:top="1378" w:right="1440" w:bottom="0" w:gutter="0" w:footer="0" w:header="0"/>
          <w:type w:val="continuous"/>
        </w:sectPr>
      </w:pPr>
    </w:p>
    <w:bookmarkStart w:id="109" w:name="page110"/>
    <w:bookmarkEnd w:id="109"/>
    <w:p>
      <w:pPr>
        <w:spacing w:after="0" w:line="178"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Capitalized software costs are amortized using the straight-line method over an estimated useful life of three years. Capitalized software is reviewed for impairment whenever events or changes in circumstances may indicate that the carrying amount of an asset may not be recoverable. In the fourth quarter of 2022, the Company identified indicators of impairment that the carrying value of the capitalized software may not be recoverable. As a result, certain costs previously capitalized were written down with $8.7 million recorded within cost of services, research and development and general and administrative expenses in the Company’s consolidated statements of operations and comprehensive loss.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Cloud Computing</w:t>
      </w:r>
    </w:p>
    <w:p>
      <w:pPr>
        <w:spacing w:after="0" w:line="21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The Company capitalizes certain costs incurred during the application development stage and all costs incurred during the preliminary project and post-implementation stages are expensed as incurred. Amortization begins when the cloud computing arrangement is ready for its intended use and is calculated on a straight-line basis over the fixed noncancellable periods plus renewal periods the Company deems it reasonably certain to exercise. During the year ended December 31, 2022, $0.3 million of implementation costs are capitalized and recorded in other current and non-current assets for amortization.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9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Financial assets and liabilities are recorded at fair value. Fair value is defined as the price that would be received to sell an asset or paid to transfer a liability in an orderly transaction between market participants at the measurement date.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spacing w:after="0" w:line="144" w:lineRule="exact"/>
        <w:rPr>
          <w:sz w:val="20"/>
          <w:szCs w:val="20"/>
          <w:color w:val="auto"/>
        </w:rPr>
      </w:pPr>
    </w:p>
    <w:p>
      <w:pPr>
        <w:jc w:val="both"/>
        <w:ind w:left="36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Level 1</w:t>
      </w:r>
      <w:r>
        <w:rPr>
          <w:rFonts w:ascii="Times New Roman" w:cs="Times New Roman" w:eastAsia="Times New Roman" w:hAnsi="Times New Roman"/>
          <w:sz w:val="20"/>
          <w:szCs w:val="20"/>
          <w:color w:val="auto"/>
        </w:rPr>
        <w:t>: Observable inputs such as quoted prices (unadjusted) in active markets that are accessible at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measurement date for identical assets or liabilities.</w:t>
      </w:r>
    </w:p>
    <w:p>
      <w:pPr>
        <w:spacing w:after="0" w:line="114" w:lineRule="exact"/>
        <w:rPr>
          <w:sz w:val="20"/>
          <w:szCs w:val="20"/>
          <w:color w:val="auto"/>
        </w:rPr>
      </w:pPr>
    </w:p>
    <w:p>
      <w:pPr>
        <w:jc w:val="both"/>
        <w:ind w:left="36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Level 2</w:t>
      </w:r>
      <w:r>
        <w:rPr>
          <w:rFonts w:ascii="Times New Roman" w:cs="Times New Roman" w:eastAsia="Times New Roman" w:hAnsi="Times New Roman"/>
          <w:sz w:val="20"/>
          <w:szCs w:val="20"/>
          <w:color w:val="auto"/>
        </w:rPr>
        <w:t>: Observable inputs such as quoted prices for similar instruments in active markets, quoted prices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identical or similar instruments in markets that are not active or model-derived valuations whose significant inputs are observable.</w:t>
      </w:r>
    </w:p>
    <w:p>
      <w:pPr>
        <w:spacing w:after="0" w:line="130" w:lineRule="exact"/>
        <w:rPr>
          <w:sz w:val="20"/>
          <w:szCs w:val="20"/>
          <w:color w:val="auto"/>
        </w:rPr>
      </w:pPr>
    </w:p>
    <w:p>
      <w:pPr>
        <w:jc w:val="both"/>
        <w:ind w:left="36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Level 3</w:t>
      </w:r>
      <w:r>
        <w:rPr>
          <w:rFonts w:ascii="Times New Roman" w:cs="Times New Roman" w:eastAsia="Times New Roman" w:hAnsi="Times New Roman"/>
          <w:sz w:val="20"/>
          <w:szCs w:val="20"/>
          <w:color w:val="auto"/>
        </w:rPr>
        <w:t>: Unobservable inputs that are significant to the measurement of fair value but are supported by little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 market data.</w:t>
      </w:r>
    </w:p>
    <w:p>
      <w:pPr>
        <w:spacing w:after="0" w:line="11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Company’s financial assets and liabilities consist of cash and cash equivalents, restricted cash, accounts receivable, accounts payable, accrued liabilities, and long-term debt. The Company’s cash and cash equivalents, restricted cash, accounts receivable, accounts payable and accrued liabilities approximate their fair value due to the relatively short-term nature of these accounts.</w:t>
      </w:r>
    </w:p>
    <w:p>
      <w:pPr>
        <w:spacing w:after="0" w:line="143" w:lineRule="exact"/>
        <w:rPr>
          <w:sz w:val="20"/>
          <w:szCs w:val="20"/>
          <w:color w:val="auto"/>
        </w:rPr>
      </w:pPr>
    </w:p>
    <w:p>
      <w:pPr>
        <w:jc w:val="both"/>
        <w:ind w:firstLine="370"/>
        <w:spacing w:after="0" w:line="260" w:lineRule="auto"/>
        <w:rPr>
          <w:sz w:val="20"/>
          <w:szCs w:val="20"/>
          <w:color w:val="auto"/>
        </w:rPr>
      </w:pPr>
      <w:r>
        <w:rPr>
          <w:rFonts w:ascii="Times New Roman" w:cs="Times New Roman" w:eastAsia="Times New Roman" w:hAnsi="Times New Roman"/>
          <w:sz w:val="20"/>
          <w:szCs w:val="20"/>
          <w:color w:val="auto"/>
        </w:rPr>
        <w:t>The Company’s loan from the Connecticut Department of Economic and Community Development is classified within level 2 of the fair value hierarchy. As of December 31, 2022, this loan is recorded at its carrying value of $11.0 million in the consolidated balance sheet. The fair value is $4.9 million, which is estimated based on discounted cash flows using the yields of similar debt instruments of other companies with similar credit profiles.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 Liability</w:t>
      </w:r>
    </w:p>
    <w:p>
      <w:pPr>
        <w:spacing w:after="0" w:line="21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As of the consummation of the Merger in July 2021, there were 21,995,000 warrants to purchase shares of Class A common stock outstanding, including 14,758,333 public warrants and 7,236,667 private placement warrants. As of December 31, 2022 and 2021, there were 21,994,972 warrants to purchase shares of Class A common stock outstanding, including 14,758,305 public warrants and 7,236,667 private placement warrants outstanding. Each warrant expires five years after the Business Combination or earlier upon redemption or liquidation, and entitles the holder to purchase one share of Class A common stock at an exercise price of $11.50 per share, subject to adjustment, at any time commencing on September 4, 2021.</w:t>
      </w:r>
    </w:p>
    <w:p>
      <w:pPr>
        <w:sectPr>
          <w:pgSz w:w="12240" w:h="15840" w:orient="portrait"/>
          <w:cols w:equalWidth="0" w:num="1">
            <w:col w:w="936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9360"/>
          </w:cols>
          <w:pgMar w:left="1440" w:top="1440" w:right="1440" w:bottom="0" w:gutter="0" w:footer="0" w:header="0"/>
          <w:type w:val="continuous"/>
        </w:sectPr>
      </w:pPr>
    </w:p>
    <w:bookmarkStart w:id="110" w:name="page111"/>
    <w:bookmarkEnd w:id="110"/>
    <w:p>
      <w:pPr>
        <w:ind w:firstLine="360"/>
        <w:spacing w:after="0" w:line="281" w:lineRule="auto"/>
        <w:rPr>
          <w:sz w:val="20"/>
          <w:szCs w:val="20"/>
          <w:color w:val="auto"/>
        </w:rPr>
      </w:pPr>
      <w:r>
        <w:rPr>
          <w:rFonts w:ascii="Times New Roman" w:cs="Times New Roman" w:eastAsia="Times New Roman" w:hAnsi="Times New Roman"/>
          <w:sz w:val="20"/>
          <w:szCs w:val="20"/>
          <w:color w:val="auto"/>
        </w:rPr>
        <w:t>The Company may redeem the outstanding public warrants if the price per share of the Class A common stock equals or exceeds $18.00 as described below:</w:t>
      </w:r>
    </w:p>
    <w:p>
      <w:pPr>
        <w:spacing w:after="0" w:line="141" w:lineRule="exact"/>
        <w:rPr>
          <w:sz w:val="20"/>
          <w:szCs w:val="20"/>
          <w:color w:val="auto"/>
        </w:rPr>
      </w:pPr>
    </w:p>
    <w:p>
      <w:pPr>
        <w:ind w:left="720" w:hanging="360"/>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whole and not in part;</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 price of $0.01 per public warrant;</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not less than 30 days’ prior written notice of redemption to each warrant holder; and</w:t>
      </w:r>
    </w:p>
    <w:p>
      <w:pPr>
        <w:spacing w:after="0" w:line="210"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only if, the closing price of the Class A common stock equals or exceeds $18.00 per share (as adjusted) for any 20 trading days within a 30-trading day period ending three trading days before sending the notice of redemption to warrant holders.</w:t>
      </w:r>
    </w:p>
    <w:p>
      <w:pPr>
        <w:spacing w:after="0" w:line="155"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auto"/>
        </w:rPr>
        <w:t>The Company may redeem the outstanding public warrants if the price per share of the common stock equals or exceeds $10.00 as described below:</w:t>
      </w:r>
    </w:p>
    <w:p>
      <w:pPr>
        <w:spacing w:after="0" w:line="181" w:lineRule="exact"/>
        <w:rPr>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whole and not in part;</w:t>
      </w:r>
    </w:p>
    <w:p>
      <w:pPr>
        <w:spacing w:after="0" w:line="190"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spacing w:after="0" w:line="135"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135"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closing price of the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6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$10.00)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1"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w:t>
      </w:r>
    </w:p>
    <w:p>
      <w:pPr>
        <w:spacing w:after="0" w:line="3" w:lineRule="exact"/>
        <w:rPr>
          <w:sz w:val="20"/>
          <w:szCs w:val="20"/>
          <w:color w:val="auto"/>
        </w:rPr>
      </w:pPr>
    </w:p>
    <w:p>
      <w:pPr>
        <w:spacing w:after="0" w:line="260" w:lineRule="auto"/>
        <w:tabs>
          <w:tab w:leader="none" w:pos="4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assessment is conducted at the time of warrant issuance and as of each subsequent quarterly period end date while the warrants are outstanding.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Contingent Consideration (Legacy GeneDx)</w:t>
      </w:r>
    </w:p>
    <w:p>
      <w:pPr>
        <w:spacing w:after="0" w:line="219"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auto"/>
        </w:rPr>
        <w:t>In connection with the Acquisition of Legacy GeneDx, up to $150 million of contingent payments will be payable to OPKO in cash and/or shares of Company’s Class A common stock with such mix to be determined in the</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9360"/>
          </w:cols>
          <w:pgMar w:left="1440" w:top="1378" w:right="1440" w:bottom="0" w:gutter="0" w:footer="0" w:header="0"/>
          <w:type w:val="continuous"/>
        </w:sectPr>
      </w:pPr>
    </w:p>
    <w:bookmarkStart w:id="111" w:name="page112"/>
    <w:bookmarkEnd w:id="111"/>
    <w:p>
      <w:pPr>
        <w:jc w:val="both"/>
        <w:spacing w:after="0" w:line="260" w:lineRule="auto"/>
        <w:rPr>
          <w:sz w:val="20"/>
          <w:szCs w:val="20"/>
          <w:color w:val="auto"/>
        </w:rPr>
      </w:pPr>
      <w:r>
        <w:rPr>
          <w:rFonts w:ascii="Times New Roman" w:cs="Times New Roman" w:eastAsia="Times New Roman" w:hAnsi="Times New Roman"/>
          <w:sz w:val="20"/>
          <w:szCs w:val="20"/>
          <w:color w:val="auto"/>
        </w:rPr>
        <w:t>Company’s sole discretion, based upon achievement of 2022 and 2023 revenue milestones, pursuant to the Acquisition Merger Agreement (the “Milestone Payments”). If the Company elects to pay in shares of Class A common stock, the Acquisition Merger Agreement provides that the shares issues are to be valued at a fixed $4.86 per share for a maximum of 30.9 million shares.</w:t>
      </w:r>
    </w:p>
    <w:p>
      <w:pPr>
        <w:spacing w:after="0" w:line="163"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Subject to the terms and conditions of the Acquisition Merger Agreement, (a) the first Milestone Payment of $112.5 million will become due and payable if the revenue of the Legacy GeneDx group for the fiscal year 2022 equals or exceeds $163 million and (b) the second Milestone Payment of $37.5 million will become due and payable if the revenue of the Legacy GeneDx group for the fiscal year 2023 equals or exceeds $219 million (each of clauses</w:t>
      </w:r>
    </w:p>
    <w:p>
      <w:pPr>
        <w:spacing w:after="0" w:line="3" w:lineRule="exact"/>
        <w:rPr>
          <w:sz w:val="20"/>
          <w:szCs w:val="20"/>
          <w:color w:val="auto"/>
        </w:rPr>
      </w:pPr>
    </w:p>
    <w:p>
      <w:pPr>
        <w:jc w:val="both"/>
        <w:spacing w:after="0" w:line="251" w:lineRule="auto"/>
        <w:tabs>
          <w:tab w:leader="none" w:pos="28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(b), a “Milestone Event”); provided that 80% of the Milestone Payment for the first milestone period or the second milestone period, as applicable, will become payable in respect of such period if the Legacy GeneDx group achieves 90% of the applicable Milestone Event revenue target for such period, which amount will scale on a linear basis up to 100% of the applicable Milestone Payment at 100% of the applicable revenue target. The milestone payments would require issuance of shares of Company’s Class A common stock up to 23.2 million shares and 7.7 million shares for the first Milestone Payment and second Milestone Payment, respectively. The fair value of the Milestone Payment is classified within level 3 of the fair value hierarchy. As of December 31, 2022, the fair value of the second Milestone Payment was determined to be $1.6 million, which is estimated using a Monte Carlo simulation valuation model and assuming the Company will pay the earn-out in shares. The total liability as of December 31, 2022, is $7.6 million, $6.0 million of which represents the fair value of the first Milestone Payment which was already earned and is expected to be paid via issuance of shares of Company’s Class A common stock based on the results of 2022.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Earn-out contingent liability</w:t>
      </w:r>
    </w:p>
    <w:p>
      <w:pPr>
        <w:spacing w:after="0" w:line="21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In connection with the Merger, all Legacy Sema4 stockholders and option holders at that time became entitled to a pro rata share of 19,021,576 earn-out shares and earn-out Restricted Stock Units (“RSUs”). Based on an assessment of the earn-out shares for the Legacy Sema4 stockholders, the Company considered ASC 480 and ASC 815 and accounted for the earn-out shares as a liability. The Company subsequently measures the fair value of the liability at each reporting period and reports the changes in fair value recorded as a component of other income (expense), net in the consolidated statements of operations and comprehensive loss.</w:t>
      </w:r>
    </w:p>
    <w:p>
      <w:pPr>
        <w:spacing w:after="0" w:line="16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As for the earn-out RSUs for the Legacy Sema4 option holders, a total of 2.7 million RSUs were granted on December 9, 2021. The vesting of such arrangement is conditioned on the satisfaction of both a service requirement and on the satisfaction of a market-based requirement. The market-based requirement would be achieved if the Company’s stock price is greater than or equal to $13 (Triggering Event I), $15 (Triggering Event II) and $18 (Triggering Event III) during the applicable performance period, based on the volume-weighted average price for a period of at least 20 days out of 30 consecutive trading days. Therefore, the Company accounts for this arrangement in accordance with ASC 718- Compensation — Stock Compensation (“ASC 718”) and stock-compensation expense is recognized over the longer of the expected achievement period for the market-based requirement and the service requirement. The Company recorded $0.9 million and $0.2 million in relation to the earn-out RSU for the years ended December 31, 2022 and 2021, respectively. In the event that any earn-out RSUs that are forfeited as a result of a failure to achieve the service requirement, the underlying shares will be reallocated on an annual basis to the Legacy Sema4 stockholders and to the Legacy Sema4 option holders who remain employed as of the date of such reallocation. The Company accounts for the re-allocations to Legacy Sema4 option holders as new grants.</w:t>
      </w:r>
    </w:p>
    <w:p>
      <w:pPr>
        <w:spacing w:after="0" w:line="168"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The fair value of the earn-out RSUs are classified within level 3 of the fair value hierarchy and the estimated fair value is determined using a Monte Carlo valuation analysis.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9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Company measures stock-based compensation at the grant date based on the fair value of the award and recognizes stock-based compensation expense over the requisite service period for each separate vesting portion of the award on a straight-line basis. Determining the fair value of stock option awards requires judgment, including estimating stock price volatility and expected option life. Restricted stock awards are valued based on the fair value</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9360"/>
          </w:cols>
          <w:pgMar w:left="1440" w:top="1378" w:right="1440" w:bottom="0" w:gutter="0" w:footer="0" w:header="0"/>
          <w:type w:val="continuous"/>
        </w:sectPr>
      </w:pPr>
    </w:p>
    <w:bookmarkStart w:id="112" w:name="page113"/>
    <w:bookmarkEnd w:id="112"/>
    <w:p>
      <w:pPr>
        <w:spacing w:after="0" w:line="281" w:lineRule="auto"/>
        <w:rPr>
          <w:sz w:val="20"/>
          <w:szCs w:val="20"/>
          <w:color w:val="auto"/>
        </w:rPr>
      </w:pPr>
      <w:r>
        <w:rPr>
          <w:rFonts w:ascii="Times New Roman" w:cs="Times New Roman" w:eastAsia="Times New Roman" w:hAnsi="Times New Roman"/>
          <w:sz w:val="20"/>
          <w:szCs w:val="20"/>
          <w:color w:val="auto"/>
        </w:rPr>
        <w:t>of the stock on the grant date. The Company uses the Black-Scholes option-pricing model to estimate the fair value of its stock option awards.</w:t>
      </w:r>
    </w:p>
    <w:p>
      <w:pPr>
        <w:spacing w:after="0" w:line="121"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auto"/>
        </w:rPr>
        <w:t>The Company issues new shares upon share option exercise and vesting of a restricted share unit. Forfeitures of stock-based compensation are recognized as they occur.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99" w:lineRule="exact"/>
        <w:rPr>
          <w:sz w:val="20"/>
          <w:szCs w:val="20"/>
          <w:color w:val="auto"/>
        </w:rPr>
      </w:pPr>
    </w:p>
    <w:p>
      <w:pPr>
        <w:ind w:firstLine="360"/>
        <w:spacing w:after="0" w:line="239" w:lineRule="auto"/>
        <w:rPr>
          <w:sz w:val="20"/>
          <w:szCs w:val="20"/>
          <w:color w:val="auto"/>
        </w:rPr>
      </w:pPr>
      <w:r>
        <w:rPr>
          <w:rFonts w:ascii="Times New Roman" w:cs="Times New Roman" w:eastAsia="Times New Roman" w:hAnsi="Times New Roman"/>
          <w:sz w:val="20"/>
          <w:szCs w:val="20"/>
          <w:color w:val="auto"/>
        </w:rPr>
        <w:t>Income taxes are accounted for under the asset and liability method and deferred tax assets and liabilities are recognized for the future tax consequences attributable to differences between the financial statement carrying values of existing assets and liabilities and their respective tax bases. Deferred tax assets and liabilities are measured using enacted tax rates in effect for the year in which those temporary differences are expected to be recovered or settled.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w:t>
      </w:r>
    </w:p>
    <w:p>
      <w:pPr>
        <w:spacing w:after="0" w:line="18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Company recognizes tax benefits from uncertain tax positions only if it is more likely than not, based on technical merits, that the position will be sustained upon examination by the appropriate taxing authorities. The amount of tax benefit recognized for an uncertain tax position is the largest that is more than 50 percent likelihood to be realized upon ultimate settlement. The Company records interest and penalties related to tax uncertainties, where appropriate, in income tax expense.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9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Under ASU 2016-02, Leases (ASC 842), the Company determines if an arrangement is or contains a lease at inception. A lease qualifies as a finance lease if any of the following criteria are met at the inception of the lease: (i) there is a transfer of ownership of the leased asset to the Company by the end of the lease term, (ii) the Company holds an option to purchase the leased asset that the Company is reasonably certain to exercise, (iii) 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 All other leases are classified as operating leases.</w:t>
      </w:r>
    </w:p>
    <w:p>
      <w:pPr>
        <w:spacing w:after="0" w:line="153"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Right-of-use assets (ROU assets) represent the Company’s right to use an underlying asset for the lease term and lease liabilities represent the Company’s obligation to make lease payments arising from the lease. Operating and finance lease ROU assets and liabilities are recognized at the lease commencement date based on the present value of lease payments over the lease term. The Company does not recognize a ROU asset or lease liability for leases with a term of 12 months or less and does not include variable costs, which are based on actual usage, in the measurement of ROU assets and lease liabilities. The ROU assets include any lease payments made prior to the commencement date and initial direct costs incurred and excludes lease incentives received. ROU assets are subsequently assessed for impairment in accordance with the Company’s accounting policy for long-lived assets.</w:t>
      </w:r>
    </w:p>
    <w:p>
      <w:pPr>
        <w:spacing w:after="0" w:line="15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All lease liabilities are measured at the present value of the associated payments, discounted using the Company’s incremental borrowing rate determined based on the rate of interest that the Company would pay to borrow on a collateralized basis an amount equal to the lease payments for similar term and in a similar economic environment on a collateralized basis, unless there is a rate implicit in the lease that is readily determinable.</w:t>
      </w:r>
    </w:p>
    <w:p>
      <w:pPr>
        <w:spacing w:after="0" w:line="14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Company recognizes lease expense for operating leases on a straight-line basis over the lease term, which may include options to extend or terminate the lease when it is reasonably certain that the Company will exercise such options. Variable costs are expensed when the event determining the amount of variable consideration to be paid occurs. Interest expense for finance leases is recognized based on the accretion of the lease liability.</w:t>
      </w:r>
    </w:p>
    <w:p>
      <w:pPr>
        <w:spacing w:after="0" w:line="143"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20"/>
          <w:szCs w:val="20"/>
          <w:color w:val="auto"/>
        </w:rPr>
        <w:t xml:space="preserve">The Company has operating and finance lease arrangements with lease and non-lease components. The Company accounts for lease and non-lease components as a single lease component for all leases. In the fourth quarter of 2022, the Company identified indicators of impairment that indicate that it is more likely than not that the fair value of a reporting unit is less than its carrying value, see Note 9,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9360"/>
          </w:cols>
          <w:pgMar w:left="1440" w:top="1378" w:right="1440" w:bottom="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95"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 xml:space="preserve">The Company adopted Accounting Standards Codification (“ASC”) Topic 606 (“ASC 606”), </w:t>
      </w:r>
      <w:r>
        <w:rPr>
          <w:rFonts w:ascii="Times New Roman" w:cs="Times New Roman" w:eastAsia="Times New Roman" w:hAnsi="Times New Roman"/>
          <w:sz w:val="20"/>
          <w:szCs w:val="20"/>
          <w:b w:val="1"/>
          <w:bCs w:val="1"/>
          <w:i w:val="1"/>
          <w:iCs w:val="1"/>
          <w:color w:val="auto"/>
        </w:rPr>
        <w:t>Revenue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Contracts with Customers</w:t>
      </w:r>
      <w:r>
        <w:rPr>
          <w:rFonts w:ascii="Times New Roman" w:cs="Times New Roman" w:eastAsia="Times New Roman" w:hAnsi="Times New Roman"/>
          <w:sz w:val="20"/>
          <w:szCs w:val="20"/>
          <w:color w:val="auto"/>
        </w:rPr>
        <w:t>, on January 1, 2019 using the modified retrospective method applied to contracts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were not completed as of the adoption date. The Company recognizes revenue when control of the promised goods or services is transferred to the customer in an amount that reflects the consideration which the Company expects to be entitled to in exchange for those goods or services. If any changes in customer credit issues are identified which were not assessed at the date of service, provisions for doubtful accounts are recognized and recorded.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Diagnostic test revenue</w:t>
      </w:r>
    </w:p>
    <w:p>
      <w:pPr>
        <w:spacing w:after="0" w:line="19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Company’s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generally transferred at a point in time when the customer obtains control of the promised service which is upon delivery of the test.</w:t>
      </w:r>
    </w:p>
    <w:p>
      <w:pPr>
        <w:spacing w:after="0" w:line="14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Diagnostic test revenues consist primarily of services reimbursed by third-party insurance payors. Third-party insurance payors include managed care health plans and commercial insurance companies, including plans offered through the health insurance exchanges, and employers. In arrangements with third-party insurance payors, the transaction price is stated within the contract, however, the Company accepts payments from third-party payors that are less than the contractually stated price and is therefore variable consideration and the transaction price is estimated.</w:t>
      </w:r>
    </w:p>
    <w:p>
      <w:pPr>
        <w:spacing w:after="0" w:line="14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spacing w:after="0" w:line="144"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w:t>
      </w:r>
    </w:p>
    <w:p>
      <w:pPr>
        <w:spacing w:after="0" w:line="148"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For institutional clients, the customer is the institution. The Company determines the transaction price associated with services rendered in accordance with the contractual rates established with each customer.</w:t>
      </w:r>
    </w:p>
    <w:p>
      <w:pPr>
        <w:spacing w:after="0" w:line="12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Payment terms and conditions vary by contract and customer, however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revenue</w:t>
      </w:r>
    </w:p>
    <w:p>
      <w:pPr>
        <w:spacing w:after="0" w:line="194"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The Company enters into both short-term and long-term project-based collaboration and service agreements with customers. Certain of these contracts include a license to directly access the Company’s intellectual property or participation by the Company on joint steering committees with the customer, which was considered to be immaterial in the context of the contract. The Company concludes that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our customers by transferring each good or service independently.</w:t>
      </w:r>
    </w:p>
    <w:p>
      <w:pPr>
        <w:sectPr>
          <w:pgSz w:w="12240" w:h="15840" w:orient="portrait"/>
          <w:cols w:equalWidth="0" w:num="1">
            <w:col w:w="9360"/>
          </w:cols>
          <w:pgMar w:left="1440" w:top="1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9360"/>
          </w:cols>
          <w:pgMar w:left="1440" w:top="1369" w:right="1440" w:bottom="0" w:gutter="0" w:footer="0" w:header="0"/>
          <w:type w:val="continuous"/>
        </w:sectPr>
      </w:pPr>
    </w:p>
    <w:bookmarkStart w:id="114" w:name="page115"/>
    <w:bookmarkEnd w:id="114"/>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Certain of these contracts include non-refundable upfront payments and variable payments based upon the achievement of certain milestones or fixed monthly payments during the contract term. Non-refundable upfront payments received prior to the Company performing performance obligation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 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p>
    <w:p>
      <w:pPr>
        <w:spacing w:after="0" w:line="14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 satisfies its performance obligation generally over time if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consolidated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21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Historically, the Company operated in one segment. During 2022, with the Acquisition of Legacy GeneDx, the change in Chief Operating Decision Maker (“CODM”) and the announced exit from the majority of the Legacy Sema4 diagnostics operations, the Company’s CODM began to evaluate the Company’s business separately for GeneDx, inclusive of Legacy GeneDx and Legacy Sema4 data revenues and associated costs and corporate support costs, and the existing Legacy Sema4 diagnostics business during the fourth quarter of 2022. As a result, the Company has concluded that two reportable segments exist and have been presented for 2022. The majority of the Company’s operations for 2021 and 2022 are included in the Legacy Sema4 segment and the majority of the GeneDx segment for 2022 was resultant from the 2022 Acquisition, and thus did not exist within the Company’s consolidated results for 2021 and 2020. As a result, the Company has not presented segments for 2021 and 2020. See Note 17, “</w:t>
      </w:r>
      <w:r>
        <w:rPr>
          <w:rFonts w:ascii="Times New Roman" w:cs="Times New Roman" w:eastAsia="Times New Roman" w:hAnsi="Times New Roman"/>
          <w:sz w:val="20"/>
          <w:szCs w:val="20"/>
          <w:b w:val="1"/>
          <w:bCs w:val="1"/>
          <w:i w:val="1"/>
          <w:iCs w:val="1"/>
          <w:color w:val="auto"/>
        </w:rPr>
        <w:t>Segment Reporting</w:t>
      </w:r>
      <w:r>
        <w:rPr>
          <w:rFonts w:ascii="Times New Roman" w:cs="Times New Roman" w:eastAsia="Times New Roman" w:hAnsi="Times New Roman"/>
          <w:sz w:val="20"/>
          <w:szCs w:val="20"/>
          <w:color w:val="auto"/>
        </w:rPr>
        <w:t>”, for 2022 segment disclosures.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Emerging Growth Company</w:t>
      </w:r>
    </w:p>
    <w:p>
      <w:pPr>
        <w:spacing w:after="0" w:line="21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1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Company adopted ASU No. 2016-02, Leases (ASC 842) on January 1, 2022 using the modified retrospective method. The Company also elected to use the package of practical expedients permitted under the transition guidance which allows for the carry forward of historical lease classification for existing leases on the adoption date and does not require the assessment of existing lease contracts to determine whether the contracts contain a lease or initial direct costs. Prior periods were not retrospectively adjusted.</w:t>
      </w:r>
    </w:p>
    <w:p>
      <w:pPr>
        <w:spacing w:after="0" w:line="16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adoption of this standard as of January 1, 2022, resulted in the recognition of operating lease ROU assets in the amount of $39.2 million and operating lease liabilities in the amount of $42.2 million. The adoption did not have material impact on finance leases. The adoption did not have material impact on the consolidated statements of operations and comprehensive loss or cash flows.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9360"/>
          </w:cols>
          <w:pgMar w:left="1440" w:top="1378" w:right="1440" w:bottom="0" w:gutter="0" w:footer="0" w:header="0"/>
          <w:type w:val="continuous"/>
        </w:sectPr>
      </w:pPr>
    </w:p>
    <w:bookmarkStart w:id="115" w:name="page116"/>
    <w:bookmarkEnd w:id="115"/>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Company adopted ASU 2021-10 effective January 1, 2022. The Company did not receive any such grants during the year ended December 31, 2022.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 Not Yet Adopted</w:t>
      </w:r>
    </w:p>
    <w:p>
      <w:pPr>
        <w:spacing w:after="0" w:line="21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June 2016, the FASB issued ASU 2016-13, Financial Instruments – Credit Losses (Topic 326): Measurement of Credit Losses on Financial Instruments (“ASU 2016-13”). The new credit losses standard changes the impairment model for most financial assets and certain other instruments. For 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guidance was adopted by the Company as of January 1, 2023. The Company is currently evaluating the impact of the new guidance on its consolidated financial statements and related disclosures.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Business Combination</w:t>
      </w:r>
    </w:p>
    <w:p>
      <w:pPr>
        <w:spacing w:after="0" w:line="217"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As discussed in Note 1, on July 22, 2021, the Company consummated the Business Combination and received net cash proceeds of $510.0 million.</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Pursuant to the Business Combination, the following occurred:</w:t>
      </w:r>
    </w:p>
    <w:p>
      <w:pPr>
        <w:spacing w:after="0" w:line="210" w:lineRule="exact"/>
        <w:rPr>
          <w:sz w:val="20"/>
          <w:szCs w:val="20"/>
          <w:color w:val="auto"/>
        </w:rPr>
      </w:pPr>
    </w:p>
    <w:p>
      <w:pPr>
        <w:jc w:val="both"/>
        <w:ind w:left="720" w:hanging="360"/>
        <w:spacing w:after="0" w:line="260"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Holders of 10,188 shares of CMLS’s Class A common stock sold in its initial public offering (the “public shares”) exercised their right to have such shares redeemed for a full pro rata portion of the trust account holding the proceeds from CMLS’s initial public offering (the “IPO”), which was approximately $10.00 per share, or $101,880 in aggregate.</w:t>
      </w:r>
    </w:p>
    <w:p>
      <w:pPr>
        <w:spacing w:after="0" w:line="163"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share of CMLS’s Class B common stock was automatically converted into common stock of the Company.</w:t>
      </w:r>
    </w:p>
    <w:p>
      <w:pPr>
        <w:spacing w:after="0" w:line="121" w:lineRule="exact"/>
        <w:rPr>
          <w:rFonts w:ascii="Times New Roman" w:cs="Times New Roman" w:eastAsia="Times New Roman" w:hAnsi="Times New Roman"/>
          <w:sz w:val="20"/>
          <w:szCs w:val="20"/>
          <w:color w:val="auto"/>
        </w:rPr>
      </w:pPr>
    </w:p>
    <w:p>
      <w:pPr>
        <w:jc w:val="both"/>
        <w:ind w:left="720" w:hanging="360"/>
        <w:spacing w:after="0" w:line="258"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share of the Legacy Sema4 Class B common stock was converted into 1/100th of a share of Legacy Sema4 Class A common stock and each share of Legacy Sema4 common stock and preferred stock was canceled and received a portion of the merger consideration, resulting in certain Legacy Sema4 stockholders receiving $230,665,220 of cash and the Legacy Sema4 stockholders receiving an aggregate of 178,336,298 shares of common stock of the Company.</w:t>
      </w:r>
    </w:p>
    <w:p>
      <w:pPr>
        <w:spacing w:after="0" w:line="143"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subscription agreements entered into on February 9, 2021, certain investors agreed to subscribe for an aggregate of 35,000,000 newly-issued shares of common stock at a purchase price of $10.00 per share for an aggregate purchase price of $350,000,000 (the “PIPE Investment”). Concurrently with the closing of the Business Combination, the Company consummated the PIPE Investment.</w:t>
      </w:r>
    </w:p>
    <w:p>
      <w:pPr>
        <w:spacing w:after="0" w:line="143"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Merger, the redemption of public shares and the conversion of the CMLS Class B common stock as described above, and the consummation of the PIPE Investment, there were 240,190,402 shares of the Company’s common stock issued and outstanding.</w:t>
      </w:r>
    </w:p>
    <w:p>
      <w:pPr>
        <w:spacing w:after="0" w:line="155"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Company recorded $51.8 million of transaction costs which consist of direct, incremental legal, professional, accounting, and other third-party fees that were directly related to the execution of the Merger in additional paid-in capital. Upon consummation of the Merger, $9.0 million of the transaction costs relates to costs incurred by Legacy Sema4 and reclassed to offset against equity from prepaid expense and other current assets.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9360"/>
          </w:cols>
          <w:pgMar w:left="1440" w:top="1378" w:right="1440" w:bottom="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b w:val="1"/>
          <w:bCs w:val="1"/>
          <w:i w:val="1"/>
          <w:iCs w:val="1"/>
          <w:color w:val="auto"/>
        </w:rPr>
        <w:t>Legacy GeneDx Acquisition</w:t>
      </w:r>
    </w:p>
    <w:p>
      <w:pPr>
        <w:spacing w:after="0" w:line="21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As discussed in Note 1, on April 29, 2022, the Company completed the Acquisition of Legacy GeneDx. At the closing of the Acquisition, the Company paid OPKO cash consideration of $140.5 million (net of transaction expenses and other customary purchase price adjustments) and issued to OPKO 80 million shares of the Company’s Class A common stock ($172 million based on the closing date share price of $2.15 per share). A portion of this cash ($13.4 million) and share consideration (8.3 million shares) will be held in escrow for 12 months following the closing date of the Acquisition. In addition, up to $150 million is payable following the closing of the Acquisition, if certain revenue-based milestones are achieved for each of the fiscal years ending December 31, 2022 and December 31, 2023. These milestone payments, if and to the extent earned under the terms of the Acquisition Merger Agreement, will be satisfied through the payment and/or issuance of a combination of cash and shares of the Company’s Class A common stock (valued at a fixed $4.86 per share, subject to adjustment for stock splits and similar changes), with such mix to be determined in the Company’s sole discretion. As of the acquisition date, the fair value of the earn-out was determined to be $52.0 million and was included in the aggregate purchase price of $364.5 million. Concurrently with the closing of the Acquisition, the Company also issued and sold in private placement 50,000,000 shares of the Company’s Class A common stock to certain institutional investors for aggregate gross proceeds of $200 million (the “Acquisition PIPE Investment”).</w:t>
      </w:r>
    </w:p>
    <w:p>
      <w:pPr>
        <w:spacing w:after="0" w:line="178"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net purchase price and the fair values of the assets and liabilities of GeneDx on a preliminary basis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116205</wp:posOffset>
            </wp:positionV>
            <wp:extent cx="5969000" cy="34385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46">
                      <a:extLst>
                        <a:ext uri="{28A0092B-C50C-407E-A947-70E740481C1C}"/>
                      </a:extLst>
                    </a:blip>
                    <a:srcRect/>
                    <a:stretch>
                      <a:fillRect/>
                    </a:stretch>
                  </pic:blipFill>
                  <pic:spPr bwMode="auto">
                    <a:xfrm>
                      <a:off x="0" y="0"/>
                      <a:ext cx="5969000" cy="3438525"/>
                    </a:xfrm>
                    <a:prstGeom prst="rect">
                      <a:avLst/>
                    </a:prstGeom>
                    <a:noFill/>
                  </pic:spPr>
                </pic:pic>
              </a:graphicData>
            </a:graphic>
          </wp:anchor>
        </w:drawing>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6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receivables</w:t>
            </w: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21,651</w:t>
            </w:r>
          </w:p>
        </w:tc>
      </w:tr>
      <w:tr>
        <w:trPr>
          <w:trHeight w:val="31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Inventory</w:t>
            </w: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6,210</w:t>
            </w:r>
          </w:p>
        </w:tc>
      </w:tr>
      <w:tr>
        <w:trPr>
          <w:trHeight w:val="31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Prepaid expenses</w:t>
            </w: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4,671</w:t>
            </w:r>
          </w:p>
        </w:tc>
      </w:tr>
      <w:tr>
        <w:trPr>
          <w:trHeight w:val="31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w:t>
            </w:r>
          </w:p>
        </w:tc>
      </w:tr>
      <w:tr>
        <w:trPr>
          <w:trHeight w:val="31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29,509</w:t>
            </w:r>
          </w:p>
        </w:tc>
      </w:tr>
      <w:tr>
        <w:trPr>
          <w:trHeight w:val="31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assets</w:t>
            </w: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6,464</w:t>
            </w:r>
          </w:p>
        </w:tc>
      </w:tr>
      <w:tr>
        <w:trPr>
          <w:trHeight w:val="31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Trade names and trademarks</w:t>
            </w: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w:t>
            </w:r>
          </w:p>
        </w:tc>
      </w:tr>
      <w:tr>
        <w:trPr>
          <w:trHeight w:val="31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Developed technology</w:t>
            </w: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48,000</w:t>
            </w:r>
          </w:p>
        </w:tc>
      </w:tr>
      <w:tr>
        <w:trPr>
          <w:trHeight w:val="31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98,000</w:t>
            </w:r>
          </w:p>
        </w:tc>
      </w:tr>
      <w:tr>
        <w:trPr>
          <w:trHeight w:val="31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(12,862)</w:t>
            </w:r>
          </w:p>
        </w:tc>
      </w:tr>
      <w:tr>
        <w:trPr>
          <w:trHeight w:val="31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liabilities</w:t>
            </w: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(15,781)</w:t>
            </w:r>
          </w:p>
        </w:tc>
      </w:tr>
      <w:tr>
        <w:trPr>
          <w:trHeight w:val="31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(51,779)</w:t>
            </w:r>
          </w:p>
        </w:tc>
      </w:tr>
      <w:tr>
        <w:trPr>
          <w:trHeight w:val="318"/>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Long-term lease liabilities</w:t>
            </w:r>
          </w:p>
        </w:tc>
        <w:tc>
          <w:tcPr>
            <w:tcW w:w="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(5,798)</w:t>
            </w:r>
          </w:p>
        </w:tc>
      </w:tr>
      <w:tr>
        <w:trPr>
          <w:trHeight w:val="292"/>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net assets acquired</w:t>
            </w: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178,605</w:t>
            </w:r>
          </w:p>
        </w:tc>
      </w:tr>
      <w:tr>
        <w:trPr>
          <w:trHeight w:val="318"/>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Goodwill (1)</w:t>
            </w:r>
          </w:p>
        </w:tc>
        <w:tc>
          <w:tcPr>
            <w:tcW w:w="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185,871</w:t>
            </w:r>
          </w:p>
        </w:tc>
      </w:tr>
      <w:tr>
        <w:trPr>
          <w:trHeight w:val="27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Aggregate purchase price</w:t>
            </w:r>
          </w:p>
        </w:tc>
        <w:tc>
          <w:tcPr>
            <w:tcW w:w="6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364,476</w:t>
            </w:r>
          </w:p>
        </w:tc>
      </w:tr>
      <w:tr>
        <w:trPr>
          <w:trHeight w:val="20"/>
        </w:trPr>
        <w:tc>
          <w:tcPr>
            <w:tcW w:w="7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firstLine="360"/>
        <w:spacing w:after="0" w:line="282" w:lineRule="auto"/>
        <w:tabs>
          <w:tab w:leader="none" w:pos="66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Goodwill represents the excess of the purchase price over the fair value of the net tangible and intangible assets acquired. see Note 18, </w:t>
      </w:r>
      <w:r>
        <w:rPr>
          <w:rFonts w:ascii="Times New Roman" w:cs="Times New Roman" w:eastAsia="Times New Roman" w:hAnsi="Times New Roman"/>
          <w:sz w:val="20"/>
          <w:szCs w:val="20"/>
          <w:b w:val="1"/>
          <w:bCs w:val="1"/>
          <w:i w:val="1"/>
          <w:iCs w:val="1"/>
          <w:color w:val="auto"/>
        </w:rPr>
        <w:t>“Goodwill and Intangible Assets”</w:t>
      </w:r>
      <w:r>
        <w:rPr>
          <w:rFonts w:ascii="Times New Roman" w:cs="Times New Roman" w:eastAsia="Times New Roman" w:hAnsi="Times New Roman"/>
          <w:sz w:val="20"/>
          <w:szCs w:val="20"/>
          <w:color w:val="auto"/>
        </w:rPr>
        <w:t xml:space="preserve"> for more detail.</w:t>
      </w:r>
    </w:p>
    <w:p>
      <w:pPr>
        <w:spacing w:after="0" w:line="14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 xml:space="preserve">The amounts above represent the preliminary fair value estimates and the Company has identified certain adjustments during the measurement period that are primarily related to the Legacy GeneDx accrued expenses that do not represent GeneDx’s assumed liabilities. These measurement period adjustments are reflected in the goodwill balance and shown in Note 18, </w:t>
      </w:r>
      <w:r>
        <w:rPr>
          <w:rFonts w:ascii="Times New Roman" w:cs="Times New Roman" w:eastAsia="Times New Roman" w:hAnsi="Times New Roman"/>
          <w:sz w:val="20"/>
          <w:szCs w:val="20"/>
          <w:b w:val="1"/>
          <w:bCs w:val="1"/>
          <w:i w:val="1"/>
          <w:iCs w:val="1"/>
          <w:color w:val="auto"/>
        </w:rPr>
        <w:t>“Goodwill and Intangible Assets.”</w:t>
      </w:r>
      <w:r>
        <w:rPr>
          <w:rFonts w:ascii="Times New Roman" w:cs="Times New Roman" w:eastAsia="Times New Roman" w:hAnsi="Times New Roman"/>
          <w:sz w:val="20"/>
          <w:szCs w:val="20"/>
          <w:color w:val="auto"/>
        </w:rPr>
        <w:t xml:space="preserve"> Further adjustments may be made as the Company obtains additional information during the remaining measurement period and finalizes its fair value</w:t>
      </w:r>
    </w:p>
    <w:p>
      <w:pPr>
        <w:sectPr>
          <w:pgSz w:w="12240" w:h="15840" w:orient="portrait"/>
          <w:cols w:equalWidth="0" w:num="1">
            <w:col w:w="9360"/>
          </w:cols>
          <w:pgMar w:left="1440" w:top="1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9360"/>
          </w:cols>
          <w:pgMar w:left="1440" w:top="1369" w:right="1440" w:bottom="0" w:gutter="0" w:footer="0" w:header="0"/>
          <w:type w:val="continuous"/>
        </w:sectPr>
      </w:pPr>
    </w:p>
    <w:bookmarkStart w:id="117" w:name="page118"/>
    <w:bookmarkEnd w:id="117"/>
    <w:p>
      <w:pPr>
        <w:jc w:val="both"/>
        <w:spacing w:after="0" w:line="281" w:lineRule="auto"/>
        <w:rPr>
          <w:sz w:val="20"/>
          <w:szCs w:val="20"/>
          <w:color w:val="auto"/>
        </w:rPr>
      </w:pPr>
      <w:r>
        <w:rPr>
          <w:rFonts w:ascii="Times New Roman" w:cs="Times New Roman" w:eastAsia="Times New Roman" w:hAnsi="Times New Roman"/>
          <w:sz w:val="20"/>
          <w:szCs w:val="20"/>
          <w:color w:val="auto"/>
        </w:rPr>
        <w:t>estimates. Specifically, the Company is still in the process of reviewing and finalizing the net working capital adjustment with OPKO. Upon final agreement, the Company may have further adjustments.</w:t>
      </w:r>
    </w:p>
    <w:p>
      <w:pPr>
        <w:spacing w:after="0" w:line="141"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Increases or decreases in the estimated fair values of the net assets acquired may impact the Company’s consolidated statements of operations and comprehensive loss in future periods. The Company expects that the values assigned to the assets acquired and liabilities assumed will be finalized during the one-year measurement period following the Acquisition closing date.</w:t>
      </w:r>
    </w:p>
    <w:p>
      <w:pPr>
        <w:spacing w:after="0" w:line="14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For the year ended December 31, 2022, $12.1 million of Legacy GeneDx Acquisition-related costs are reflected within general and administrative expenses in the Company’s consolidated statements of operations and comprehensive loss. These costs include third-party professional firms’ services related to due diligence, advisory and legal services. The Company’s consolidated results include $116.4 million of revenue and $(25.9) million of pretax loss for the year ended December 31, 2022 from Legacy GeneDx.</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 forma financial information</w:t>
      </w:r>
    </w:p>
    <w:p>
      <w:pPr>
        <w:spacing w:after="0" w:line="19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pro forma information below gives effect to the Acquisition as if it had been completed on January 1, 2021 (“the pro forma acquisition date”). The pro forma information is not necessarily indicative of the Company’s revenue results had the Acquisition been completed on the pro forma acquisition date, nor is it necessarily indicative of the Company’s future results. The pro forma revenue information reflects Legacy GeneDx’s historic revenue and does not include any additional revenue opportunities following the Acquisition. The purchase price allocations for the assets acquired and liabilities assumed are based on preliminary valuations and are subject to change as the Company obtains additional information during the acquisition measurement period. Increases or decreases in the estimated fair values of the net assets acquired may impact the Company’s consolidated statements of operations and comprehensive loss in future periods. The Company expects that the values assigned to the assets acquired and liabilities assumed will be finalized during the one-year measurement period following the Acquisition closing date. The pro forma revenues and net loss include the following adjustments based on the Company’s preliminary analysis and are subject to change as additional analysis is performed:</w:t>
      </w:r>
    </w:p>
    <w:p>
      <w:pPr>
        <w:spacing w:after="0" w:line="151" w:lineRule="exact"/>
        <w:rPr>
          <w:sz w:val="20"/>
          <w:szCs w:val="20"/>
          <w:color w:val="auto"/>
        </w:rPr>
      </w:pPr>
    </w:p>
    <w:p>
      <w:pPr>
        <w:ind w:left="720" w:hanging="36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revised amortization expense resulting from the acquired intangible assets,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historical intercompany revenue recognized by Legacy GeneDx with OPKO or other related parties,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 benefits resulting from the deferred tax liabilities acquired, and</w:t>
      </w:r>
    </w:p>
    <w:p>
      <w:pPr>
        <w:spacing w:after="0" w:line="190"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revised stock based compensation reflecting the inducement awards issued to the Legacy GeneDx employees.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17"/>
        </w:trPr>
        <w:tc>
          <w:tcPr>
            <w:tcW w:w="4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r>
      <w:tr>
        <w:trPr>
          <w:trHeight w:val="220"/>
        </w:trPr>
        <w:tc>
          <w:tcPr>
            <w:tcW w:w="4160" w:type="dxa"/>
            <w:vAlign w:val="bottom"/>
          </w:tcPr>
          <w:p>
            <w:pPr>
              <w:spacing w:after="0"/>
              <w:rPr>
                <w:sz w:val="19"/>
                <w:szCs w:val="19"/>
                <w:color w:val="auto"/>
              </w:rPr>
            </w:pPr>
          </w:p>
        </w:tc>
        <w:tc>
          <w:tcPr>
            <w:tcW w:w="1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2022 (in thousands)</w:t>
            </w:r>
          </w:p>
        </w:tc>
        <w:tc>
          <w:tcPr>
            <w:tcW w:w="60" w:type="dxa"/>
            <w:vAlign w:val="bottom"/>
          </w:tcPr>
          <w:p>
            <w:pPr>
              <w:spacing w:after="0"/>
              <w:rPr>
                <w:sz w:val="19"/>
                <w:szCs w:val="19"/>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2021 (in thousands)</w:t>
            </w:r>
          </w:p>
        </w:tc>
      </w:tr>
      <w:tr>
        <w:trPr>
          <w:trHeight w:val="292"/>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Pro forma revenues</w:t>
            </w:r>
          </w:p>
        </w:tc>
        <w:tc>
          <w:tcPr>
            <w:tcW w:w="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282,959</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326,720</w:t>
            </w:r>
          </w:p>
        </w:tc>
      </w:tr>
      <w:tr>
        <w:trPr>
          <w:trHeight w:val="480"/>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Pro forma net loss</w:t>
            </w:r>
          </w:p>
        </w:tc>
        <w:tc>
          <w:tcPr>
            <w:tcW w:w="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(613,199)</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-508635</wp:posOffset>
            </wp:positionV>
            <wp:extent cx="4578350" cy="5302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7">
                      <a:extLst>
                        <a:ext uri="{28A0092B-C50C-407E-A947-70E740481C1C}"/>
                      </a:extLst>
                    </a:blip>
                    <a:srcRect/>
                    <a:stretch>
                      <a:fillRect/>
                    </a:stretch>
                  </pic:blipFill>
                  <pic:spPr bwMode="auto">
                    <a:xfrm>
                      <a:off x="0" y="0"/>
                      <a:ext cx="4578350" cy="530225"/>
                    </a:xfrm>
                    <a:prstGeom prst="rect">
                      <a:avLst/>
                    </a:prstGeom>
                    <a:noFill/>
                  </pic:spPr>
                </pic:pic>
              </a:graphicData>
            </a:graphic>
          </wp:anchor>
        </w:drawing>
      </w:r>
    </w:p>
    <w:p>
      <w:pPr>
        <w:spacing w:after="0" w:line="211"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auto"/>
        </w:rPr>
        <w:t>For year ended December 31, 2022 and 2021 pro forma revenues combine the Company and Legacy GeneDx and included Legacy GeneDx revenue of $165.2 million and $118.3 million, respectively.</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9360"/>
          </w:cols>
          <w:pgMar w:left="1440" w:top="1378" w:right="1440" w:bottom="0" w:gutter="0" w:footer="0" w:header="0"/>
          <w:type w:val="continuous"/>
        </w:sectPr>
      </w:pPr>
    </w:p>
    <w:bookmarkStart w:id="118" w:name="page119"/>
    <w:bookmarkEnd w:id="118"/>
    <w:p>
      <w:pPr>
        <w:ind w:left="720" w:hanging="720"/>
        <w:spacing w:after="0"/>
        <w:tabs>
          <w:tab w:leader="none" w:pos="72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Recognition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Disaggregated revenue</w:t>
      </w:r>
    </w:p>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summarizes the Company’s disaggregated revenue (in thousands):</w:t>
      </w: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20"/>
        </w:trPr>
        <w:tc>
          <w:tcPr>
            <w:tcW w:w="5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2"/>
        </w:trPr>
        <w:tc>
          <w:tcPr>
            <w:tcW w:w="5260" w:type="dxa"/>
            <w:vAlign w:val="bottom"/>
          </w:tcPr>
          <w:p>
            <w:pPr>
              <w:jc w:val="right"/>
              <w:ind w:right="3240"/>
              <w:spacing w:after="0"/>
              <w:rPr>
                <w:sz w:val="20"/>
                <w:szCs w:val="20"/>
                <w:color w:val="auto"/>
              </w:rPr>
            </w:pPr>
            <w:r>
              <w:rPr>
                <w:rFonts w:ascii="Times New Roman" w:cs="Times New Roman" w:eastAsia="Times New Roman" w:hAnsi="Times New Roman"/>
                <w:sz w:val="20"/>
                <w:szCs w:val="20"/>
                <w:color w:val="auto"/>
                <w:w w:val="98"/>
              </w:rPr>
              <w:t>Diagnostic test revenue:</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5"/>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Patients with third-party insurance </w:t>
            </w:r>
            <w:r>
              <w:rPr>
                <w:rFonts w:ascii="Times New Roman" w:cs="Times New Roman" w:eastAsia="Times New Roman" w:hAnsi="Times New Roman"/>
                <w:sz w:val="20"/>
                <w:szCs w:val="20"/>
                <w:color w:val="989898"/>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173,624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169,576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138,153</w:t>
            </w:r>
          </w:p>
        </w:tc>
      </w:tr>
      <w:tr>
        <w:trPr>
          <w:trHeight w:val="285"/>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Institutional customers</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46,124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31,717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35,200</w:t>
            </w:r>
          </w:p>
        </w:tc>
      </w:tr>
      <w:tr>
        <w:trPr>
          <w:trHeight w:val="288"/>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Self-pay patients </w:t>
            </w:r>
            <w:r>
              <w:rPr>
                <w:rFonts w:ascii="Times New Roman" w:cs="Times New Roman" w:eastAsia="Times New Roman" w:hAnsi="Times New Roman"/>
                <w:sz w:val="20"/>
                <w:szCs w:val="20"/>
                <w:color w:val="989898"/>
              </w:rPr>
              <w: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7,586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3,807</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1,998</w:t>
            </w:r>
          </w:p>
        </w:tc>
      </w:tr>
      <w:tr>
        <w:trPr>
          <w:trHeight w:val="262"/>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Total diagnostic test revenue </w:t>
            </w:r>
            <w:r>
              <w:rPr>
                <w:rFonts w:ascii="Times New Roman" w:cs="Times New Roman" w:eastAsia="Times New Roman" w:hAnsi="Times New Roman"/>
                <w:sz w:val="20"/>
                <w:szCs w:val="20"/>
                <w:color w:val="989898"/>
                <w:w w:val="98"/>
              </w:rPr>
              <w:t>..........................................................</w:t>
            </w:r>
          </w:p>
        </w:tc>
        <w:tc>
          <w:tcPr>
            <w:tcW w:w="320" w:type="dxa"/>
            <w:vAlign w:val="bottom"/>
          </w:tcPr>
          <w:p>
            <w:pPr>
              <w:spacing w:after="0"/>
              <w:rPr>
                <w:sz w:val="22"/>
                <w:szCs w:val="22"/>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227,334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205,100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175,351</w:t>
            </w:r>
          </w:p>
        </w:tc>
      </w:tr>
      <w:tr>
        <w:trPr>
          <w:trHeight w:val="288"/>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Other revenue </w:t>
            </w:r>
            <w:r>
              <w:rPr>
                <w:rFonts w:ascii="Times New Roman" w:cs="Times New Roman" w:eastAsia="Times New Roman" w:hAnsi="Times New Roman"/>
                <w:sz w:val="20"/>
                <w:szCs w:val="20"/>
                <w:color w:val="989898"/>
                <w:w w:val="98"/>
              </w:rPr>
              <w: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7,360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7,095</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3,971</w:t>
            </w:r>
          </w:p>
        </w:tc>
      </w:tr>
      <w:tr>
        <w:trPr>
          <w:trHeight w:val="245"/>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w:t>
            </w:r>
            <w:r>
              <w:rPr>
                <w:rFonts w:ascii="Times New Roman" w:cs="Times New Roman" w:eastAsia="Times New Roman" w:hAnsi="Times New Roman"/>
                <w:sz w:val="20"/>
                <w:szCs w:val="20"/>
                <w:color w:val="989898"/>
                <w:w w:val="99"/>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234,694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212,195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179,322</w:t>
            </w:r>
          </w:p>
        </w:tc>
      </w:tr>
      <w:tr>
        <w:trPr>
          <w:trHeight w:val="20"/>
        </w:trPr>
        <w:tc>
          <w:tcPr>
            <w:tcW w:w="5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-1297940</wp:posOffset>
            </wp:positionV>
            <wp:extent cx="5969000" cy="1304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8">
                      <a:extLst>
                        <a:ext uri="{28A0092B-C50C-407E-A947-70E740481C1C}"/>
                      </a:extLst>
                    </a:blip>
                    <a:srcRect/>
                    <a:stretch>
                      <a:fillRect/>
                    </a:stretch>
                  </pic:blipFill>
                  <pic:spPr bwMode="auto">
                    <a:xfrm>
                      <a:off x="0" y="0"/>
                      <a:ext cx="5969000" cy="130492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Reassessment of variable consideration</w:t>
      </w:r>
    </w:p>
    <w:p>
      <w:pPr>
        <w:spacing w:after="0" w:line="21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5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For the year ended December 31, 2022, a change in estimate included a decrease in revenue related to a payor, as further disclosed in the “—Certain payor matters” below, for tests in which the performance obligation of delivering the test results was met in prior periods. The decrease was further offset by other upward adjustments made for tests in which the performance obligation of delivering the test results was met in prior periods related to other payors.</w:t>
      </w:r>
    </w:p>
    <w:p>
      <w:pPr>
        <w:spacing w:after="0" w:line="16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During 2022, the Company recorded $54.0 million to decrease revenue resulting from changes in the estimated transaction price due to contractual adjustments, obtaining updated information from payors and patients that was unknown at the time the performance obligation was met and potential and actual settlements with third party payors. As described in more detail below, third-party payors may decide to deny payment or seek to recoup payments for tests performed by the Company for a number of reasons and, as a result, the Company may be required to refund payments previously received, and the Company’s revenues may be subject to retroactive adjustment as a result. The Company processes requests for recoupment from third-party payors in the ordinary course of its business and reflects in the Company’s transaction price estimations. See “—Certain payor matters” below for further details regarding an ongoing matter related to certain overpayments the Company allegedly received from a third-party payor; the Company has established certain liabilities and reversed certain of its previously recorded revenue as a result of this matter and other potential settlements with payors.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Certain payor matters</w:t>
      </w:r>
    </w:p>
    <w:p>
      <w:pPr>
        <w:spacing w:after="0" w:line="21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20"/>
          <w:szCs w:val="20"/>
          <w:color w:val="auto"/>
        </w:rPr>
        <w:t>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 otherwise overpaid, including as a result of their own error. 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do so in the future. If a third-party payor denies payment for testing or recoups money from the Company in a later period, reimbursement and the associated recognition of revenue for the Company’s testing services could decline.</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9360"/>
          </w:cols>
          <w:pgMar w:left="1440" w:top="1371" w:right="1440" w:bottom="0" w:gutter="0" w:footer="0" w:header="0"/>
          <w:type w:val="continuous"/>
        </w:sectPr>
      </w:pPr>
    </w:p>
    <w:bookmarkStart w:id="119" w:name="page120"/>
    <w:bookmarkEnd w:id="119"/>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As an integral part of the Company’s billing compliance program the Company instituted a third-party review of billing claims and compliance practices, and initiated improvements including implementing a package of new billing compliance policies and procedures and strengthening the Company’s billing compliance team. From time to time, the Company may have an obligation to reimburse Medicare, Medicaid, and third-party payors for overpayments regardless of fault. Settlements with third-party payors for retroactive adjustments due to audits, reviews, or 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w:t>
      </w:r>
    </w:p>
    <w:p>
      <w:pPr>
        <w:spacing w:after="0" w:line="173" w:lineRule="exact"/>
        <w:rPr>
          <w:sz w:val="20"/>
          <w:szCs w:val="20"/>
          <w:color w:val="auto"/>
        </w:rPr>
      </w:pPr>
    </w:p>
    <w:p>
      <w:pPr>
        <w:jc w:val="both"/>
        <w:ind w:firstLine="720"/>
        <w:spacing w:after="0" w:line="230" w:lineRule="auto"/>
        <w:rPr>
          <w:sz w:val="20"/>
          <w:szCs w:val="20"/>
          <w:color w:val="auto"/>
        </w:rPr>
      </w:pPr>
      <w:r>
        <w:rPr>
          <w:rFonts w:ascii="Times New Roman" w:cs="Times New Roman" w:eastAsia="Times New Roman" w:hAnsi="Times New Roman"/>
          <w:sz w:val="20"/>
          <w:szCs w:val="20"/>
          <w:color w:val="auto"/>
        </w:rPr>
        <w:t>Throughout 2022, the Company was engaged in discussions with one of its third-party payors (the “Payor”) regarding certain overpayments. On December 30, 2022, the Company entered into a settlement agreement with the Payor in order to settle the claims related to coverage and billing matters allegedly resulting in the overpayments by the Payor to the Company (the “Disputed Claims”). Under the settlement agreement, $42.0 million is to be paid by the Company to the Payor in a series of installments over the next four years with the final installment payment scheduled to be on or before June 30, 2026. The first installment payment of $15.0 million was made on December 31, 2022. In consideration for these payments, the Payor has agreed to provide releases of the Disputed Claims,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which releases become effective on or about April 1, 2023.</w:t>
      </w:r>
    </w:p>
    <w:p>
      <w:pPr>
        <w:spacing w:after="0" w:line="181"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20"/>
          <w:szCs w:val="20"/>
          <w:color w:val="auto"/>
        </w:rPr>
        <w:t>As a result of this matter, and in connection with a review of certain billing policies and procedures undertaken by management, the Company considered the need to establish reserves for potential recoupments of payments previously made by third-party payors. As of December 31, 2022, $39.0 million has been accrued. See Note 16, “Supplemental Financial Information.” The Company uses estimates, judgments, and assumptions to assess whether it is probable that a significant reversal in the amount of cumulative revenue may occur in future periods, based upon information presently available. These estimates are subject to change. In addition, as discussed above, the Company has made certain adjustments to its estimated variable consideration as result of this matter and other potential settlements with payors.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Remaining performance obligations</w:t>
      </w:r>
    </w:p>
    <w:p>
      <w:pPr>
        <w:spacing w:after="0" w:line="19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Due to the long-term nature of collaboration service agreements, the Company’s obligations pursuant to such agreements represent partially unsatisfied performance obligations as of December 31, 2022. The revenues under existing service agreements with original expected durations of more than one year are estimated to be approximately $6.8 million. The Company expects to recognize the majority of this revenue over the next 2.5 years.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Costs to fulfill contracts</w:t>
      </w:r>
    </w:p>
    <w:p>
      <w:pPr>
        <w:spacing w:after="0" w:line="19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balance sheets as current or non-current asset based upon forecasted performance.</w:t>
      </w:r>
    </w:p>
    <w:p>
      <w:pPr>
        <w:spacing w:after="0" w:line="14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As of December 31, 2022 and 2021, the Company had outstanding deferred costs to fulfill contracts of $0.3 million and $1.8 million, respectively. At each period, all outstanding deferred costs were recorded as other current assets.</w:t>
      </w:r>
    </w:p>
    <w:p>
      <w:pPr>
        <w:spacing w:after="0" w:line="13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Amortization of deferred costs was $1.5 million, $1.4 million and $0.9 million for the years ended December 31, 2022, 2021 and 2020, respectively. The amortization of these costs is recorded in cost of services of the consolidated statements of operations and comprehensive loss.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131</w:t>
      </w:r>
    </w:p>
    <w:p>
      <w:pPr>
        <w:sectPr>
          <w:pgSz w:w="12240" w:h="15840" w:orient="portrait"/>
          <w:cols w:equalWidth="0" w:num="1">
            <w:col w:w="9360"/>
          </w:cols>
          <w:pgMar w:left="1440" w:top="1378" w:right="1440" w:bottom="0" w:gutter="0" w:footer="0" w:header="0"/>
          <w:type w:val="continuous"/>
        </w:sectPr>
      </w:pPr>
    </w:p>
    <w:bookmarkStart w:id="120" w:name="page121"/>
    <w:bookmarkEnd w:id="120"/>
    <w:p>
      <w:pPr>
        <w:ind w:left="720" w:hanging="720"/>
        <w:spacing w:after="0"/>
        <w:tabs>
          <w:tab w:leader="none" w:pos="72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197"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tables set forth the fair value of financial instruments that were measured at fair value on a recurring basis (in thousands):</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38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62"/>
        </w:trPr>
        <w:tc>
          <w:tcPr>
            <w:tcW w:w="3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Financial Assets:</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Money market funds </w:t>
            </w:r>
            <w:r>
              <w:rPr>
                <w:rFonts w:ascii="Times New Roman" w:cs="Times New Roman" w:eastAsia="Times New Roman" w:hAnsi="Times New Roman"/>
                <w:sz w:val="20"/>
                <w:szCs w:val="20"/>
                <w:color w:val="989898"/>
                <w:w w:val="99"/>
              </w:rPr>
              <w:t>...........................................</w:t>
            </w:r>
          </w:p>
        </w:tc>
        <w:tc>
          <w:tcPr>
            <w:tcW w:w="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16,901</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16,901</w:t>
            </w:r>
          </w:p>
        </w:tc>
        <w:tc>
          <w:tcPr>
            <w:tcW w:w="60" w:type="dxa"/>
            <w:vAlign w:val="bottom"/>
          </w:tcPr>
          <w:p>
            <w:pPr>
              <w:spacing w:after="0"/>
              <w:rPr>
                <w:sz w:val="24"/>
                <w:szCs w:val="24"/>
                <w:color w:val="auto"/>
              </w:rPr>
            </w:pP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Total financial assets</w:t>
            </w:r>
            <w:r>
              <w:rPr>
                <w:rFonts w:ascii="Times New Roman" w:cs="Times New Roman" w:eastAsia="Times New Roman" w:hAnsi="Times New Roman"/>
                <w:sz w:val="20"/>
                <w:szCs w:val="20"/>
                <w:color w:val="989898"/>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16,901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16,901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Financial Liabilities: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8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Public warrant liability </w:t>
            </w:r>
            <w:r>
              <w:rPr>
                <w:rFonts w:ascii="Times New Roman" w:cs="Times New Roman" w:eastAsia="Times New Roman" w:hAnsi="Times New Roman"/>
                <w:sz w:val="20"/>
                <w:szCs w:val="20"/>
                <w:color w:val="989898"/>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280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Private warrant liability </w:t>
            </w:r>
            <w:r>
              <w:rPr>
                <w:rFonts w:ascii="Times New Roman" w:cs="Times New Roman" w:eastAsia="Times New Roman" w:hAnsi="Times New Roman"/>
                <w:sz w:val="20"/>
                <w:szCs w:val="20"/>
                <w:color w:val="989898"/>
              </w:rPr>
              <w: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Earn-out contingent liability </w:t>
            </w:r>
            <w:r>
              <w:rPr>
                <w:rFonts w:ascii="Times New Roman" w:cs="Times New Roman" w:eastAsia="Times New Roman" w:hAnsi="Times New Roman"/>
                <w:sz w:val="20"/>
                <w:szCs w:val="20"/>
                <w:color w:val="989898"/>
                <w:w w:val="99"/>
              </w:rPr>
              <w: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5"/>
        </w:trPr>
        <w:tc>
          <w:tcPr>
            <w:tcW w:w="388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Contingent consideration based on milestone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7,619</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vMerge w:val="restart"/>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7,619</w:t>
            </w:r>
          </w:p>
        </w:tc>
        <w:tc>
          <w:tcPr>
            <w:tcW w:w="0" w:type="dxa"/>
            <w:vAlign w:val="bottom"/>
          </w:tcPr>
          <w:p>
            <w:pPr>
              <w:spacing w:after="0"/>
              <w:rPr>
                <w:sz w:val="1"/>
                <w:szCs w:val="1"/>
                <w:color w:val="auto"/>
              </w:rPr>
            </w:pPr>
          </w:p>
        </w:tc>
      </w:tr>
      <w:tr>
        <w:trPr>
          <w:trHeight w:val="263"/>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achievement </w:t>
            </w:r>
            <w:r>
              <w:rPr>
                <w:rFonts w:ascii="Times New Roman" w:cs="Times New Roman" w:eastAsia="Times New Roman" w:hAnsi="Times New Roman"/>
                <w:sz w:val="20"/>
                <w:szCs w:val="20"/>
                <w:color w:val="989898"/>
                <w:w w:val="99"/>
              </w:rPr>
              <w:t>........................................................</w:t>
            </w: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Total financial liabilities </w:t>
            </w:r>
            <w:r>
              <w:rPr>
                <w:rFonts w:ascii="Times New Roman" w:cs="Times New Roman" w:eastAsia="Times New Roman" w:hAnsi="Times New Roman"/>
                <w:sz w:val="20"/>
                <w:szCs w:val="20"/>
                <w:color w:val="989898"/>
                <w:w w:val="99"/>
              </w:rPr>
              <w:t>.....................................</w:t>
            </w:r>
          </w:p>
        </w:tc>
        <w:tc>
          <w:tcPr>
            <w:tcW w:w="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8,037</w:t>
            </w:r>
          </w:p>
        </w:tc>
        <w:tc>
          <w:tcPr>
            <w:tcW w:w="60" w:type="dxa"/>
            <w:vAlign w:val="bottom"/>
          </w:tcPr>
          <w:p>
            <w:pPr>
              <w:spacing w:after="0"/>
              <w:rPr>
                <w:sz w:val="21"/>
                <w:szCs w:val="21"/>
                <w:color w:val="auto"/>
              </w:rPr>
            </w:pP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280</w:t>
            </w:r>
          </w:p>
        </w:tc>
        <w:tc>
          <w:tcPr>
            <w:tcW w:w="60" w:type="dxa"/>
            <w:vAlign w:val="bottom"/>
          </w:tcPr>
          <w:p>
            <w:pPr>
              <w:spacing w:after="0"/>
              <w:rPr>
                <w:sz w:val="21"/>
                <w:szCs w:val="21"/>
                <w:color w:val="auto"/>
              </w:rPr>
            </w:pP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60" w:type="dxa"/>
            <w:vAlign w:val="bottom"/>
          </w:tcPr>
          <w:p>
            <w:pPr>
              <w:spacing w:after="0"/>
              <w:rPr>
                <w:sz w:val="21"/>
                <w:szCs w:val="21"/>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7,619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62"/>
        </w:trPr>
        <w:tc>
          <w:tcPr>
            <w:tcW w:w="3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Financial Assets:</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Money market funds </w:t>
            </w:r>
            <w:r>
              <w:rPr>
                <w:rFonts w:ascii="Times New Roman" w:cs="Times New Roman" w:eastAsia="Times New Roman" w:hAnsi="Times New Roman"/>
                <w:sz w:val="20"/>
                <w:szCs w:val="20"/>
                <w:color w:val="989898"/>
                <w:w w:val="99"/>
              </w:rPr>
              <w:t>...........................................</w:t>
            </w:r>
          </w:p>
        </w:tc>
        <w:tc>
          <w:tcPr>
            <w:tcW w:w="20" w:type="dxa"/>
            <w:vAlign w:val="bottom"/>
          </w:tcPr>
          <w:p>
            <w:pPr>
              <w:spacing w:after="0"/>
              <w:rPr>
                <w:sz w:val="24"/>
                <w:szCs w:val="24"/>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385,370</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385,370</w:t>
            </w:r>
          </w:p>
        </w:tc>
        <w:tc>
          <w:tcPr>
            <w:tcW w:w="60" w:type="dxa"/>
            <w:vAlign w:val="bottom"/>
          </w:tcPr>
          <w:p>
            <w:pPr>
              <w:spacing w:after="0"/>
              <w:rPr>
                <w:sz w:val="24"/>
                <w:szCs w:val="24"/>
                <w:color w:val="auto"/>
              </w:rPr>
            </w:pP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Total financial assets </w:t>
            </w:r>
            <w:r>
              <w:rPr>
                <w:rFonts w:ascii="Times New Roman" w:cs="Times New Roman" w:eastAsia="Times New Roman" w:hAnsi="Times New Roman"/>
                <w:sz w:val="20"/>
                <w:szCs w:val="20"/>
                <w:color w:val="989898"/>
                <w:w w:val="99"/>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385,370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385,370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Financial Liabilities:</w:t>
            </w: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8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Public warrant liability </w:t>
            </w:r>
            <w:r>
              <w:rPr>
                <w:rFonts w:ascii="Times New Roman" w:cs="Times New Roman" w:eastAsia="Times New Roman" w:hAnsi="Times New Roman"/>
                <w:sz w:val="20"/>
                <w:szCs w:val="20"/>
                <w:color w:val="989898"/>
                <w:w w:val="99"/>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14,463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14,463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w w:val="98"/>
              </w:rPr>
              <w:t xml:space="preserve">Private warrant liability </w:t>
            </w:r>
            <w:r>
              <w:rPr>
                <w:rFonts w:ascii="Times New Roman" w:cs="Times New Roman" w:eastAsia="Times New Roman" w:hAnsi="Times New Roman"/>
                <w:sz w:val="20"/>
                <w:szCs w:val="20"/>
                <w:color w:val="989898"/>
                <w:w w:val="98"/>
              </w:rPr>
              <w: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Earn-out contingent liability </w:t>
            </w:r>
            <w:r>
              <w:rPr>
                <w:rFonts w:ascii="Times New Roman" w:cs="Times New Roman" w:eastAsia="Times New Roman" w:hAnsi="Times New Roman"/>
                <w:sz w:val="20"/>
                <w:szCs w:val="20"/>
                <w:color w:val="989898"/>
                <w:w w:val="99"/>
              </w:rPr>
              <w:t>...............................</w:t>
            </w: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10,244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10,244</w:t>
            </w:r>
          </w:p>
        </w:tc>
        <w:tc>
          <w:tcPr>
            <w:tcW w:w="0" w:type="dxa"/>
            <w:vAlign w:val="bottom"/>
          </w:tcPr>
          <w:p>
            <w:pPr>
              <w:spacing w:after="0"/>
              <w:rPr>
                <w:sz w:val="1"/>
                <w:szCs w:val="1"/>
                <w:color w:val="auto"/>
              </w:rPr>
            </w:pPr>
          </w:p>
        </w:tc>
      </w:tr>
      <w:tr>
        <w:trPr>
          <w:trHeight w:val="245"/>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Total financial liabilities </w:t>
            </w:r>
            <w:r>
              <w:rPr>
                <w:rFonts w:ascii="Times New Roman" w:cs="Times New Roman" w:eastAsia="Times New Roman" w:hAnsi="Times New Roman"/>
                <w:sz w:val="20"/>
                <w:szCs w:val="20"/>
                <w:color w:val="989898"/>
                <w:w w:val="99"/>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31,799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14,463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10,244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-4066540</wp:posOffset>
            </wp:positionV>
            <wp:extent cx="5969000" cy="19621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9">
                      <a:extLst>
                        <a:ext uri="{28A0092B-C50C-407E-A947-70E740481C1C}"/>
                      </a:extLst>
                    </a:blip>
                    <a:srcRect/>
                    <a:stretch>
                      <a:fillRect/>
                    </a:stretch>
                  </pic:blipFill>
                  <pic:spPr bwMode="auto">
                    <a:xfrm>
                      <a:off x="0" y="0"/>
                      <a:ext cx="5969000" cy="19621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-1659890</wp:posOffset>
            </wp:positionV>
            <wp:extent cx="5969000" cy="1666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50">
                      <a:extLst>
                        <a:ext uri="{28A0092B-C50C-407E-A947-70E740481C1C}"/>
                      </a:extLst>
                    </a:blip>
                    <a:srcRect/>
                    <a:stretch>
                      <a:fillRect/>
                    </a:stretch>
                  </pic:blipFill>
                  <pic:spPr bwMode="auto">
                    <a:xfrm>
                      <a:off x="0" y="0"/>
                      <a:ext cx="5969000" cy="1666875"/>
                    </a:xfrm>
                    <a:prstGeom prst="rect">
                      <a:avLst/>
                    </a:prstGeom>
                    <a:noFill/>
                  </pic:spPr>
                </pic:pic>
              </a:graphicData>
            </a:graphic>
          </wp:anchor>
        </w:drawing>
      </w:r>
    </w:p>
    <w:p>
      <w:pPr>
        <w:spacing w:after="0" w:line="168" w:lineRule="exact"/>
        <w:rPr>
          <w:sz w:val="20"/>
          <w:szCs w:val="20"/>
          <w:color w:val="auto"/>
        </w:rPr>
      </w:pPr>
    </w:p>
    <w:p>
      <w:pPr>
        <w:ind w:right="200" w:firstLine="350"/>
        <w:spacing w:after="0" w:line="266" w:lineRule="auto"/>
        <w:rPr>
          <w:sz w:val="20"/>
          <w:szCs w:val="20"/>
          <w:color w:val="auto"/>
        </w:rPr>
      </w:pPr>
      <w:r>
        <w:rPr>
          <w:rFonts w:ascii="Times New Roman" w:cs="Times New Roman" w:eastAsia="Times New Roman" w:hAnsi="Times New Roman"/>
          <w:sz w:val="20"/>
          <w:szCs w:val="20"/>
          <w:color w:val="auto"/>
        </w:rPr>
        <w:t>Of the $123.9 million cash and cash equivalents presented on the consolidated balance sheets, $16.9 million is in money market funds and is classified within Level 1 of the fair value hierarchy as the fair value is based on quoted prices in active markets.</w:t>
      </w:r>
    </w:p>
    <w:p>
      <w:pPr>
        <w:spacing w:after="0" w:line="135"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Company’s outstanding warrants include publicly-traded warrants (the “Public Warrants”) which were originally issued in the IPO and warrants sold in a private placement to CMLS Holdings LLC (the “Private Warrants”). The Company evaluated its warrants under ASC 815-40, Derivatives and Hedging—Contracts in Entity’s Own Equity, and concluded that they do not meet the criteria to be classified in stockholders’ equity. Since the Public Warrants and Private 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(expense), net on the consolidated statements of operations and comprehensive loss at each reporting date. The Public Warrants are classified within Level 1 of the fair value hierarchy as they are traded in active markets. The Private Warrants are classified within Level 2 of the fair value hierarchy as management determined the fair value of each Private Warrant is the same as that of a Public Warrant because the terms are substantially the same. For the year ended December 31, 2022, a gain of $21.1 million was recorded within the change in the change in fair market value of warrant and earn-out contingent liabilities in the consolidated statements of operations and comprehensive loss based on re-measurement performed as of the period end date.</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132</w:t>
      </w:r>
    </w:p>
    <w:p>
      <w:pPr>
        <w:sectPr>
          <w:pgSz w:w="12240" w:h="15840" w:orient="portrait"/>
          <w:cols w:equalWidth="0" w:num="1">
            <w:col w:w="9360"/>
          </w:cols>
          <w:pgMar w:left="1440" w:top="1371" w:right="1440" w:bottom="0" w:gutter="0" w:footer="0" w:header="0"/>
          <w:type w:val="continuous"/>
        </w:sectPr>
      </w:pPr>
    </w:p>
    <w:bookmarkStart w:id="121" w:name="page122"/>
    <w:bookmarkEnd w:id="121"/>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The earn-out contingent liabilities include the Company’s contingent obligation to issue earn-out shares for Legacy Sema4 stockholders (“Earn-out Shares”) as well as the Company’s contingent obligation to make an additional Milestone Payment of up to $150 million, up to 30.9 million shares of its Class A common stock, or a combination of cash and shares at our discretion, to OPKO if certain revenue-based milestones are achieved for each of the fiscal years ended December 31, 2022 and December 31, 2023. As of December 31, 2022, the first milestone was met and is anticipated to be paid by the Company issuing approximately 23.2 million shares of Class A common stock, which is determined to be approximately $6 million in fair value as of December 31, 2022.</w:t>
      </w:r>
    </w:p>
    <w:p>
      <w:pPr>
        <w:spacing w:after="0" w:line="17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Earn-out Shares are accounted for as a liability and required remeasurement at each reporting date. The estimated fair value of the total Earn-out Shares as of December 31, 2022 is determined based on a Monte Carlo simulation valuation model. The fair value of the earn-out contingent liability is sensitive to the expected volatility for the Company and the Company’s Class A common stock price which is sensitive to changes in the forecasts of earnings and/or the relevant operating metrics. The expected volatility for the Company is based on the historical volatility of selected guideline companies, the historical volatility of the Company, and the implied volatility of the Company’s call options</w:t>
      </w:r>
      <w:r>
        <w:rPr>
          <w:rFonts w:ascii="Calibri" w:cs="Calibri" w:eastAsia="Calibri" w:hAnsi="Calibri"/>
          <w:sz w:val="22"/>
          <w:szCs w:val="22"/>
          <w:b w:val="1"/>
          <w:bCs w:val="1"/>
          <w:color w:val="auto"/>
        </w:rPr>
        <w:t>.</w:t>
      </w:r>
      <w:r>
        <w:rPr>
          <w:rFonts w:ascii="Times New Roman" w:cs="Times New Roman" w:eastAsia="Times New Roman" w:hAnsi="Times New Roman"/>
          <w:sz w:val="20"/>
          <w:szCs w:val="20"/>
          <w:color w:val="auto"/>
        </w:rPr>
        <w:t xml:space="preserve"> The key assumptions utilized in determining the Earn-out Shares valuation as of December 31, 2022 and December 31, 2021 were as follows:</w:t>
      </w:r>
    </w:p>
    <w:p>
      <w:pPr>
        <w:spacing w:after="0" w:line="200" w:lineRule="exact"/>
        <w:rPr>
          <w:sz w:val="20"/>
          <w:szCs w:val="20"/>
          <w:color w:val="auto"/>
        </w:rPr>
      </w:pPr>
    </w:p>
    <w:p>
      <w:pPr>
        <w:spacing w:after="0" w:line="285" w:lineRule="exact"/>
        <w:rPr>
          <w:sz w:val="20"/>
          <w:szCs w:val="20"/>
          <w:color w:val="auto"/>
        </w:rPr>
      </w:pPr>
    </w:p>
    <w:tbl>
      <w:tblPr>
        <w:tblLayout w:type="fixed"/>
        <w:tblInd w:w="1500" w:type="dxa"/>
        <w:tblCellMar>
          <w:top w:w="0" w:type="dxa"/>
          <w:left w:w="0" w:type="dxa"/>
          <w:bottom w:w="0" w:type="dxa"/>
          <w:right w:w="0" w:type="dxa"/>
        </w:tblCellMar>
      </w:tblPr>
      <w:tr>
        <w:trPr>
          <w:trHeight w:val="211"/>
        </w:trPr>
        <w:tc>
          <w:tcPr>
            <w:tcW w:w="29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36"/>
        </w:trPr>
        <w:tc>
          <w:tcPr>
            <w:tcW w:w="2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9"/>
              </w:rPr>
              <w:t xml:space="preserve">Stock price </w:t>
            </w:r>
            <w:r>
              <w:rPr>
                <w:rFonts w:ascii="Times New Roman" w:cs="Times New Roman" w:eastAsia="Times New Roman" w:hAnsi="Times New Roman"/>
                <w:sz w:val="20"/>
                <w:szCs w:val="20"/>
                <w:color w:val="989898"/>
                <w:w w:val="99"/>
              </w:rPr>
              <w:t>.......................................</w:t>
            </w:r>
          </w:p>
        </w:tc>
        <w:tc>
          <w:tcPr>
            <w:tcW w:w="21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920" w:type="dxa"/>
            <w:vAlign w:val="bottom"/>
            <w:vMerge w:val="continue"/>
          </w:tcPr>
          <w:p>
            <w:pPr>
              <w:spacing w:after="0"/>
              <w:rPr>
                <w:sz w:val="22"/>
                <w:szCs w:val="2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$0.26</w:t>
            </w:r>
          </w:p>
        </w:tc>
        <w:tc>
          <w:tcPr>
            <w:tcW w:w="19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$4.46</w:t>
            </w:r>
          </w:p>
        </w:tc>
        <w:tc>
          <w:tcPr>
            <w:tcW w:w="0" w:type="dxa"/>
            <w:vAlign w:val="bottom"/>
          </w:tcPr>
          <w:p>
            <w:pPr>
              <w:spacing w:after="0"/>
              <w:rPr>
                <w:sz w:val="1"/>
                <w:szCs w:val="1"/>
                <w:color w:val="auto"/>
              </w:rPr>
            </w:pPr>
          </w:p>
        </w:tc>
      </w:tr>
      <w:tr>
        <w:trPr>
          <w:trHeight w:val="285"/>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Expected volatility </w:t>
            </w:r>
            <w:r>
              <w:rPr>
                <w:rFonts w:ascii="Times New Roman" w:cs="Times New Roman" w:eastAsia="Times New Roman" w:hAnsi="Times New Roman"/>
                <w:sz w:val="20"/>
                <w:szCs w:val="20"/>
                <w:color w:val="989898"/>
                <w:w w:val="99"/>
              </w:rPr>
              <w:t>...........................</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107.5%</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62.5%</w:t>
            </w:r>
          </w:p>
        </w:tc>
        <w:tc>
          <w:tcPr>
            <w:tcW w:w="0" w:type="dxa"/>
            <w:vAlign w:val="bottom"/>
          </w:tcPr>
          <w:p>
            <w:pPr>
              <w:spacing w:after="0"/>
              <w:rPr>
                <w:sz w:val="1"/>
                <w:szCs w:val="1"/>
                <w:color w:val="auto"/>
              </w:rPr>
            </w:pPr>
          </w:p>
        </w:tc>
      </w:tr>
      <w:tr>
        <w:trPr>
          <w:trHeight w:val="285"/>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Expected term (in years) </w:t>
            </w:r>
            <w:r>
              <w:rPr>
                <w:rFonts w:ascii="Times New Roman" w:cs="Times New Roman" w:eastAsia="Times New Roman" w:hAnsi="Times New Roman"/>
                <w:sz w:val="20"/>
                <w:szCs w:val="20"/>
                <w:color w:val="989898"/>
                <w:w w:val="99"/>
              </w:rPr>
              <w:t>..................</w:t>
            </w:r>
          </w:p>
        </w:tc>
        <w:tc>
          <w:tcPr>
            <w:tcW w:w="2160" w:type="dxa"/>
            <w:vAlign w:val="bottom"/>
          </w:tcPr>
          <w:p>
            <w:pPr>
              <w:jc w:val="right"/>
              <w:ind w:right="844"/>
              <w:spacing w:after="0"/>
              <w:rPr>
                <w:sz w:val="20"/>
                <w:szCs w:val="20"/>
                <w:color w:val="auto"/>
              </w:rPr>
            </w:pPr>
            <w:r>
              <w:rPr>
                <w:rFonts w:ascii="Times New Roman" w:cs="Times New Roman" w:eastAsia="Times New Roman" w:hAnsi="Times New Roman"/>
                <w:sz w:val="20"/>
                <w:szCs w:val="20"/>
                <w:color w:val="auto"/>
              </w:rPr>
              <w:t>0.6</w:t>
            </w:r>
          </w:p>
        </w:tc>
        <w:tc>
          <w:tcPr>
            <w:tcW w:w="198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85"/>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Risk-free interest rate </w:t>
            </w:r>
            <w:r>
              <w:rPr>
                <w:rFonts w:ascii="Times New Roman" w:cs="Times New Roman" w:eastAsia="Times New Roman" w:hAnsi="Times New Roman"/>
                <w:sz w:val="20"/>
                <w:szCs w:val="20"/>
                <w:color w:val="989898"/>
              </w:rPr>
              <w:t>......................</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4.76%</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-727710</wp:posOffset>
            </wp:positionV>
            <wp:extent cx="4549775" cy="7493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1">
                      <a:extLst>
                        <a:ext uri="{28A0092B-C50C-407E-A947-70E740481C1C}"/>
                      </a:extLst>
                    </a:blip>
                    <a:srcRect/>
                    <a:stretch>
                      <a:fillRect/>
                    </a:stretch>
                  </pic:blipFill>
                  <pic:spPr bwMode="auto">
                    <a:xfrm>
                      <a:off x="0" y="0"/>
                      <a:ext cx="4549775" cy="74930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fair value determined and recorded as of December 31, 2022 and December 31, 2021 was zero and $10.2 million, respectively. During the year ended December 31, 2022 a gain of $10.2 million was recorded within the change in fair market value of warrant and earn-out contingent liabilities in the consolidated statements of operations and comprehensive loss based on re-measurement performed as of the period end date.</w:t>
      </w:r>
    </w:p>
    <w:p>
      <w:pPr>
        <w:spacing w:after="0" w:line="20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Milestone Payments contingent liability represents additional acquisition consideration to pay up to $150 million, up to 30.9 million shares of the Company’s Class A common stock or a combination of cash and shares at the Company’s discretion based on the achievement of Legacy GeneDx revenue-based milestones in fiscal years 2022 and 2023. Subject to the terms and conditions of the Acquisition Merger Agreement, (a) the first Milestone Payment representing 75% of the aggregate became due as the Legacy GeneDx group’s revenue exceeded $163 million for the year ended December 31, 2022 and (b) the second Milestone Payment representing the final 25% will become due and payable if the revenue of the Legacy GeneDx group for the fiscal year 2023 equals or exceeds $219 million; provided that 80% of the Milestone Payment will become payable in respect of such period if the Legacy GeneDx group achieves 90% of the applicable Milestone Event revenue target, which amount will scale on a linear basis up to 100% of the applicable Milestone Payment at 100% of the applicable revenue target. Each Milestone Payment will be satisfied through the payment and/or issuance of a combination of cash and shares of the Company’s Class A common stock (valued at a fixed $4.86 per share), with such mix to be determined at the Company’s sole discretion. Settlement of the first Milestone Payment is expected to be paid via issuance of shares of Company’s Class A common stock based on the results of 2022.</w:t>
      </w:r>
    </w:p>
    <w:p>
      <w:pPr>
        <w:spacing w:after="0" w:line="17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The Company recorded the fair value of the Milestone Payments for $7.6 million as of December 31, 2022, of which $6.0 million has been earned and is presented as current liabilities in the consolidated balance sheets. For the year ended December 31, 2022, a gain of $38.9 million was recorded in the change in fair market value of warrant and earn-out contingent liabilities in the consolidated statements of operations and comprehensive loss based on re-measurement performed as of the period end date. The fair value of the remaining earn-out was determined based on a Monte Carlo simulation valuation model and the key assumptions include revenue projections, revenue volatility of 25%, the Company’s expectation to settle the liability in shares and share price of $0.26 per share.</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133</w:t>
      </w:r>
    </w:p>
    <w:p>
      <w:pPr>
        <w:sectPr>
          <w:pgSz w:w="12240" w:h="15840" w:orient="portrait"/>
          <w:cols w:equalWidth="0" w:num="1">
            <w:col w:w="9360"/>
          </w:cols>
          <w:pgMar w:left="1440" w:top="1378" w:right="1440" w:bottom="0" w:gutter="0" w:footer="0" w:header="0"/>
          <w:type w:val="continuous"/>
        </w:sectPr>
      </w:pPr>
    </w:p>
    <w:bookmarkStart w:id="122" w:name="page123"/>
    <w:bookmarkEnd w:id="122"/>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earn-out contingent liabilities are categorized as Level 3 of the fair value hierarchy as the Company utilizes unobservable inputs in estimating the fair value. There were no transfers between Level 1, Level 2 and Level 3 during the periods presented.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3"/>
              </w:rPr>
              <w:t>6.</w:t>
            </w:r>
          </w:p>
        </w:tc>
        <w:tc>
          <w:tcPr>
            <w:tcW w:w="6480" w:type="dxa"/>
            <w:vAlign w:val="bottom"/>
          </w:tcPr>
          <w:p>
            <w:pPr>
              <w:jc w:val="right"/>
              <w:ind w:right="3740"/>
              <w:spacing w:after="0"/>
              <w:rPr>
                <w:sz w:val="20"/>
                <w:szCs w:val="20"/>
                <w:color w:val="auto"/>
              </w:rPr>
            </w:pPr>
            <w:r>
              <w:rPr>
                <w:rFonts w:ascii="Times New Roman" w:cs="Times New Roman" w:eastAsia="Times New Roman" w:hAnsi="Times New Roman"/>
                <w:sz w:val="20"/>
                <w:szCs w:val="20"/>
                <w:b w:val="1"/>
                <w:bCs w:val="1"/>
                <w:color w:val="auto"/>
              </w:rPr>
              <w:t>Property and Equipment</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423"/>
        </w:trPr>
        <w:tc>
          <w:tcPr>
            <w:tcW w:w="220" w:type="dxa"/>
            <w:vAlign w:val="bottom"/>
          </w:tcPr>
          <w:p>
            <w:pPr>
              <w:spacing w:after="0"/>
              <w:rPr>
                <w:sz w:val="24"/>
                <w:szCs w:val="24"/>
                <w:color w:val="auto"/>
              </w:rPr>
            </w:pPr>
          </w:p>
        </w:tc>
        <w:tc>
          <w:tcPr>
            <w:tcW w:w="6480" w:type="dxa"/>
            <w:vAlign w:val="bottom"/>
          </w:tcPr>
          <w:p>
            <w:pPr>
              <w:jc w:val="right"/>
              <w:ind w:right="940"/>
              <w:spacing w:after="0"/>
              <w:rPr>
                <w:sz w:val="20"/>
                <w:szCs w:val="20"/>
                <w:color w:val="auto"/>
              </w:rPr>
            </w:pPr>
            <w:r>
              <w:rPr>
                <w:rFonts w:ascii="Times New Roman" w:cs="Times New Roman" w:eastAsia="Times New Roman" w:hAnsi="Times New Roman"/>
                <w:sz w:val="20"/>
                <w:szCs w:val="20"/>
                <w:color w:val="auto"/>
              </w:rPr>
              <w:t>Property and equipment consisted of the following (in thousands):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1"/>
        </w:trPr>
        <w:tc>
          <w:tcPr>
            <w:tcW w:w="2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20"/>
        </w:trPr>
        <w:tc>
          <w:tcPr>
            <w:tcW w:w="2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2"/>
        </w:trPr>
        <w:tc>
          <w:tcPr>
            <w:tcW w:w="6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989898"/>
              </w:rPr>
              <w:t>................................................................................................</w:t>
            </w:r>
            <w:r>
              <w:rPr>
                <w:rFonts w:ascii="Times New Roman" w:cs="Times New Roman" w:eastAsia="Times New Roman" w:hAnsi="Times New Roman"/>
                <w:sz w:val="20"/>
                <w:szCs w:val="20"/>
                <w:color w:val="000000"/>
              </w:rPr>
              <w:t>Laboratoryequipment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41,255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28,552</w:t>
            </w:r>
          </w:p>
        </w:tc>
      </w:tr>
      <w:tr>
        <w:trPr>
          <w:trHeight w:val="285"/>
        </w:trPr>
        <w:tc>
          <w:tcPr>
            <w:tcW w:w="6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xml:space="preserve">Equipment under finance leases </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21,384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21,384</w:t>
            </w:r>
          </w:p>
        </w:tc>
      </w:tr>
      <w:tr>
        <w:trPr>
          <w:trHeight w:val="285"/>
        </w:trPr>
        <w:tc>
          <w:tcPr>
            <w:tcW w:w="6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xml:space="preserve">Leasehold improvements </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35,561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21,905</w:t>
            </w:r>
          </w:p>
        </w:tc>
      </w:tr>
      <w:tr>
        <w:trPr>
          <w:trHeight w:val="285"/>
        </w:trPr>
        <w:tc>
          <w:tcPr>
            <w:tcW w:w="6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xml:space="preserve">Capitalized software </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32,171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25,693</w:t>
            </w:r>
          </w:p>
        </w:tc>
      </w:tr>
      <w:tr>
        <w:trPr>
          <w:trHeight w:val="285"/>
        </w:trPr>
        <w:tc>
          <w:tcPr>
            <w:tcW w:w="6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xml:space="preserve">Building under finance lease </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6,276</w:t>
            </w:r>
          </w:p>
        </w:tc>
      </w:tr>
      <w:tr>
        <w:trPr>
          <w:trHeight w:val="285"/>
        </w:trPr>
        <w:tc>
          <w:tcPr>
            <w:tcW w:w="6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Construction in-progress</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w:t>
            </w:r>
          </w:p>
        </w:tc>
      </w:tr>
      <w:tr>
        <w:trPr>
          <w:trHeight w:val="285"/>
        </w:trPr>
        <w:tc>
          <w:tcPr>
            <w:tcW w:w="6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xml:space="preserve">Computer equipment </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9,177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6,634</w:t>
            </w:r>
          </w:p>
        </w:tc>
      </w:tr>
      <w:tr>
        <w:trPr>
          <w:trHeight w:val="288"/>
        </w:trPr>
        <w:tc>
          <w:tcPr>
            <w:tcW w:w="6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xml:space="preserve">Furniture, fixtures and other equipment </w:t>
            </w:r>
            <w:r>
              <w:rPr>
                <w:rFonts w:ascii="Times New Roman" w:cs="Times New Roman" w:eastAsia="Times New Roman" w:hAnsi="Times New Roman"/>
                <w:sz w:val="20"/>
                <w:szCs w:val="20"/>
                <w:color w:val="989898"/>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3,241</w:t>
            </w:r>
          </w:p>
        </w:tc>
      </w:tr>
      <w:tr>
        <w:trPr>
          <w:trHeight w:val="262"/>
        </w:trPr>
        <w:tc>
          <w:tcPr>
            <w:tcW w:w="220" w:type="dxa"/>
            <w:vAlign w:val="bottom"/>
          </w:tcPr>
          <w:p>
            <w:pPr>
              <w:spacing w:after="0"/>
              <w:rPr>
                <w:sz w:val="22"/>
                <w:szCs w:val="22"/>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property and equipment </w:t>
            </w:r>
            <w:r>
              <w:rPr>
                <w:rFonts w:ascii="Times New Roman" w:cs="Times New Roman" w:eastAsia="Times New Roman" w:hAnsi="Times New Roman"/>
                <w:sz w:val="20"/>
                <w:szCs w:val="20"/>
                <w:color w:val="989898"/>
              </w:rPr>
              <w:t>...............................................................................</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152,987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114,625</w:t>
            </w:r>
          </w:p>
        </w:tc>
      </w:tr>
      <w:tr>
        <w:trPr>
          <w:trHeight w:val="288"/>
        </w:trPr>
        <w:tc>
          <w:tcPr>
            <w:tcW w:w="6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 xml:space="preserve">Less: accumulated depreciation and amortization </w:t>
            </w:r>
            <w:r>
              <w:rPr>
                <w:rFonts w:ascii="Times New Roman" w:cs="Times New Roman" w:eastAsia="Times New Roman" w:hAnsi="Times New Roman"/>
                <w:sz w:val="20"/>
                <w:szCs w:val="20"/>
                <w:color w:val="989898"/>
                <w:w w:val="99"/>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(101,460)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(51,906)</w:t>
            </w:r>
          </w:p>
        </w:tc>
      </w:tr>
      <w:tr>
        <w:trPr>
          <w:trHeight w:val="245"/>
        </w:trPr>
        <w:tc>
          <w:tcPr>
            <w:tcW w:w="220" w:type="dxa"/>
            <w:vAlign w:val="bottom"/>
          </w:tcPr>
          <w:p>
            <w:pPr>
              <w:spacing w:after="0"/>
              <w:rPr>
                <w:sz w:val="21"/>
                <w:szCs w:val="21"/>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Property and equipment, net </w:t>
            </w:r>
            <w:r>
              <w:rPr>
                <w:rFonts w:ascii="Times New Roman" w:cs="Times New Roman" w:eastAsia="Times New Roman" w:hAnsi="Times New Roman"/>
                <w:sz w:val="20"/>
                <w:szCs w:val="20"/>
                <w:color w:val="989898"/>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51,527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62,719</w:t>
            </w:r>
          </w:p>
        </w:tc>
      </w:tr>
      <w:tr>
        <w:trPr>
          <w:trHeight w:val="20"/>
        </w:trPr>
        <w:tc>
          <w:tcPr>
            <w:tcW w:w="2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-2021840</wp:posOffset>
            </wp:positionV>
            <wp:extent cx="5969000" cy="20288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52">
                      <a:extLst>
                        <a:ext uri="{28A0092B-C50C-407E-A947-70E740481C1C}"/>
                      </a:extLst>
                    </a:blip>
                    <a:srcRect/>
                    <a:stretch>
                      <a:fillRect/>
                    </a:stretch>
                  </pic:blipFill>
                  <pic:spPr bwMode="auto">
                    <a:xfrm>
                      <a:off x="0" y="0"/>
                      <a:ext cx="5969000" cy="2028825"/>
                    </a:xfrm>
                    <a:prstGeom prst="rect">
                      <a:avLst/>
                    </a:prstGeom>
                    <a:noFill/>
                  </pic:spPr>
                </pic:pic>
              </a:graphicData>
            </a:graphic>
          </wp:anchor>
        </w:drawing>
      </w:r>
    </w:p>
    <w:p>
      <w:pPr>
        <w:spacing w:after="0" w:line="168"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20"/>
          <w:szCs w:val="20"/>
          <w:color w:val="auto"/>
        </w:rPr>
        <w:t xml:space="preserve">For the years ended December 31, 2022, 2021 and 2020, depreciation and amortization expense was $50.0 million, $21.8 million and $11.7 million, respectively, which included software amortization expense of $15.4 million, $5.6 million and $3.0 million for the years ended December 31, 2022, 2021 and 2020, respectively. For intangible amortization, see Note 18, </w:t>
      </w:r>
      <w:r>
        <w:rPr>
          <w:rFonts w:ascii="Times New Roman" w:cs="Times New Roman" w:eastAsia="Times New Roman" w:hAnsi="Times New Roman"/>
          <w:sz w:val="20"/>
          <w:szCs w:val="20"/>
          <w:b w:val="1"/>
          <w:bCs w:val="1"/>
          <w:i w:val="1"/>
          <w:iCs w:val="1"/>
          <w:color w:val="auto"/>
        </w:rPr>
        <w:t>“Goodwill and Intangible Assets.”</w:t>
      </w:r>
    </w:p>
    <w:p>
      <w:pPr>
        <w:spacing w:after="0" w:line="14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For the year ended December 31, 2022, the Company accelerated depreciation and amortization charge of $24.0 million due to the change in the Company’s useful lives on certain fixed assets that are related to the business exit activity.</w:t>
      </w:r>
    </w:p>
    <w:p>
      <w:pPr>
        <w:spacing w:after="0" w:line="135"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Depreciation and amortization expense is included within the statements of operations and comprehensive loss as follows (in thousands):</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20"/>
        </w:trPr>
        <w:tc>
          <w:tcPr>
            <w:tcW w:w="5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77"/>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Cost of services </w:t>
            </w:r>
            <w:r>
              <w:rPr>
                <w:rFonts w:ascii="Times New Roman" w:cs="Times New Roman" w:eastAsia="Times New Roman" w:hAnsi="Times New Roman"/>
                <w:sz w:val="20"/>
                <w:szCs w:val="20"/>
                <w:color w:val="989898"/>
                <w:w w:val="99"/>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31,328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14,094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9,055</w:t>
            </w:r>
          </w:p>
        </w:tc>
      </w:tr>
      <w:tr>
        <w:trPr>
          <w:trHeight w:val="300"/>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Research and development </w:t>
            </w:r>
            <w:r>
              <w:rPr>
                <w:rFonts w:ascii="Times New Roman" w:cs="Times New Roman" w:eastAsia="Times New Roman" w:hAnsi="Times New Roman"/>
                <w:sz w:val="20"/>
                <w:szCs w:val="20"/>
                <w:color w:val="989898"/>
                <w:w w:val="98"/>
              </w:rPr>
              <w:t>.............................................................</w:t>
            </w:r>
          </w:p>
        </w:tc>
        <w:tc>
          <w:tcPr>
            <w:tcW w:w="320" w:type="dxa"/>
            <w:vAlign w:val="bottom"/>
          </w:tcPr>
          <w:p>
            <w:pPr>
              <w:spacing w:after="0"/>
              <w:rPr>
                <w:sz w:val="24"/>
                <w:szCs w:val="24"/>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14,960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w:t>
            </w:r>
          </w:p>
        </w:tc>
      </w:tr>
      <w:tr>
        <w:trPr>
          <w:trHeight w:val="300"/>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Selling and marketing</w:t>
            </w:r>
            <w:r>
              <w:rPr>
                <w:rFonts w:ascii="Times New Roman" w:cs="Times New Roman" w:eastAsia="Times New Roman" w:hAnsi="Times New Roman"/>
                <w:sz w:val="20"/>
                <w:szCs w:val="20"/>
                <w:color w:val="989898"/>
                <w:w w:val="99"/>
              </w:rPr>
              <w:t>.....................................................................</w:t>
            </w:r>
          </w:p>
        </w:tc>
        <w:tc>
          <w:tcPr>
            <w:tcW w:w="320" w:type="dxa"/>
            <w:vAlign w:val="bottom"/>
          </w:tcPr>
          <w:p>
            <w:pPr>
              <w:spacing w:after="0"/>
              <w:rPr>
                <w:sz w:val="24"/>
                <w:szCs w:val="24"/>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General and administrative </w:t>
            </w:r>
            <w:r>
              <w:rPr>
                <w:rFonts w:ascii="Times New Roman" w:cs="Times New Roman" w:eastAsia="Times New Roman" w:hAnsi="Times New Roman"/>
                <w:sz w:val="20"/>
                <w:szCs w:val="20"/>
                <w:color w:val="989898"/>
                <w:w w:val="98"/>
              </w:rPr>
              <w: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3,667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1,639</w:t>
            </w:r>
          </w:p>
        </w:tc>
      </w:tr>
      <w:tr>
        <w:trPr>
          <w:trHeight w:val="260"/>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depreciation and amortization expenses</w:t>
            </w:r>
            <w:r>
              <w:rPr>
                <w:rFonts w:ascii="Times New Roman" w:cs="Times New Roman" w:eastAsia="Times New Roman" w:hAnsi="Times New Roman"/>
                <w:sz w:val="20"/>
                <w:szCs w:val="20"/>
                <w:color w:val="989898"/>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49,959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21,807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11,734</w:t>
            </w:r>
          </w:p>
        </w:tc>
      </w:tr>
      <w:tr>
        <w:trPr>
          <w:trHeight w:val="20"/>
        </w:trPr>
        <w:tc>
          <w:tcPr>
            <w:tcW w:w="5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-983615</wp:posOffset>
            </wp:positionV>
            <wp:extent cx="5969000" cy="990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3">
                      <a:extLst>
                        <a:ext uri="{28A0092B-C50C-407E-A947-70E740481C1C}"/>
                      </a:extLst>
                    </a:blip>
                    <a:srcRect/>
                    <a:stretch>
                      <a:fillRect/>
                    </a:stretch>
                  </pic:blipFill>
                  <pic:spPr bwMode="auto">
                    <a:xfrm>
                      <a:off x="0" y="0"/>
                      <a:ext cx="5969000" cy="99060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720" w:hanging="720"/>
        <w:spacing w:after="0"/>
        <w:tabs>
          <w:tab w:leader="none" w:pos="72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Party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Related party revenues</w:t>
      </w:r>
    </w:p>
    <w:p>
      <w:pPr>
        <w:spacing w:after="0" w:line="19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Related party revenues primarily include diagnostic testing revenues generated by GeneDx from BioReference Laboratories, Inc. (“BRLI”), which is a subsidiary of OPKO. The prices charged represent market rates. Revenue recorded from this contract was $1.7 million for the year ended December 31, 2022.</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134</w:t>
      </w:r>
    </w:p>
    <w:p>
      <w:pPr>
        <w:sectPr>
          <w:pgSz w:w="12240" w:h="15840" w:orient="portrait"/>
          <w:cols w:equalWidth="0" w:num="1">
            <w:col w:w="9360"/>
          </w:cols>
          <w:pgMar w:left="1440" w:top="1378" w:right="1440" w:bottom="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i w:val="1"/>
          <w:iCs w:val="1"/>
          <w:color w:val="auto"/>
        </w:rPr>
        <w:t>Related party expenses</w:t>
      </w:r>
    </w:p>
    <w:p>
      <w:pPr>
        <w:spacing w:after="0" w:line="21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On June 1, 2017, the Company signed a contribution and funding agreement and other agreements with ISMMS, whereby ISMMS contributed certain assets and liabilities related to the Company’s operations, provided certain services to the Company, and also committed to funding the Company up to $55.0 million in future capital contributions in exchange for equity in the Company, of which $55.0 million was drawn as of December 31, 2019. Following the transaction, the Company commenced operations and began providing the services and performing research.</w:t>
      </w:r>
    </w:p>
    <w:p>
      <w:pPr>
        <w:spacing w:after="0" w:line="168"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For years ended December 31, 2021 and 2020, the Company incurred certain costs with ISMMS. Expenses recognized under the TSA totaled $1.4 million and $7.2 million for the years ended December 31, 2021 and 2020, respectively, and are presented within related party expenses in the consolidated statements of operations and comprehensive loss. The Company did not incur any costs under the TSA in the year ended December 31, 2022. The Company did not have any TSA payables due to ISMMS of as of December 31, 2022 and 2021. The ISMMS TSA expired on March 28, 2021.</w:t>
      </w:r>
    </w:p>
    <w:p>
      <w:pPr>
        <w:spacing w:after="0" w:line="168"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Expenses recognized pursuant to other service arrangements with ISMMS totaled $7.4 million, $7.0 million and $4.4 million for the years ended December 31, 2022, 2021 and 2020, respectively. These amounts are included in either cost of services or related party expenses on the consolidated statements of operations and comprehensive loss depending on the particular activity to which the costs relate. Payables due to ISMMS for the other service arrangements were $2.4 million and $2.6 million as of December 30, 2022 and 2021, respectively. These amounts are included within due to related parties on the Company’s consolidated balance sheets.</w:t>
      </w:r>
    </w:p>
    <w:p>
      <w:pPr>
        <w:spacing w:after="0" w:line="16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Additionally, the Company incurred $1.7 million in purchases of diagnostic testing kits and materials for the year ended December 31, 2022 from an affiliate of a member of the Board of Directors who has served in the role since July 2021. The prices paid represent market rates. Payables due were $0.4 million as of December 31, 2022.</w:t>
      </w:r>
    </w:p>
    <w:p>
      <w:pPr>
        <w:spacing w:after="0" w:line="155"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GeneDx and OPKO entered into a Transition Services Agreement dated as of April 29, 2022 (the “OPKO TSA”) pursuant to which OPKO has agreed to provide, at cost, certain services in support of the Acquisition of the GeneDx business through December 31, 2022, subject to certain limited exceptions, in order to facilitate the transactions contemplated by the Acquisition Merger Agreement, including human resources, information technology support, and finance and accounting. The Company recognized $1.3 million and in costs for the year ended December 31, 2022, respectively. As of December 31, 2022, $0.4 million was unpaid and included in due to related parties in consolidated balance sheets.</w:t>
      </w:r>
    </w:p>
    <w:p>
      <w:pPr>
        <w:spacing w:after="0" w:line="17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The Company also recorded $1.3 million of receivables from OPKO related to the Acquisition closing working capital adjustment. This amount is presented as other current assets in consolidated balance sheets as of December 31, 2022.</w:t>
      </w:r>
    </w:p>
    <w:p>
      <w:pPr>
        <w:spacing w:after="0" w:line="155"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Total related party costs are included within cost of services and related party expenses in the consolidated statements of operations and comprehensive loss as follows (in thousands):</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20"/>
        </w:trPr>
        <w:tc>
          <w:tcPr>
            <w:tcW w:w="5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2"/>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Costs of services </w:t>
            </w:r>
            <w:r>
              <w:rPr>
                <w:rFonts w:ascii="Times New Roman" w:cs="Times New Roman" w:eastAsia="Times New Roman" w:hAnsi="Times New Roman"/>
                <w:sz w:val="20"/>
                <w:szCs w:val="20"/>
                <w:color w:val="989898"/>
                <w:w w:val="98"/>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4,169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2,189</w:t>
            </w:r>
          </w:p>
        </w:tc>
      </w:tr>
      <w:tr>
        <w:trPr>
          <w:trHeight w:val="288"/>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Related party expenses </w:t>
            </w:r>
            <w:r>
              <w:rPr>
                <w:rFonts w:ascii="Times New Roman" w:cs="Times New Roman" w:eastAsia="Times New Roman" w:hAnsi="Times New Roman"/>
                <w:sz w:val="20"/>
                <w:szCs w:val="20"/>
                <w:color w:val="989898"/>
                <w:w w:val="99"/>
              </w:rPr>
              <w: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6,312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5,659</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9,395</w:t>
            </w:r>
          </w:p>
        </w:tc>
      </w:tr>
      <w:tr>
        <w:trPr>
          <w:trHeight w:val="245"/>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related party costs</w:t>
            </w:r>
            <w:r>
              <w:rPr>
                <w:rFonts w:ascii="Times New Roman" w:cs="Times New Roman" w:eastAsia="Times New Roman" w:hAnsi="Times New Roman"/>
                <w:sz w:val="20"/>
                <w:szCs w:val="20"/>
                <w:color w:val="989898"/>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10,481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11,584</w:t>
            </w:r>
          </w:p>
        </w:tc>
      </w:tr>
      <w:tr>
        <w:trPr>
          <w:trHeight w:val="20"/>
        </w:trPr>
        <w:tc>
          <w:tcPr>
            <w:tcW w:w="5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5969000" cy="5810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54">
                      <a:extLst>
                        <a:ext uri="{28A0092B-C50C-407E-A947-70E740481C1C}"/>
                      </a:extLst>
                    </a:blip>
                    <a:srcRect/>
                    <a:stretch>
                      <a:fillRect/>
                    </a:stretch>
                  </pic:blipFill>
                  <pic:spPr bwMode="auto">
                    <a:xfrm>
                      <a:off x="0" y="0"/>
                      <a:ext cx="5969000" cy="581025"/>
                    </a:xfrm>
                    <a:prstGeom prst="rect">
                      <a:avLst/>
                    </a:prstGeom>
                    <a:noFill/>
                  </pic:spPr>
                </pic:pic>
              </a:graphicData>
            </a:graphic>
          </wp:anchor>
        </w:drawing>
      </w:r>
    </w:p>
    <w:p>
      <w:pPr>
        <w:spacing w:after="0" w:line="161" w:lineRule="exact"/>
        <w:rPr>
          <w:sz w:val="20"/>
          <w:szCs w:val="20"/>
          <w:color w:val="auto"/>
        </w:rPr>
      </w:pPr>
    </w:p>
    <w:p>
      <w:pPr>
        <w:ind w:left="720" w:hanging="720"/>
        <w:spacing w:after="0"/>
        <w:tabs>
          <w:tab w:leader="none" w:pos="72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Long-Term Debt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 and Security Agreement (the “SVB Agreement”)</w:t>
      </w:r>
    </w:p>
    <w:p>
      <w:pPr>
        <w:spacing w:after="0" w:line="173"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On November 15, 2021, the Company and Sema4 OpCo (together, the “Borrower”) entered into the SVB Agreement with Silicon Valley Bank (“SVB”). The SVB Agreement provides for a Revolver up to an aggregate principal amount of $125.0 million, including a sublimit of $20.0 million for Letters of Credit (as such terms are defined in the SVB Agreement). The outstanding principal amount of any Advance (as such term is defined in the</w:t>
      </w:r>
    </w:p>
    <w:p>
      <w:pPr>
        <w:sectPr>
          <w:pgSz w:w="12240" w:h="15840" w:orient="portrait"/>
          <w:cols w:equalWidth="0" w:num="1">
            <w:col w:w="9360"/>
          </w:cols>
          <w:pgMar w:left="1440" w:top="1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135</w:t>
      </w:r>
    </w:p>
    <w:p>
      <w:pPr>
        <w:sectPr>
          <w:pgSz w:w="12240" w:h="15840" w:orient="portrait"/>
          <w:cols w:equalWidth="0" w:num="1">
            <w:col w:w="9360"/>
          </w:cols>
          <w:pgMar w:left="1440" w:top="1369" w:right="1440" w:bottom="0" w:gutter="0" w:footer="0" w:header="0"/>
          <w:type w:val="continuous"/>
        </w:sectPr>
      </w:pPr>
    </w:p>
    <w:bookmarkStart w:id="124" w:name="page125"/>
    <w:bookmarkEnd w:id="124"/>
    <w:p>
      <w:pPr>
        <w:jc w:val="both"/>
        <w:spacing w:after="0" w:line="265" w:lineRule="auto"/>
        <w:rPr>
          <w:sz w:val="20"/>
          <w:szCs w:val="20"/>
          <w:color w:val="auto"/>
        </w:rPr>
      </w:pPr>
      <w:r>
        <w:rPr>
          <w:rFonts w:ascii="Times New Roman" w:cs="Times New Roman" w:eastAsia="Times New Roman" w:hAnsi="Times New Roman"/>
          <w:sz w:val="20"/>
          <w:szCs w:val="20"/>
          <w:color w:val="auto"/>
        </w:rPr>
        <w:t>SVB Agreement) will bear interest at a floating rate per annum equal to the greater of (1) 4.00% and (2) the Prime Rate plus the Prime Rate Margin. The Revolver will mature on November 15, 2024.</w:t>
      </w:r>
    </w:p>
    <w:p>
      <w:pPr>
        <w:spacing w:after="0" w:line="16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obligations under the SVB Agreement are secured by a first priority perfected security interest in substantially all of the Company’s assets except for (i) 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spacing w:after="0" w:line="204"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The SVB Agreement contains affirmative and negative covenants, including, among other things, restrictions on indebtedness, liens, investments, mergers, dispositions, and dividends and other distributions.</w:t>
      </w:r>
    </w:p>
    <w:p>
      <w:pPr>
        <w:spacing w:after="0" w:line="121"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 of greater than or equal to 1.25 to 1.0. The Borrower must also maintain certain trailing six-month minimum revenue targets through maturity if outstanding borrowings under the Revolver exceed $50.0 million.</w:t>
      </w:r>
    </w:p>
    <w:p>
      <w:pPr>
        <w:spacing w:after="0" w:line="208"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the Nasdaq Stock Market,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 The Company is in compliance with all covenants as of December 31, 2022.</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 amounts have been drawn under the SVB Agreement as of December 31, 2022.</w:t>
      </w:r>
    </w:p>
    <w:p>
      <w:pPr>
        <w:spacing w:after="0" w:line="19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On March 10, 2023, SVB was closed by the California Department of Financial Protection and Innovation, which appointed the Federal Deposit Insurance Corporation (“FDIC”) as receiver. On March 14, 2023, Silicon Valley Bridge Bank, N.A., a new bank that is regulated by the Office of the Comptroller of the Currency, announced that it had assumed all loan positions, including as lender, issuing bank, administrative and any other function that was formerly performed by SVB, and that all commitments to advance under existing credit agreements will be honored in accordance with and pursuant to the terms thereof.</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2016 Funding Commitment</w:t>
      </w:r>
    </w:p>
    <w:p>
      <w:pPr>
        <w:spacing w:after="0" w:line="19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In April 2016, ISMMS received a $5.0 million loan funding commitment (the “DECD Loan Agreement”) from the Connecticut Department of Economic and Community Development (“DECD”) to support the Genetic Sequencing Laboratory Project in Branford, Connecticut (the “Project”). The DECD made a commitment to offer a total of $9.5 million in loan funding for leasehold improvements, construction, equipment, research and development, and administrative expenses over a period of ten years at an annual interest rate of 2.0% (collectively, “Phase 1” and “Phase 2” of funding for the Project). On June 1, 2017, as part of the Spin-out, ISMMS assigned both the agreement underlying the Project and the DECD Loan Agreement to Sema4 OpCo, Inc. (“OpCo”). ISMMS guaranteed the Company’s obligation to repay the DECD.</w:t>
      </w:r>
    </w:p>
    <w:p>
      <w:pPr>
        <w:spacing w:after="0" w:line="15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In June 2018, the Company amended the existing $9.5 million DECD Loan Agreement (the “2018 Amended DECD Loan Agreement”) with the DECD by increasing the total loan commitment to $15.5 million at the same fixed annual interest rate of 2.0% for a term of 10 years from the date the new funds are disbursed (“Phase 3” of funding for the Project). The terms of the Amended DECD Loan Agreement require the Company to make interest-only payments through July 2023 and principal and interest payments commencing in August 2023 through July 2028.</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136</w:t>
      </w:r>
    </w:p>
    <w:p>
      <w:pPr>
        <w:sectPr>
          <w:pgSz w:w="12240" w:h="15840" w:orient="portrait"/>
          <w:cols w:equalWidth="0" w:num="1">
            <w:col w:w="9360"/>
          </w:cols>
          <w:pgMar w:left="1440" w:top="1378" w:right="1440" w:bottom="0" w:gutter="0" w:footer="0" w:header="0"/>
          <w:type w:val="continuous"/>
        </w:sectPr>
      </w:pPr>
    </w:p>
    <w:bookmarkStart w:id="125" w:name="page126"/>
    <w:bookmarkEnd w:id="125"/>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In addition, under the terms of the 2018 Amended DECD Loan Agreement, the DECD provided the Company with the ability to seek partial principal loan forgiveness of up to $12.3 million in the aggregate, contingent upon the Company achieving job creation and retention milestones.</w:t>
      </w:r>
    </w:p>
    <w:p>
      <w:pPr>
        <w:spacing w:after="0" w:line="13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outstanding loan balance from the DECD was $11.0 million at December 31, 2021, following the achievement of the Phase 1 funding milestone. In January 2023, the Company amended the 2018 Amended DECD Loan Agreement, which resulted in agreeing to pay $2.0 million in principal, obtaining $2.75 million in debt forgiveness for achieving its Phase 2 job milestone, and agreeing to two new forgiveness milestone targets for Phase 3 (eligible for $2 million in forgiveness) and the Final Phase (eligible for $1 million in forgiveness) (the “2022 Amended DECD Loan Agreement”). Upon execution of this amendment in January 2023, we have paid the $2.0 million in principal and received $2.75 million in debt forgiveness, both of which were classified as current liabilities as of December. The terms of the 2022 Amended DECD Loan Agreement require the Company to make interest-only payments through July 2024 and principal and interest payments commencing in August 2024 through July 2029 at the same fixed annual interest rate of 2.0%.</w:t>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80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As of December 31, 2022, the long-term debt matures as follows (in thousands):</w:t>
            </w: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493"/>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2023 </w:t>
            </w:r>
            <w:r>
              <w:rPr>
                <w:rFonts w:ascii="Times New Roman" w:cs="Times New Roman" w:eastAsia="Times New Roman" w:hAnsi="Times New Roman"/>
                <w:sz w:val="20"/>
                <w:szCs w:val="20"/>
                <w:color w:val="989898"/>
              </w:rPr>
              <w:t>......................................................................................................................................................</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4,750</w:t>
            </w:r>
          </w:p>
        </w:tc>
      </w:tr>
      <w:tr>
        <w:trPr>
          <w:trHeight w:val="285"/>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2024 </w:t>
            </w:r>
            <w:r>
              <w:rPr>
                <w:rFonts w:ascii="Times New Roman" w:cs="Times New Roman" w:eastAsia="Times New Roman" w:hAnsi="Times New Roman"/>
                <w:sz w:val="20"/>
                <w:szCs w:val="20"/>
                <w:color w:val="989898"/>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w:t>
            </w:r>
          </w:p>
        </w:tc>
      </w:tr>
      <w:tr>
        <w:trPr>
          <w:trHeight w:val="285"/>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2025 </w:t>
            </w:r>
            <w:r>
              <w:rPr>
                <w:rFonts w:ascii="Times New Roman" w:cs="Times New Roman" w:eastAsia="Times New Roman" w:hAnsi="Times New Roman"/>
                <w:sz w:val="20"/>
                <w:szCs w:val="20"/>
                <w:color w:val="989898"/>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w:t>
            </w:r>
          </w:p>
        </w:tc>
      </w:tr>
      <w:tr>
        <w:trPr>
          <w:trHeight w:val="285"/>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2026 </w:t>
            </w:r>
            <w:r>
              <w:rPr>
                <w:rFonts w:ascii="Times New Roman" w:cs="Times New Roman" w:eastAsia="Times New Roman" w:hAnsi="Times New Roman"/>
                <w:sz w:val="20"/>
                <w:szCs w:val="20"/>
                <w:color w:val="989898"/>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1,234</w:t>
            </w:r>
          </w:p>
        </w:tc>
      </w:tr>
      <w:tr>
        <w:trPr>
          <w:trHeight w:val="285"/>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2027 </w:t>
            </w:r>
            <w:r>
              <w:rPr>
                <w:rFonts w:ascii="Times New Roman" w:cs="Times New Roman" w:eastAsia="Times New Roman" w:hAnsi="Times New Roman"/>
                <w:sz w:val="20"/>
                <w:szCs w:val="20"/>
                <w:color w:val="989898"/>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w:t>
            </w:r>
          </w:p>
        </w:tc>
      </w:tr>
      <w:tr>
        <w:trPr>
          <w:trHeight w:val="288"/>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Thereafter </w:t>
            </w:r>
            <w:r>
              <w:rPr>
                <w:rFonts w:ascii="Times New Roman" w:cs="Times New Roman" w:eastAsia="Times New Roman" w:hAnsi="Times New Roman"/>
                <w:sz w:val="20"/>
                <w:szCs w:val="20"/>
                <w:color w:val="989898"/>
                <w:w w:val="99"/>
              </w:rPr>
              <w:t>..............................................................................................................................................</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2,048</w:t>
            </w:r>
          </w:p>
        </w:tc>
      </w:tr>
      <w:tr>
        <w:trPr>
          <w:trHeight w:val="265"/>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Total maturities of long-term debt </w:t>
            </w:r>
            <w:r>
              <w:rPr>
                <w:rFonts w:ascii="Times New Roman" w:cs="Times New Roman" w:eastAsia="Times New Roman" w:hAnsi="Times New Roman"/>
                <w:sz w:val="20"/>
                <w:szCs w:val="20"/>
                <w:color w:val="989898"/>
              </w:rPr>
              <w:t>........................................................................................................</w:t>
            </w: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11,000</w:t>
            </w:r>
          </w:p>
        </w:tc>
      </w:tr>
      <w:tr>
        <w:trPr>
          <w:trHeight w:val="265"/>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Less: Current portion of long-term debt </w:t>
            </w:r>
            <w:r>
              <w:rPr>
                <w:rFonts w:ascii="Times New Roman" w:cs="Times New Roman" w:eastAsia="Times New Roman" w:hAnsi="Times New Roman"/>
                <w:sz w:val="20"/>
                <w:szCs w:val="20"/>
                <w:color w:val="989898"/>
              </w:rPr>
              <w:t>...............................................................................................</w:t>
            </w: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(4,750)</w:t>
            </w:r>
          </w:p>
        </w:tc>
      </w:tr>
      <w:tr>
        <w:trPr>
          <w:trHeight w:val="245"/>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Total long-term debt, net of current portion </w:t>
            </w:r>
            <w:r>
              <w:rPr>
                <w:rFonts w:ascii="Times New Roman" w:cs="Times New Roman" w:eastAsia="Times New Roman" w:hAnsi="Times New Roman"/>
                <w:sz w:val="20"/>
                <w:szCs w:val="20"/>
                <w:color w:val="989898"/>
              </w:rPr>
              <w:t>.........................................................................................</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6,250</w:t>
            </w:r>
          </w:p>
        </w:tc>
      </w:tr>
      <w:tr>
        <w:trPr>
          <w:trHeight w:val="20"/>
        </w:trPr>
        <w:tc>
          <w:tcPr>
            <w:tcW w:w="8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-1659890</wp:posOffset>
            </wp:positionV>
            <wp:extent cx="5969000" cy="1666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55">
                      <a:extLst>
                        <a:ext uri="{28A0092B-C50C-407E-A947-70E740481C1C}"/>
                      </a:extLst>
                    </a:blip>
                    <a:srcRect/>
                    <a:stretch>
                      <a:fillRect/>
                    </a:stretch>
                  </pic:blipFill>
                  <pic:spPr bwMode="auto">
                    <a:xfrm>
                      <a:off x="0" y="0"/>
                      <a:ext cx="5969000" cy="1666875"/>
                    </a:xfrm>
                    <a:prstGeom prst="rect">
                      <a:avLst/>
                    </a:prstGeom>
                    <a:noFill/>
                  </pic:spPr>
                </pic:pic>
              </a:graphicData>
            </a:graphic>
          </wp:anchor>
        </w:drawing>
      </w:r>
    </w:p>
    <w:p>
      <w:pPr>
        <w:spacing w:after="0" w:line="16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Debt due to the DECD is collateralized by providing a security interest in certain machinery and equipment the Company holds at its Stamford headquarters, as defined in a separate security agreement. The DECD Security Agreement provides a security for the payment and performance of meeting the Company’s obligations to the DECD until the obligations have been fully satisfied.</w:t>
      </w:r>
    </w:p>
    <w:p>
      <w:pPr>
        <w:spacing w:after="0" w:line="136" w:lineRule="exact"/>
        <w:rPr>
          <w:sz w:val="20"/>
          <w:szCs w:val="20"/>
          <w:color w:val="auto"/>
        </w:rPr>
      </w:pPr>
    </w:p>
    <w:p>
      <w:pPr>
        <w:ind w:left="720" w:hanging="720"/>
        <w:spacing w:after="0"/>
        <w:tabs>
          <w:tab w:leader="none" w:pos="72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 Accounting</w:t>
      </w:r>
    </w:p>
    <w:p>
      <w:pPr>
        <w:spacing w:after="0" w:line="227" w:lineRule="exact"/>
        <w:rPr>
          <w:sz w:val="20"/>
          <w:szCs w:val="20"/>
          <w:color w:val="auto"/>
        </w:rPr>
      </w:pPr>
    </w:p>
    <w:p>
      <w:pPr>
        <w:jc w:val="both"/>
        <w:ind w:firstLine="360"/>
        <w:spacing w:after="0" w:line="284" w:lineRule="auto"/>
        <w:rPr>
          <w:sz w:val="20"/>
          <w:szCs w:val="20"/>
          <w:color w:val="auto"/>
        </w:rPr>
      </w:pPr>
      <w:r>
        <w:rPr>
          <w:rFonts w:ascii="Times New Roman" w:cs="Times New Roman" w:eastAsia="Times New Roman" w:hAnsi="Times New Roman"/>
          <w:sz w:val="20"/>
          <w:szCs w:val="20"/>
          <w:color w:val="auto"/>
        </w:rPr>
        <w:t>The Company adopted ASC 842 on January 1, 2022 on a modified retrospective basis. As a result, the Company’s lease disclosures as of and for the year ended December 31, 2022 are reported under ASC 842. Comparative financial information as of and for the years ended December 31, 2021 and 2022 have not been restated and continues to be reported under ASC 840, the lease accounting standard in effect for that period.</w:t>
      </w:r>
    </w:p>
    <w:p>
      <w:pPr>
        <w:spacing w:after="0" w:line="12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The Company enters into contracts in the normal course of business and assesses whether any such contracts contain a lease. The Company determines if an arrangement is a lease at inception if it conveys the right to control the identified asset for a period of time in exchange for consideration. The Company classifies leases as operating or financing in nature. All lease liabilities are measured at the present value of the associated payments, discounted using the Company’s incremental borrowing rate determined based on the rate of interest that the Company would pay to borrow on a collateralized basis an amount equal to the lease payments for similar term and in a similar</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137</w:t>
      </w:r>
    </w:p>
    <w:p>
      <w:pPr>
        <w:sectPr>
          <w:pgSz w:w="12240" w:h="15840" w:orient="portrait"/>
          <w:cols w:equalWidth="0" w:num="1">
            <w:col w:w="9360"/>
          </w:cols>
          <w:pgMar w:left="1440" w:top="1378" w:right="1440" w:bottom="0" w:gutter="0" w:footer="0" w:header="0"/>
          <w:type w:val="continuous"/>
        </w:sectPr>
      </w:pPr>
    </w:p>
    <w:bookmarkStart w:id="126" w:name="page127"/>
    <w:bookmarkEnd w:id="126"/>
    <w:p>
      <w:pPr>
        <w:jc w:val="both"/>
        <w:spacing w:after="0" w:line="281" w:lineRule="auto"/>
        <w:rPr>
          <w:sz w:val="20"/>
          <w:szCs w:val="20"/>
          <w:color w:val="auto"/>
        </w:rPr>
      </w:pPr>
      <w:r>
        <w:rPr>
          <w:rFonts w:ascii="Times New Roman" w:cs="Times New Roman" w:eastAsia="Times New Roman" w:hAnsi="Times New Roman"/>
          <w:sz w:val="20"/>
          <w:szCs w:val="20"/>
          <w:color w:val="auto"/>
        </w:rPr>
        <w:t>economic environment on a collateralized basis, unless there is a rate implicit in the lease that is readily determinable.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Leases</w:t>
      </w:r>
    </w:p>
    <w:p>
      <w:pPr>
        <w:spacing w:after="0" w:line="21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Company's operating lease arrangements are principally for office space and laboratory facilities. The Company’s headquarter lease was initially entered into via sub-lease agreements with ISMMS and a third party and they will expire in 2034. We also entered into a separate lease with a third party for space in the same building as our headquarters and that lease expires in 2029. The agreements include escalating rent and rent-free period provisions. Pursuant to the terms of the lease agreement, the Company was required to have issued an irrevocable standby letter of credit to the lessor for $0.9 million, which was included in restricted cash, non-current on the consolidated balance sheets as of December 31, 2021 and 2022. The Company identified impairment indicators with respect to certain office space which was determined to be excess. The Company performed quantitative analysis as of December 31, 2022. The fair value was determined primarily based on estimating sublease income for the lease and discount rate. The Company utilized third party information in the estimation process. Based on the analysis, the Company recorded an impairment charge of $10.0 million.</w:t>
      </w:r>
    </w:p>
    <w:p>
      <w:pPr>
        <w:spacing w:after="0" w:line="173"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In April 2019, the Company entered into a sublease agreement to rent a building to be used for office and laboratory facility (the “Stamford Lease”) for a base term of 325 months, expiring in October 2046. The Company has the option to renew the lease at the end of the initial base term for either one period of 10 years, or two periods of 5 years. There is also an early termination option in which the Company may cancel the lease after the 196th month with cancellation fees. At inception of the Stamford Lease, the value of the land was determined to be more than 25% of the total value and therefore the building is accounted for as a finance lease and the land as an operating lease.</w:t>
      </w:r>
    </w:p>
    <w:p>
      <w:pPr>
        <w:spacing w:after="0" w:line="17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In January 2020, the Company entered into a lease agreement which expanded the Company’s existing laboratory facility in Branford, Connecticut. The lease commenced in February 2020 with a 10 year term. The lease includes escalating rent fees over the lease term.</w:t>
      </w:r>
    </w:p>
    <w:p>
      <w:pPr>
        <w:spacing w:after="0" w:line="15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In April 2022, the Company acquired an operating lease for office space and laboratory operations in Gaithersburg, Maryland, in connection with the Acquisition. The lease includes a base term of 9 years remaining from the date of acquisition and an escalating rent provision.</w:t>
      </w:r>
    </w:p>
    <w:p>
      <w:pPr>
        <w:spacing w:after="0" w:line="155"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In July 2022, the Company executed a lease agreement to extend the lease term of existing office spaces in New York, New York, commencing in September 2022 for a period of 13 months.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Finance Leases</w:t>
      </w:r>
    </w:p>
    <w:p>
      <w:pPr>
        <w:spacing w:after="0" w:line="21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The Company enters into various finance lease agreements to obtain laboratory equipment that contain bargain purchase commitments at the end of the lease term. The leases are secured by the underlying equipment. As discussed above, the Company also leases a building used for office and laboratory space in which the building is accounted for as a finance lease and the land is as an operating lease. The interest rate used for the Stamford Lease is 13.1%, which is used to measure the operating and finance lease liability. During the prior year, the Company accounted for finance leases under ASC 840 as capital leases. As of December 31, 2021, the finance lease obligations of $3.4 million and $18.4 million were included in other current liabilities and other liabilities, respectively on the consolidated balance sheets.</w:t>
      </w:r>
    </w:p>
    <w:p>
      <w:pPr>
        <w:spacing w:after="0" w:line="17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The tables below present financial information associated with the Company’s leases. This information is presented as of, and for the year ended, December 31, 2022 because, the Company adopted the ASC 842 using a transition method that does not require application to periods prior to adoption (in thousands).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138</w:t>
      </w:r>
    </w:p>
    <w:p>
      <w:pPr>
        <w:sectPr>
          <w:pgSz w:w="12240" w:h="15840" w:orient="portrait"/>
          <w:cols w:equalWidth="0" w:num="1">
            <w:col w:w="9360"/>
          </w:cols>
          <w:pgMar w:left="1440" w:top="1378" w:right="1440" w:bottom="0" w:gutter="0" w:footer="0" w:header="0"/>
          <w:type w:val="continuous"/>
        </w:sectPr>
      </w:pPr>
    </w:p>
    <w:bookmarkStart w:id="127" w:name="page128"/>
    <w:bookmarkEnd w:id="127"/>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120" w:type="dxa"/>
            <w:vAlign w:val="bottom"/>
          </w:tcPr>
          <w:p>
            <w:pPr>
              <w:ind w:left="9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4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7"/>
              </w:rPr>
              <w:t>Assets</w:t>
            </w:r>
          </w:p>
        </w:tc>
        <w:tc>
          <w:tcPr>
            <w:tcW w:w="2220" w:type="dxa"/>
            <w:vAlign w:val="bottom"/>
            <w:gridSpan w:val="2"/>
          </w:tcPr>
          <w:p>
            <w:pPr>
              <w:spacing w:after="0"/>
              <w:rPr>
                <w:sz w:val="21"/>
                <w:szCs w:val="21"/>
                <w:color w:val="auto"/>
              </w:rPr>
            </w:pPr>
          </w:p>
        </w:tc>
        <w:tc>
          <w:tcPr>
            <w:tcW w:w="5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338"/>
        </w:trPr>
        <w:tc>
          <w:tcPr>
            <w:tcW w:w="27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Operating lease assets</w:t>
            </w:r>
          </w:p>
        </w:tc>
        <w:tc>
          <w:tcPr>
            <w:tcW w:w="51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32,758</w:t>
            </w:r>
          </w:p>
        </w:tc>
      </w:tr>
      <w:tr>
        <w:trPr>
          <w:trHeight w:val="318"/>
        </w:trPr>
        <w:tc>
          <w:tcPr>
            <w:tcW w:w="27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Finance lease assets</w:t>
            </w:r>
          </w:p>
        </w:tc>
        <w:tc>
          <w:tcPr>
            <w:tcW w:w="51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8,604</w:t>
            </w:r>
          </w:p>
        </w:tc>
      </w:tr>
      <w:tr>
        <w:trPr>
          <w:trHeight w:val="295"/>
        </w:trPr>
        <w:tc>
          <w:tcPr>
            <w:tcW w:w="27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Total lease assets</w:t>
            </w:r>
          </w:p>
        </w:tc>
        <w:tc>
          <w:tcPr>
            <w:tcW w:w="512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41,362</w:t>
            </w:r>
          </w:p>
        </w:tc>
      </w:tr>
      <w:tr>
        <w:trPr>
          <w:trHeight w:val="564"/>
        </w:trPr>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Liabilities</w:t>
            </w:r>
          </w:p>
        </w:tc>
        <w:tc>
          <w:tcPr>
            <w:tcW w:w="19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38"/>
        </w:trPr>
        <w:tc>
          <w:tcPr>
            <w:tcW w:w="27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15"/>
        </w:trPr>
        <w:tc>
          <w:tcPr>
            <w:tcW w:w="27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Operating</w:t>
            </w:r>
          </w:p>
        </w:tc>
        <w:tc>
          <w:tcPr>
            <w:tcW w:w="51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Short-term lease liabilities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2,409</w:t>
            </w:r>
          </w:p>
        </w:tc>
      </w:tr>
      <w:tr>
        <w:trPr>
          <w:trHeight w:val="315"/>
        </w:trPr>
        <w:tc>
          <w:tcPr>
            <w:tcW w:w="27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Finance</w:t>
            </w:r>
          </w:p>
        </w:tc>
        <w:tc>
          <w:tcPr>
            <w:tcW w:w="51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Short-term lease liabilities</w:t>
            </w:r>
          </w:p>
        </w:tc>
        <w:tc>
          <w:tcPr>
            <w:tcW w:w="240" w:type="dxa"/>
            <w:vAlign w:val="bottom"/>
          </w:tcPr>
          <w:p>
            <w:pPr>
              <w:spacing w:after="0"/>
              <w:rPr>
                <w:sz w:val="24"/>
                <w:szCs w:val="24"/>
                <w:color w:val="auto"/>
              </w:rPr>
            </w:pPr>
          </w:p>
        </w:tc>
        <w:tc>
          <w:tcPr>
            <w:tcW w:w="1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3,712</w:t>
            </w:r>
          </w:p>
        </w:tc>
      </w:tr>
      <w:tr>
        <w:trPr>
          <w:trHeight w:val="630"/>
        </w:trPr>
        <w:tc>
          <w:tcPr>
            <w:tcW w:w="27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Non-current</w:t>
            </w:r>
          </w:p>
        </w:tc>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15"/>
        </w:trPr>
        <w:tc>
          <w:tcPr>
            <w:tcW w:w="27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Operating</w:t>
            </w:r>
          </w:p>
        </w:tc>
        <w:tc>
          <w:tcPr>
            <w:tcW w:w="51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Long-term lease liabilities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44,468</w:t>
            </w:r>
          </w:p>
        </w:tc>
      </w:tr>
      <w:tr>
        <w:trPr>
          <w:trHeight w:val="318"/>
        </w:trPr>
        <w:tc>
          <w:tcPr>
            <w:tcW w:w="27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Finance</w:t>
            </w:r>
          </w:p>
        </w:tc>
        <w:tc>
          <w:tcPr>
            <w:tcW w:w="51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Long-term lease liabilities</w:t>
            </w: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15,545</w:t>
            </w:r>
          </w:p>
        </w:tc>
      </w:tr>
      <w:tr>
        <w:trPr>
          <w:trHeight w:val="295"/>
        </w:trPr>
        <w:tc>
          <w:tcPr>
            <w:tcW w:w="27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Total lease liabilities</w:t>
            </w:r>
          </w:p>
        </w:tc>
        <w:tc>
          <w:tcPr>
            <w:tcW w:w="512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66,134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-2818765</wp:posOffset>
            </wp:positionV>
            <wp:extent cx="6311900" cy="29305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56">
                      <a:extLst>
                        <a:ext uri="{28A0092B-C50C-407E-A947-70E740481C1C}"/>
                      </a:extLst>
                    </a:blip>
                    <a:srcRect/>
                    <a:stretch>
                      <a:fillRect/>
                    </a:stretch>
                  </pic:blipFill>
                  <pic:spPr bwMode="auto">
                    <a:xfrm>
                      <a:off x="0" y="0"/>
                      <a:ext cx="6311900" cy="293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7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180" w:type="dxa"/>
            <w:vAlign w:val="bottom"/>
          </w:tcPr>
          <w:p>
            <w:pPr>
              <w:spacing w:after="0"/>
              <w:rPr>
                <w:sz w:val="16"/>
                <w:szCs w:val="16"/>
                <w:color w:val="auto"/>
              </w:rPr>
            </w:pPr>
          </w:p>
        </w:tc>
        <w:tc>
          <w:tcPr>
            <w:tcW w:w="198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0" w:type="dxa"/>
            <w:vAlign w:val="bottom"/>
          </w:tcPr>
          <w:p>
            <w:pPr>
              <w:spacing w:after="0"/>
              <w:rPr>
                <w:sz w:val="1"/>
                <w:szCs w:val="1"/>
                <w:color w:val="auto"/>
              </w:rPr>
            </w:pPr>
          </w:p>
        </w:tc>
      </w:tr>
      <w:tr>
        <w:trPr>
          <w:trHeight w:val="214"/>
        </w:trPr>
        <w:tc>
          <w:tcPr>
            <w:tcW w:w="714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92"/>
        </w:trPr>
        <w:tc>
          <w:tcPr>
            <w:tcW w:w="7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lease cost</w:t>
            </w: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Operating lease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6,044</w:t>
            </w:r>
          </w:p>
        </w:tc>
        <w:tc>
          <w:tcPr>
            <w:tcW w:w="0" w:type="dxa"/>
            <w:vAlign w:val="bottom"/>
          </w:tcPr>
          <w:p>
            <w:pPr>
              <w:spacing w:after="0"/>
              <w:rPr>
                <w:sz w:val="1"/>
                <w:szCs w:val="1"/>
                <w:color w:val="auto"/>
              </w:rPr>
            </w:pPr>
          </w:p>
        </w:tc>
      </w:tr>
      <w:tr>
        <w:trPr>
          <w:trHeight w:val="315"/>
        </w:trPr>
        <w:tc>
          <w:tcPr>
            <w:tcW w:w="7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Short-term lease cost</w:t>
            </w:r>
          </w:p>
        </w:tc>
        <w:tc>
          <w:tcPr>
            <w:tcW w:w="1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1,131</w:t>
            </w:r>
          </w:p>
        </w:tc>
        <w:tc>
          <w:tcPr>
            <w:tcW w:w="0" w:type="dxa"/>
            <w:vAlign w:val="bottom"/>
          </w:tcPr>
          <w:p>
            <w:pPr>
              <w:spacing w:after="0"/>
              <w:rPr>
                <w:sz w:val="1"/>
                <w:szCs w:val="1"/>
                <w:color w:val="auto"/>
              </w:rPr>
            </w:pPr>
          </w:p>
        </w:tc>
      </w:tr>
      <w:tr>
        <w:trPr>
          <w:trHeight w:val="318"/>
        </w:trPr>
        <w:tc>
          <w:tcPr>
            <w:tcW w:w="7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Variable lease cost</w:t>
            </w: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1,111</w:t>
            </w:r>
          </w:p>
        </w:tc>
        <w:tc>
          <w:tcPr>
            <w:tcW w:w="0" w:type="dxa"/>
            <w:vAlign w:val="bottom"/>
          </w:tcPr>
          <w:p>
            <w:pPr>
              <w:spacing w:after="0"/>
              <w:rPr>
                <w:sz w:val="1"/>
                <w:szCs w:val="1"/>
                <w:color w:val="auto"/>
              </w:rPr>
            </w:pPr>
          </w:p>
        </w:tc>
      </w:tr>
      <w:tr>
        <w:trPr>
          <w:trHeight w:val="292"/>
        </w:trPr>
        <w:tc>
          <w:tcPr>
            <w:tcW w:w="7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operating lease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8,286</w:t>
            </w:r>
          </w:p>
        </w:tc>
        <w:tc>
          <w:tcPr>
            <w:tcW w:w="0" w:type="dxa"/>
            <w:vAlign w:val="bottom"/>
          </w:tcPr>
          <w:p>
            <w:pPr>
              <w:spacing w:after="0"/>
              <w:rPr>
                <w:sz w:val="1"/>
                <w:szCs w:val="1"/>
                <w:color w:val="auto"/>
              </w:rPr>
            </w:pPr>
          </w:p>
        </w:tc>
      </w:tr>
      <w:tr>
        <w:trPr>
          <w:trHeight w:val="420"/>
        </w:trPr>
        <w:tc>
          <w:tcPr>
            <w:tcW w:w="7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Finance lease cost</w:t>
            </w: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Depreciation and amortization of leased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5,518</w:t>
            </w:r>
          </w:p>
        </w:tc>
        <w:tc>
          <w:tcPr>
            <w:tcW w:w="0" w:type="dxa"/>
            <w:vAlign w:val="bottom"/>
          </w:tcPr>
          <w:p>
            <w:pPr>
              <w:spacing w:after="0"/>
              <w:rPr>
                <w:sz w:val="1"/>
                <w:szCs w:val="1"/>
                <w:color w:val="auto"/>
              </w:rPr>
            </w:pPr>
          </w:p>
        </w:tc>
      </w:tr>
      <w:tr>
        <w:trPr>
          <w:trHeight w:val="318"/>
        </w:trPr>
        <w:tc>
          <w:tcPr>
            <w:tcW w:w="7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 on lease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2,152</w:t>
            </w:r>
          </w:p>
        </w:tc>
        <w:tc>
          <w:tcPr>
            <w:tcW w:w="0" w:type="dxa"/>
            <w:vAlign w:val="bottom"/>
          </w:tcPr>
          <w:p>
            <w:pPr>
              <w:spacing w:after="0"/>
              <w:rPr>
                <w:sz w:val="1"/>
                <w:szCs w:val="1"/>
                <w:color w:val="auto"/>
              </w:rPr>
            </w:pPr>
          </w:p>
        </w:tc>
      </w:tr>
      <w:tr>
        <w:trPr>
          <w:trHeight w:val="295"/>
        </w:trPr>
        <w:tc>
          <w:tcPr>
            <w:tcW w:w="7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finance lease cost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7,670</w:t>
            </w:r>
          </w:p>
        </w:tc>
        <w:tc>
          <w:tcPr>
            <w:tcW w:w="0" w:type="dxa"/>
            <w:vAlign w:val="bottom"/>
          </w:tcPr>
          <w:p>
            <w:pPr>
              <w:spacing w:after="0"/>
              <w:rPr>
                <w:sz w:val="1"/>
                <w:szCs w:val="1"/>
                <w:color w:val="auto"/>
              </w:rPr>
            </w:pPr>
          </w:p>
        </w:tc>
      </w:tr>
      <w:tr>
        <w:trPr>
          <w:trHeight w:val="295"/>
        </w:trPr>
        <w:tc>
          <w:tcPr>
            <w:tcW w:w="714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-2066290</wp:posOffset>
            </wp:positionV>
            <wp:extent cx="5959475" cy="2073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57">
                      <a:extLst>
                        <a:ext uri="{28A0092B-C50C-407E-A947-70E740481C1C}"/>
                      </a:extLst>
                    </a:blip>
                    <a:srcRect/>
                    <a:stretch>
                      <a:fillRect/>
                    </a:stretch>
                  </pic:blipFill>
                  <pic:spPr bwMode="auto">
                    <a:xfrm>
                      <a:off x="0" y="0"/>
                      <a:ext cx="5959475" cy="2073275"/>
                    </a:xfrm>
                    <a:prstGeom prst="rect">
                      <a:avLst/>
                    </a:prstGeom>
                    <a:noFill/>
                  </pic:spPr>
                </pic:pic>
              </a:graphicData>
            </a:graphic>
          </wp:anchor>
        </w:drawing>
      </w:r>
    </w:p>
    <w:p>
      <w:pPr>
        <w:sectPr>
          <w:pgSz w:w="12240" w:h="15840" w:orient="portrait"/>
          <w:cols w:equalWidth="0" w:num="1">
            <w:col w:w="9860"/>
          </w:cols>
          <w:pgMar w:left="1220" w:top="144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139</w:t>
      </w:r>
    </w:p>
    <w:p>
      <w:pPr>
        <w:sectPr>
          <w:pgSz w:w="12240" w:h="15840" w:orient="portrait"/>
          <w:cols w:equalWidth="0" w:num="1">
            <w:col w:w="9860"/>
          </w:cols>
          <w:pgMar w:left="1220" w:top="1440" w:right="1160" w:bottom="0" w:gutter="0" w:footer="0" w:header="0"/>
          <w:type w:val="continuous"/>
        </w:sectPr>
      </w:pPr>
    </w:p>
    <w:bookmarkStart w:id="128" w:name="page129"/>
    <w:bookmarkEnd w:id="128"/>
    <w:p>
      <w:pPr>
        <w:ind w:left="580"/>
        <w:spacing w:after="0"/>
        <w:rPr>
          <w:sz w:val="20"/>
          <w:szCs w:val="20"/>
          <w:color w:val="auto"/>
        </w:rPr>
      </w:pPr>
      <w:r>
        <w:rPr>
          <w:rFonts w:ascii="Times New Roman" w:cs="Times New Roman" w:eastAsia="Times New Roman" w:hAnsi="Times New Roman"/>
          <w:sz w:val="20"/>
          <w:szCs w:val="20"/>
          <w:color w:val="auto"/>
        </w:rPr>
        <w:t>Future minimum lease payments under non-cancellable leases as of December 31, 2022 are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Maturity of lease liabilities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92"/>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4,597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3,729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8,326</w:t>
            </w:r>
          </w:p>
        </w:tc>
      </w:tr>
      <w:tr>
        <w:trPr>
          <w:trHeight w:val="315"/>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280" w:type="dxa"/>
            <w:vAlign w:val="bottom"/>
          </w:tcPr>
          <w:p>
            <w:pPr>
              <w:spacing w:after="0"/>
              <w:rPr>
                <w:sz w:val="24"/>
                <w:szCs w:val="24"/>
                <w:color w:val="auto"/>
              </w:rPr>
            </w:pP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5,521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2,763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8,284</w:t>
            </w:r>
          </w:p>
        </w:tc>
      </w:tr>
      <w:tr>
        <w:trPr>
          <w:trHeight w:val="315"/>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80" w:type="dxa"/>
            <w:vAlign w:val="bottom"/>
          </w:tcPr>
          <w:p>
            <w:pPr>
              <w:spacing w:after="0"/>
              <w:rPr>
                <w:sz w:val="24"/>
                <w:szCs w:val="24"/>
                <w:color w:val="auto"/>
              </w:rPr>
            </w:pP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5,952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2,451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8,403</w:t>
            </w:r>
          </w:p>
        </w:tc>
      </w:tr>
      <w:tr>
        <w:trPr>
          <w:trHeight w:val="315"/>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80" w:type="dxa"/>
            <w:vAlign w:val="bottom"/>
          </w:tcPr>
          <w:p>
            <w:pPr>
              <w:spacing w:after="0"/>
              <w:rPr>
                <w:sz w:val="24"/>
                <w:szCs w:val="24"/>
                <w:color w:val="auto"/>
              </w:rPr>
            </w:pP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6,103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2,003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8,106</w:t>
            </w:r>
          </w:p>
        </w:tc>
      </w:tr>
      <w:tr>
        <w:trPr>
          <w:trHeight w:val="315"/>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80" w:type="dxa"/>
            <w:vAlign w:val="bottom"/>
          </w:tcPr>
          <w:p>
            <w:pPr>
              <w:spacing w:after="0"/>
              <w:rPr>
                <w:sz w:val="24"/>
                <w:szCs w:val="24"/>
                <w:color w:val="auto"/>
              </w:rPr>
            </w:pP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6,251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2,045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8,296</w:t>
            </w:r>
          </w:p>
        </w:tc>
      </w:tr>
      <w:tr>
        <w:trPr>
          <w:trHeight w:val="318"/>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51,640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47,839</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99,479</w:t>
            </w:r>
          </w:p>
        </w:tc>
      </w:tr>
      <w:tr>
        <w:trPr>
          <w:trHeight w:val="292"/>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Pr>
          <w:p>
            <w:pPr>
              <w:spacing w:after="0"/>
              <w:rPr>
                <w:sz w:val="24"/>
                <w:szCs w:val="24"/>
                <w:color w:val="auto"/>
              </w:rPr>
            </w:pP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80,064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60,830</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140,894</w:t>
            </w:r>
          </w:p>
        </w:tc>
      </w:tr>
      <w:tr>
        <w:trPr>
          <w:trHeight w:val="318"/>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(33,187)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(41,573)</w:t>
            </w:r>
          </w:p>
        </w:tc>
        <w:tc>
          <w:tcPr>
            <w:tcW w:w="60" w:type="dxa"/>
            <w:vAlign w:val="bottom"/>
          </w:tcPr>
          <w:p>
            <w:pPr>
              <w:spacing w:after="0"/>
              <w:rPr>
                <w:sz w:val="24"/>
                <w:szCs w:val="24"/>
                <w:color w:val="auto"/>
              </w:rPr>
            </w:pPr>
          </w:p>
        </w:tc>
        <w:tc>
          <w:tcPr>
            <w:tcW w:w="3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(74,760)</w:t>
            </w:r>
          </w:p>
        </w:tc>
      </w:tr>
      <w:tr>
        <w:trPr>
          <w:trHeight w:val="295"/>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Present value of lease liabilities</w:t>
            </w: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46,877</w:t>
            </w: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19,257</w:t>
            </w:r>
          </w:p>
        </w:tc>
        <w:tc>
          <w:tcPr>
            <w:tcW w:w="60" w:type="dxa"/>
            <w:vAlign w:val="bottom"/>
          </w:tcPr>
          <w:p>
            <w:pPr>
              <w:spacing w:after="0"/>
              <w:rPr>
                <w:sz w:val="24"/>
                <w:szCs w:val="24"/>
                <w:color w:val="auto"/>
              </w:rPr>
            </w:pPr>
          </w:p>
        </w:tc>
        <w:tc>
          <w:tcPr>
            <w:tcW w:w="3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66,134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-1818640</wp:posOffset>
            </wp:positionV>
            <wp:extent cx="6311900" cy="18256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58">
                      <a:extLst>
                        <a:ext uri="{28A0092B-C50C-407E-A947-70E740481C1C}"/>
                      </a:extLst>
                    </a:blip>
                    <a:srcRect/>
                    <a:stretch>
                      <a:fillRect/>
                    </a:stretch>
                  </pic:blipFill>
                  <pic:spPr bwMode="auto">
                    <a:xfrm>
                      <a:off x="0" y="0"/>
                      <a:ext cx="6311900" cy="1825625"/>
                    </a:xfrm>
                    <a:prstGeom prst="rect">
                      <a:avLst/>
                    </a:prstGeom>
                    <a:noFill/>
                  </pic:spPr>
                </pic:pic>
              </a:graphicData>
            </a:graphic>
          </wp:anchor>
        </w:drawing>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Other information related to leases as of and for the year ended December 31, 2022 are as follows:</w:t>
      </w:r>
    </w:p>
    <w:p>
      <w:pPr>
        <w:spacing w:after="0" w:line="340"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2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49"/>
        </w:trPr>
        <w:tc>
          <w:tcPr>
            <w:tcW w:w="4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9"/>
              </w:rPr>
              <w:t>Weighted-average remaining lease term (years)</w:t>
            </w:r>
          </w:p>
        </w:tc>
        <w:tc>
          <w:tcPr>
            <w:tcW w:w="1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338"/>
        </w:trPr>
        <w:tc>
          <w:tcPr>
            <w:tcW w:w="59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Operating leases</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jc w:val="right"/>
              <w:ind w:right="723"/>
              <w:spacing w:after="0"/>
              <w:rPr>
                <w:sz w:val="20"/>
                <w:szCs w:val="20"/>
                <w:color w:val="auto"/>
              </w:rPr>
            </w:pPr>
            <w:r>
              <w:rPr>
                <w:rFonts w:ascii="Times New Roman" w:cs="Times New Roman" w:eastAsia="Times New Roman" w:hAnsi="Times New Roman"/>
                <w:sz w:val="20"/>
                <w:szCs w:val="20"/>
                <w:color w:val="auto"/>
              </w:rPr>
              <w:t>12.2</w:t>
            </w:r>
          </w:p>
        </w:tc>
      </w:tr>
      <w:tr>
        <w:trPr>
          <w:trHeight w:val="315"/>
        </w:trPr>
        <w:tc>
          <w:tcPr>
            <w:tcW w:w="59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Finance leases</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jc w:val="right"/>
              <w:ind w:right="723"/>
              <w:spacing w:after="0"/>
              <w:rPr>
                <w:sz w:val="20"/>
                <w:szCs w:val="20"/>
                <w:color w:val="auto"/>
              </w:rPr>
            </w:pPr>
            <w:r>
              <w:rPr>
                <w:rFonts w:ascii="Times New Roman" w:cs="Times New Roman" w:eastAsia="Times New Roman" w:hAnsi="Times New Roman"/>
                <w:sz w:val="20"/>
                <w:szCs w:val="20"/>
                <w:color w:val="auto"/>
              </w:rPr>
              <w:t>19.0</w:t>
            </w:r>
          </w:p>
        </w:tc>
      </w:tr>
      <w:tr>
        <w:trPr>
          <w:trHeight w:val="377"/>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9"/>
              </w:rPr>
              <w:t>Weighted-average discount rate</w:t>
            </w:r>
          </w:p>
        </w:tc>
        <w:tc>
          <w:tcPr>
            <w:tcW w:w="3240" w:type="dxa"/>
            <w:vAlign w:val="bottom"/>
            <w:gridSpan w:val="2"/>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8"/>
        </w:trPr>
        <w:tc>
          <w:tcPr>
            <w:tcW w:w="59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Operating leases</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jc w:val="right"/>
              <w:ind w:right="663"/>
              <w:spacing w:after="0"/>
              <w:rPr>
                <w:sz w:val="20"/>
                <w:szCs w:val="20"/>
                <w:color w:val="auto"/>
              </w:rPr>
            </w:pPr>
            <w:r>
              <w:rPr>
                <w:rFonts w:ascii="Times New Roman" w:cs="Times New Roman" w:eastAsia="Times New Roman" w:hAnsi="Times New Roman"/>
                <w:sz w:val="20"/>
                <w:szCs w:val="20"/>
                <w:color w:val="auto"/>
              </w:rPr>
              <w:t>6.9%</w:t>
            </w:r>
          </w:p>
        </w:tc>
      </w:tr>
      <w:tr>
        <w:trPr>
          <w:trHeight w:val="315"/>
        </w:trPr>
        <w:tc>
          <w:tcPr>
            <w:tcW w:w="59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Finance leases</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jc w:val="right"/>
              <w:ind w:right="623"/>
              <w:spacing w:after="0"/>
              <w:rPr>
                <w:sz w:val="20"/>
                <w:szCs w:val="20"/>
                <w:color w:val="auto"/>
              </w:rPr>
            </w:pPr>
            <w:r>
              <w:rPr>
                <w:rFonts w:ascii="Times New Roman" w:cs="Times New Roman" w:eastAsia="Times New Roman" w:hAnsi="Times New Roman"/>
                <w:sz w:val="20"/>
                <w:szCs w:val="20"/>
                <w:color w:val="auto"/>
              </w:rPr>
              <w:t>11.2%</w:t>
            </w:r>
          </w:p>
        </w:tc>
      </w:tr>
      <w:tr>
        <w:trPr>
          <w:trHeight w:val="377"/>
        </w:trPr>
        <w:tc>
          <w:tcPr>
            <w:tcW w:w="5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w w:val="99"/>
              </w:rPr>
              <w:t>Cash paid for amounts included in the measurement of lease liabilities</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8"/>
        </w:trPr>
        <w:tc>
          <w:tcPr>
            <w:tcW w:w="59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4,183</w:t>
            </w:r>
          </w:p>
        </w:tc>
      </w:tr>
      <w:tr>
        <w:trPr>
          <w:trHeight w:val="315"/>
        </w:trPr>
        <w:tc>
          <w:tcPr>
            <w:tcW w:w="59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Operating cash flows from finance leases</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2,225</w:t>
            </w:r>
          </w:p>
        </w:tc>
      </w:tr>
      <w:tr>
        <w:trPr>
          <w:trHeight w:val="315"/>
        </w:trPr>
        <w:tc>
          <w:tcPr>
            <w:tcW w:w="59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Financing cash flows from finance lease</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-2137410</wp:posOffset>
            </wp:positionV>
            <wp:extent cx="6073775" cy="21590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59">
                      <a:extLst>
                        <a:ext uri="{28A0092B-C50C-407E-A947-70E740481C1C}"/>
                      </a:extLst>
                    </a:blip>
                    <a:srcRect/>
                    <a:stretch>
                      <a:fillRect/>
                    </a:stretch>
                  </pic:blipFill>
                  <pic:spPr bwMode="auto">
                    <a:xfrm>
                      <a:off x="0" y="0"/>
                      <a:ext cx="6073775" cy="215900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940" w:hanging="720"/>
        <w:spacing w:after="0"/>
        <w:tabs>
          <w:tab w:leader="none" w:pos="94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1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Purchase Obligations</w:t>
      </w:r>
    </w:p>
    <w:p>
      <w:pPr>
        <w:spacing w:after="0" w:line="199" w:lineRule="exact"/>
        <w:rPr>
          <w:sz w:val="20"/>
          <w:szCs w:val="20"/>
          <w:color w:val="auto"/>
        </w:rPr>
      </w:pPr>
    </w:p>
    <w:p>
      <w:pPr>
        <w:ind w:left="220" w:right="280" w:firstLine="360"/>
        <w:spacing w:after="0" w:line="281" w:lineRule="auto"/>
        <w:rPr>
          <w:sz w:val="20"/>
          <w:szCs w:val="20"/>
          <w:color w:val="auto"/>
        </w:rPr>
      </w:pPr>
      <w:r>
        <w:rPr>
          <w:rFonts w:ascii="Times New Roman" w:cs="Times New Roman" w:eastAsia="Times New Roman" w:hAnsi="Times New Roman"/>
          <w:sz w:val="20"/>
          <w:szCs w:val="20"/>
          <w:color w:val="auto"/>
        </w:rPr>
        <w:t>The following sets forth purchase obligations as of December 31, 2022 with a remaining term of at least one year (in thousands):</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181"/>
        </w:trPr>
        <w:tc>
          <w:tcPr>
            <w:tcW w:w="360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Contractual Obligations</w:t>
            </w:r>
          </w:p>
        </w:tc>
        <w:tc>
          <w:tcPr>
            <w:tcW w:w="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408"/>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8"/>
        </w:trPr>
        <w:tc>
          <w:tcPr>
            <w:tcW w:w="3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vMerge w:val="restart"/>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rPr>
              <w:t>Commitments</w:t>
            </w:r>
          </w:p>
        </w:tc>
        <w:tc>
          <w:tcPr>
            <w:tcW w:w="0" w:type="dxa"/>
            <w:vAlign w:val="bottom"/>
          </w:tcPr>
          <w:p>
            <w:pPr>
              <w:spacing w:after="0"/>
              <w:rPr>
                <w:sz w:val="1"/>
                <w:szCs w:val="1"/>
                <w:color w:val="auto"/>
              </w:rPr>
            </w:pPr>
          </w:p>
        </w:tc>
      </w:tr>
      <w:tr>
        <w:trPr>
          <w:trHeight w:val="96"/>
        </w:trPr>
        <w:tc>
          <w:tcPr>
            <w:tcW w:w="3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3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Software provider</w:t>
            </w:r>
          </w:p>
        </w:tc>
        <w:tc>
          <w:tcPr>
            <w:tcW w:w="60" w:type="dxa"/>
            <w:vAlign w:val="bottom"/>
          </w:tcPr>
          <w:p>
            <w:pPr>
              <w:spacing w:after="0"/>
              <w:rPr>
                <w:sz w:val="22"/>
                <w:szCs w:val="22"/>
                <w:color w:val="auto"/>
              </w:rPr>
            </w:pP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5,561</w:t>
            </w:r>
          </w:p>
        </w:tc>
        <w:tc>
          <w:tcPr>
            <w:tcW w:w="60" w:type="dxa"/>
            <w:vAlign w:val="bottom"/>
          </w:tcPr>
          <w:p>
            <w:pPr>
              <w:spacing w:after="0"/>
              <w:rPr>
                <w:sz w:val="22"/>
                <w:szCs w:val="22"/>
                <w:color w:val="auto"/>
              </w:rPr>
            </w:pP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2,436</w:t>
            </w:r>
          </w:p>
        </w:tc>
        <w:tc>
          <w:tcPr>
            <w:tcW w:w="60" w:type="dxa"/>
            <w:vAlign w:val="bottom"/>
          </w:tcPr>
          <w:p>
            <w:pPr>
              <w:spacing w:after="0"/>
              <w:rPr>
                <w:sz w:val="22"/>
                <w:szCs w:val="22"/>
                <w:color w:val="auto"/>
              </w:rPr>
            </w:pP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8,254</w:t>
            </w:r>
          </w:p>
        </w:tc>
        <w:tc>
          <w:tcPr>
            <w:tcW w:w="0" w:type="dxa"/>
            <w:vAlign w:val="bottom"/>
          </w:tcPr>
          <w:p>
            <w:pPr>
              <w:spacing w:after="0"/>
              <w:rPr>
                <w:sz w:val="1"/>
                <w:szCs w:val="1"/>
                <w:color w:val="auto"/>
              </w:rPr>
            </w:pPr>
          </w:p>
        </w:tc>
      </w:tr>
      <w:tr>
        <w:trPr>
          <w:trHeight w:val="266"/>
        </w:trPr>
        <w:tc>
          <w:tcPr>
            <w:tcW w:w="3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Equipment provider</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3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5,740</w:t>
            </w:r>
          </w:p>
        </w:tc>
        <w:tc>
          <w:tcPr>
            <w:tcW w:w="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2,618</w:t>
            </w:r>
          </w:p>
        </w:tc>
        <w:tc>
          <w:tcPr>
            <w:tcW w:w="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396</w:t>
            </w: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8,754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-583565</wp:posOffset>
            </wp:positionV>
            <wp:extent cx="5969000" cy="5905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60">
                      <a:extLst>
                        <a:ext uri="{28A0092B-C50C-407E-A947-70E740481C1C}"/>
                      </a:extLst>
                    </a:blip>
                    <a:srcRect/>
                    <a:stretch>
                      <a:fillRect/>
                    </a:stretch>
                  </pic:blipFill>
                  <pic:spPr bwMode="auto">
                    <a:xfrm>
                      <a:off x="0" y="0"/>
                      <a:ext cx="5969000" cy="590550"/>
                    </a:xfrm>
                    <a:prstGeom prst="rect">
                      <a:avLst/>
                    </a:prstGeom>
                    <a:noFill/>
                  </pic:spPr>
                </pic:pic>
              </a:graphicData>
            </a:graphic>
          </wp:anchor>
        </w:drawing>
      </w:r>
    </w:p>
    <w:p>
      <w:pPr>
        <w:spacing w:after="0" w:line="168" w:lineRule="exact"/>
        <w:rPr>
          <w:sz w:val="20"/>
          <w:szCs w:val="20"/>
          <w:color w:val="auto"/>
        </w:rPr>
      </w:pPr>
    </w:p>
    <w:p>
      <w:pPr>
        <w:jc w:val="both"/>
        <w:ind w:left="220" w:right="280" w:firstLine="360"/>
        <w:spacing w:after="0" w:line="281" w:lineRule="auto"/>
        <w:rPr>
          <w:sz w:val="20"/>
          <w:szCs w:val="20"/>
          <w:color w:val="auto"/>
        </w:rPr>
      </w:pPr>
      <w:r>
        <w:rPr>
          <w:rFonts w:ascii="Times New Roman" w:cs="Times New Roman" w:eastAsia="Times New Roman" w:hAnsi="Times New Roman"/>
          <w:sz w:val="20"/>
          <w:szCs w:val="20"/>
          <w:color w:val="auto"/>
        </w:rPr>
        <w:t>The Company enters into contracts with suppliers to purchase materials needed for diagnostic testing. These contracts generally do not require multi-year purchase commitments.</w:t>
      </w:r>
    </w:p>
    <w:p>
      <w:pPr>
        <w:sectPr>
          <w:pgSz w:w="12240" w:h="15840" w:orient="portrait"/>
          <w:cols w:equalWidth="0" w:num="1">
            <w:col w:w="9860"/>
          </w:cols>
          <w:pgMar w:left="1220" w:top="137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140</w:t>
      </w:r>
    </w:p>
    <w:p>
      <w:pPr>
        <w:sectPr>
          <w:pgSz w:w="12240" w:h="15840" w:orient="portrait"/>
          <w:cols w:equalWidth="0" w:num="1">
            <w:col w:w="9860"/>
          </w:cols>
          <w:pgMar w:left="1220" w:top="1378" w:right="1160" w:bottom="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Contingencies</w:t>
      </w:r>
    </w:p>
    <w:p>
      <w:pPr>
        <w:spacing w:after="0" w:line="21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Company is a party to various actions and claims arising in the normal course of business. The Company does not believe that the outcome of these matters will have a material effect on the Company’s consolidated financial position, results of operations or cash flows. However, no assurance can be given that the final outcome of such proceedings will not materially impact the Company’s consolidated financial condition or results of operations.</w:t>
      </w:r>
    </w:p>
    <w:p>
      <w:pPr>
        <w:spacing w:after="0" w:line="16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Except as described below, the Company was not a party to any material legal proceedings as of December 31, 2022, nor is it a party to any material legal proceedings as of the date of issuance of these audited consolidated financial statements.</w:t>
      </w:r>
    </w:p>
    <w:p>
      <w:pPr>
        <w:spacing w:after="0" w:line="15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On September 7, 2022, a shareholder class action lawsuit was filed in the United States District Court for the District of Connecticut against the Company and certain of the Company’s current and former officers. The complaint purports to bring suit on behalf of stockholders who purchased the Company’s publicly traded securities between March 14, 2022 and August 15, 2022. Following the appointment of a lead plaintiff, an amended complaint was filed on January 30, 2023. As amended, the complaint purports to allege that defendants made false and misleading statements about the Company’s business, operations and prospects in violation of Sections 10(b) and 20(a) of the Securities Exchange Act of 1934, and seeks unspecified compensatory damages, fees and costs. The Company believes the allegations and claims made in the complaint are without merit.</w:t>
      </w:r>
    </w:p>
    <w:p>
      <w:pPr>
        <w:spacing w:after="0" w:line="15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On February 7, 2023, a stockholder commenced a lawsuit in the Delaware Court of Chancery. The suit is brought as a class action on behalf of stockholders of CMLS who did not redeem their shares in connection with the Business Combination. The suit names as defendants all directors of CMLS at the time of the transaction, including directors who continue to serve on the Company’s Board of Directors, as well as CMLS Holdings LLC. The Company is not named as a defendant. The complaint alleges that the July 2, 2021 proxy statement mailed to CMLS stockholders in connection with the transaction contained false and misleading statements, and purports to assert a claim of breach of fiduciary duty against all individual defendants, and a similar claim against CMLS Holdings LLC and certain individuals for breach of fiduciary duty as control persons. The suit seeks to recover unspecified damages on behalf of the alleged class, among other relief. The Company believes the allegations and claims made in the complaint are without merit. The Company is subject to certain claims for advancement and indemnification by the individual defendants in this proceeding.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Defined Contribution Plan</w:t>
      </w:r>
    </w:p>
    <w:p>
      <w:pPr>
        <w:spacing w:after="0" w:line="19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Substantially all of the Company’s employees in the U.S. are eligible to participate in the defined contribution plan the Company sponsors. The defined contribution plan allows employees to contribute a portion of their compensation in accordance with specified guidelines. The Company, at its discretion, makes matching contributions. The Company contributed $9.8 million, $8.0 million and $5.5 million for the years ended December 31, 2022, 2021 and 2020, respectively.</w:t>
      </w:r>
    </w:p>
    <w:p>
      <w:pPr>
        <w:spacing w:after="0" w:line="397" w:lineRule="exact"/>
        <w:rPr>
          <w:sz w:val="20"/>
          <w:szCs w:val="20"/>
          <w:color w:val="auto"/>
        </w:rPr>
      </w:pPr>
    </w:p>
    <w:p>
      <w:pPr>
        <w:ind w:left="720" w:hanging="720"/>
        <w:spacing w:after="0"/>
        <w:tabs>
          <w:tab w:leader="none" w:pos="72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Stock-Based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Incentive Plans</w:t>
      </w:r>
    </w:p>
    <w:p>
      <w:pPr>
        <w:spacing w:after="0" w:line="21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spacing w:after="0" w:line="16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w:t>
      </w:r>
    </w:p>
    <w:p>
      <w:pPr>
        <w:sectPr>
          <w:pgSz w:w="12240" w:h="15840" w:orient="portrait"/>
          <w:cols w:equalWidth="0" w:num="1">
            <w:col w:w="9360"/>
          </w:cols>
          <w:pgMar w:left="1440" w:top="1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141</w:t>
      </w:r>
    </w:p>
    <w:p>
      <w:pPr>
        <w:sectPr>
          <w:pgSz w:w="12240" w:h="15840" w:orient="portrait"/>
          <w:cols w:equalWidth="0" w:num="1">
            <w:col w:w="9360"/>
          </w:cols>
          <w:pgMar w:left="1440" w:top="1369" w:right="1440" w:bottom="0" w:gutter="0" w:footer="0" w:header="0"/>
          <w:type w:val="continuous"/>
        </w:sectPr>
      </w:pPr>
    </w:p>
    <w:bookmarkStart w:id="130" w:name="page131"/>
    <w:bookmarkEnd w:id="130"/>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On July 22, 2021, in connection with the Business Combination, the 2021 Plan became effective and 32,734,983 authorized shares of common stock were reserved for issuance thereunder. This Plan will be administered by the Compensation Committee of the Company’s Board of Directors, including determination of the vesting, exercisability and payment of the awards to be granted under this Plan. No awards granted under the 2021 Plan are exercisable after 10 years from the date of grant, and the awards granted under the 2021 Plan generally vest over a four-year period on a graded vesting basis.</w:t>
      </w:r>
    </w:p>
    <w:p>
      <w:pPr>
        <w:spacing w:after="0" w:line="168"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As of December 31, 2022, there was an aggregate of 9,648,510 shares available for grants of stock options or other awards under the 2021 Plan.</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19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The 2021 Employee Stock Purchase Plan (the “2021 ESPP”) became effective in connection with the Business Combination. The 2021 ESPP authorizes the issuance of shares of common stock pursuant to purchase rights granted to employees. A total of 4,804,011 shares of common stock have been reserved for future issuance under the 2021 ESPP. On each January 1 of each of 2022 through 2031, the aggregate number of shares of common stock reserved for issuance under the 2021 Plan may be increased automatically by the number of shares equal to one percent (1%) of the total number of shares of all classes of common stock issued and outstanding on the immediately preceding December 31. The Company did not make any grants of purchase rights under the 2021 ESPP during the year ended December 31,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 Activity</w:t>
      </w:r>
    </w:p>
    <w:p>
      <w:pPr>
        <w:spacing w:after="0" w:line="21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w:t>
      </w:r>
    </w:p>
    <w:p>
      <w:pPr>
        <w:spacing w:after="0" w:line="16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consolidated financial statements as of July 22, 2021.</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All stock options granted under the 2021 Plan are accounted for as equity awards.</w:t>
      </w:r>
    </w:p>
    <w:p>
      <w:pPr>
        <w:spacing w:after="0" w:line="21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The following summarizes the stock option activity, which reflects the conversion of the options granted under the 2017 Plan into awards with respect to the Company Class A common stock in connection with the consummation of the Business Combination (in thousands, except share and per share amounts):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142</w:t>
      </w:r>
    </w:p>
    <w:p>
      <w:pPr>
        <w:sectPr>
          <w:pgSz w:w="12240" w:h="15840" w:orient="portrait"/>
          <w:cols w:equalWidth="0" w:num="1">
            <w:col w:w="9360"/>
          </w:cols>
          <w:pgMar w:left="1440" w:top="1378" w:right="1440" w:bottom="0" w:gutter="0" w:footer="0" w:header="0"/>
          <w:type w:val="continuous"/>
        </w:sectPr>
      </w:pPr>
    </w:p>
    <w:bookmarkStart w:id="131" w:name="page132"/>
    <w:bookmarkEnd w:id="131"/>
    <w:tbl>
      <w:tblPr>
        <w:tblLayout w:type="fixed"/>
        <w:tblInd w:w="6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0"/>
        </w:trPr>
        <w:tc>
          <w:tcPr>
            <w:tcW w:w="46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165"/>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620" w:type="dxa"/>
            <w:vAlign w:val="bottom"/>
          </w:tcPr>
          <w:p>
            <w:pPr>
              <w:spacing w:after="0"/>
              <w:rPr>
                <w:sz w:val="18"/>
                <w:szCs w:val="18"/>
                <w:color w:val="auto"/>
              </w:rPr>
            </w:pPr>
          </w:p>
        </w:tc>
        <w:tc>
          <w:tcPr>
            <w:tcW w:w="10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Pr>
          <w:p>
            <w:pPr>
              <w:spacing w:after="0"/>
              <w:rPr>
                <w:sz w:val="18"/>
                <w:szCs w:val="18"/>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 (years)</w:t>
            </w:r>
          </w:p>
        </w:tc>
        <w:tc>
          <w:tcPr>
            <w:tcW w:w="6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62"/>
        </w:trPr>
        <w:tc>
          <w:tcPr>
            <w:tcW w:w="46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 xml:space="preserve">Balance at December 31, 2021 </w:t>
            </w:r>
            <w:r>
              <w:rPr>
                <w:rFonts w:ascii="Times New Roman" w:cs="Times New Roman" w:eastAsia="Times New Roman" w:hAnsi="Times New Roman"/>
                <w:sz w:val="20"/>
                <w:szCs w:val="20"/>
                <w:color w:val="989898"/>
                <w:w w:val="9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30,905,543</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109,887</w:t>
            </w:r>
          </w:p>
        </w:tc>
        <w:tc>
          <w:tcPr>
            <w:tcW w:w="0" w:type="dxa"/>
            <w:vAlign w:val="bottom"/>
          </w:tcPr>
          <w:p>
            <w:pPr>
              <w:spacing w:after="0"/>
              <w:rPr>
                <w:sz w:val="1"/>
                <w:szCs w:val="1"/>
                <w:color w:val="auto"/>
              </w:rPr>
            </w:pPr>
          </w:p>
        </w:tc>
      </w:tr>
      <w:tr>
        <w:trPr>
          <w:trHeight w:val="285"/>
        </w:trPr>
        <w:tc>
          <w:tcPr>
            <w:tcW w:w="46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Options granted</w:t>
            </w:r>
            <w:r>
              <w:rPr>
                <w:rFonts w:ascii="Times New Roman" w:cs="Times New Roman" w:eastAsia="Times New Roman" w:hAnsi="Times New Roman"/>
                <w:sz w:val="20"/>
                <w:szCs w:val="20"/>
                <w:color w:val="98989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13,347,197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6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Options exercised </w:t>
            </w:r>
            <w:r>
              <w:rPr>
                <w:rFonts w:ascii="Times New Roman" w:cs="Times New Roman" w:eastAsia="Times New Roman" w:hAnsi="Times New Roman"/>
                <w:sz w:val="20"/>
                <w:szCs w:val="20"/>
                <w:color w:val="98989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(11,021,636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0.27</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6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Options forfeited and canceled </w:t>
            </w:r>
            <w:r>
              <w:rPr>
                <w:rFonts w:ascii="Times New Roman" w:cs="Times New Roman" w:eastAsia="Times New Roman" w:hAnsi="Times New Roman"/>
                <w:sz w:val="20"/>
                <w:szCs w:val="20"/>
                <w:color w:val="98989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(6,868,297)</w:t>
            </w:r>
          </w:p>
        </w:tc>
        <w:tc>
          <w:tcPr>
            <w:tcW w:w="60" w:type="dxa"/>
            <w:vAlign w:val="bottom"/>
          </w:tcPr>
          <w:p>
            <w:pPr>
              <w:spacing w:after="0"/>
              <w:rPr>
                <w:sz w:val="24"/>
                <w:szCs w:val="24"/>
                <w:color w:val="auto"/>
              </w:rPr>
            </w:pP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3.80</w:t>
            </w:r>
          </w:p>
        </w:tc>
        <w:tc>
          <w:tcPr>
            <w:tcW w:w="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6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 xml:space="preserve">Balance at December 31, 2022 </w:t>
            </w:r>
            <w:r>
              <w:rPr>
                <w:rFonts w:ascii="Times New Roman" w:cs="Times New Roman" w:eastAsia="Times New Roman" w:hAnsi="Times New Roman"/>
                <w:sz w:val="20"/>
                <w:szCs w:val="20"/>
                <w:color w:val="989898"/>
                <w:w w:val="9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26,362,807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775,842</w:t>
            </w:r>
          </w:p>
        </w:tc>
        <w:tc>
          <w:tcPr>
            <w:tcW w:w="0" w:type="dxa"/>
            <w:vAlign w:val="bottom"/>
          </w:tcPr>
          <w:p>
            <w:pPr>
              <w:spacing w:after="0"/>
              <w:rPr>
                <w:sz w:val="1"/>
                <w:szCs w:val="1"/>
                <w:color w:val="auto"/>
              </w:rPr>
            </w:pPr>
          </w:p>
        </w:tc>
      </w:tr>
      <w:tr>
        <w:trPr>
          <w:trHeight w:val="285"/>
        </w:trPr>
        <w:tc>
          <w:tcPr>
            <w:tcW w:w="46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Options exercisable at December 31, 2022 </w:t>
            </w:r>
            <w:r>
              <w:rPr>
                <w:rFonts w:ascii="Times New Roman" w:cs="Times New Roman" w:eastAsia="Times New Roman" w:hAnsi="Times New Roman"/>
                <w:sz w:val="20"/>
                <w:szCs w:val="20"/>
                <w:color w:val="98989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15,157,018</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803,370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-1089660</wp:posOffset>
            </wp:positionV>
            <wp:extent cx="5969000" cy="11112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1">
                      <a:extLst>
                        <a:ext uri="{28A0092B-C50C-407E-A947-70E740481C1C}"/>
                      </a:extLst>
                    </a:blip>
                    <a:srcRect/>
                    <a:stretch>
                      <a:fillRect/>
                    </a:stretch>
                  </pic:blipFill>
                  <pic:spPr bwMode="auto">
                    <a:xfrm>
                      <a:off x="0" y="0"/>
                      <a:ext cx="5969000" cy="1111250"/>
                    </a:xfrm>
                    <a:prstGeom prst="rect">
                      <a:avLst/>
                    </a:prstGeom>
                    <a:noFill/>
                  </pic:spPr>
                </pic:pic>
              </a:graphicData>
            </a:graphic>
          </wp:anchor>
        </w:drawing>
      </w:r>
    </w:p>
    <w:p>
      <w:pPr>
        <w:spacing w:after="0" w:line="231"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auto"/>
        </w:rPr>
        <w:t>Non-vested options outstanding at the end of the year was 11,205,789 with weighted average grant-date fair value of $2.17.</w:t>
      </w:r>
    </w:p>
    <w:p>
      <w:pPr>
        <w:spacing w:after="0" w:line="141" w:lineRule="exact"/>
        <w:rPr>
          <w:sz w:val="20"/>
          <w:szCs w:val="20"/>
          <w:color w:val="auto"/>
        </w:rPr>
      </w:pPr>
    </w:p>
    <w:p>
      <w:pPr>
        <w:jc w:val="both"/>
        <w:ind w:right="20" w:firstLine="360"/>
        <w:spacing w:after="0" w:line="254" w:lineRule="auto"/>
        <w:rPr>
          <w:sz w:val="20"/>
          <w:szCs w:val="20"/>
          <w:color w:val="auto"/>
        </w:rPr>
      </w:pPr>
      <w:r>
        <w:rPr>
          <w:rFonts w:ascii="Times New Roman" w:cs="Times New Roman" w:eastAsia="Times New Roman" w:hAnsi="Times New Roman"/>
          <w:sz w:val="20"/>
          <w:szCs w:val="20"/>
          <w:color w:val="auto"/>
        </w:rPr>
        <w:t>The weighted-average grant-date fair value of options granted and total fair value of the options with tranches vested was $1.55 and $24.5 million for the year ended December 31, 2022, respectively. The weighted-average grant-date fair value of options forfeited and canceled was $4.92 for the year ended December 31, 2022. The aggregate intrinsic value of exercised options was $18.1 million, $17.1 million and $0.6 million in the years ended December 31, 2022, 2021 and 2020, respectively, and is calculated based on the difference between the exercise price and the fair value of the Company’s common stock as of the exercise date. The total payments for share-based liabilities were $0.1 million and $0.3 million in the years ended December 31, 2021 and 2020, respectively, while no payments were made in the year ended December 31, 2022.</w:t>
      </w:r>
    </w:p>
    <w:p>
      <w:pPr>
        <w:spacing w:after="0" w:line="173"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auto"/>
        </w:rPr>
        <w:t>The fair value of the stock option awards for the period ended December 31, 2022, and as of December 31, 2021, and 2020 were estimated using the Black-Scholes option pricing model with the following assumptions:</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04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8"/>
                <w:szCs w:val="18"/>
                <w:color w:val="auto"/>
              </w:rPr>
            </w:pPr>
          </w:p>
        </w:tc>
        <w:tc>
          <w:tcPr>
            <w:tcW w:w="13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2"/>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Expected volatility </w:t>
            </w:r>
            <w:r>
              <w:rPr>
                <w:rFonts w:ascii="Times New Roman" w:cs="Times New Roman" w:eastAsia="Times New Roman" w:hAnsi="Times New Roman"/>
                <w:sz w:val="20"/>
                <w:szCs w:val="20"/>
                <w:color w:val="989898"/>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65.20%-90.00%</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49.60%-67.70%</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65.80%</w:t>
            </w:r>
          </w:p>
        </w:tc>
      </w:tr>
      <w:tr>
        <w:trPr>
          <w:trHeight w:val="285"/>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Weighted-average expected volatility </w:t>
            </w:r>
            <w:r>
              <w:rPr>
                <w:rFonts w:ascii="Times New Roman" w:cs="Times New Roman" w:eastAsia="Times New Roman" w:hAnsi="Times New Roman"/>
                <w:sz w:val="20"/>
                <w:szCs w:val="20"/>
                <w:color w:val="989898"/>
              </w:rPr>
              <w:t>.......................................</w:t>
            </w:r>
          </w:p>
        </w:tc>
        <w:tc>
          <w:tcPr>
            <w:tcW w:w="1420" w:type="dxa"/>
            <w:vAlign w:val="bottom"/>
          </w:tcPr>
          <w:p>
            <w:pPr>
              <w:jc w:val="right"/>
              <w:ind w:right="283"/>
              <w:spacing w:after="0"/>
              <w:rPr>
                <w:sz w:val="20"/>
                <w:szCs w:val="20"/>
                <w:color w:val="auto"/>
              </w:rPr>
            </w:pPr>
            <w:r>
              <w:rPr>
                <w:rFonts w:ascii="Times New Roman" w:cs="Times New Roman" w:eastAsia="Times New Roman" w:hAnsi="Times New Roman"/>
                <w:sz w:val="20"/>
                <w:szCs w:val="20"/>
                <w:color w:val="auto"/>
              </w:rPr>
              <w:t>75.00%</w:t>
            </w:r>
          </w:p>
        </w:tc>
        <w:tc>
          <w:tcPr>
            <w:tcW w:w="1500" w:type="dxa"/>
            <w:vAlign w:val="bottom"/>
            <w:gridSpan w:val="2"/>
          </w:tcPr>
          <w:p>
            <w:pPr>
              <w:jc w:val="right"/>
              <w:ind w:right="310"/>
              <w:spacing w:after="0"/>
              <w:rPr>
                <w:sz w:val="20"/>
                <w:szCs w:val="20"/>
                <w:color w:val="auto"/>
              </w:rPr>
            </w:pPr>
            <w:r>
              <w:rPr>
                <w:rFonts w:ascii="Times New Roman" w:cs="Times New Roman" w:eastAsia="Times New Roman" w:hAnsi="Times New Roman"/>
                <w:sz w:val="20"/>
                <w:szCs w:val="20"/>
                <w:color w:val="auto"/>
              </w:rPr>
              <w:t>66.15%</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65.80%</w:t>
            </w:r>
          </w:p>
        </w:tc>
      </w:tr>
      <w:tr>
        <w:trPr>
          <w:trHeight w:val="285"/>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Expected term (in years) </w:t>
            </w:r>
            <w:r>
              <w:rPr>
                <w:rFonts w:ascii="Times New Roman" w:cs="Times New Roman" w:eastAsia="Times New Roman" w:hAnsi="Times New Roman"/>
                <w:sz w:val="20"/>
                <w:szCs w:val="20"/>
                <w:color w:val="989898"/>
                <w:w w:val="99"/>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5.48-6.18</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5.00-6.06</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0.50–1.49</w:t>
            </w:r>
          </w:p>
        </w:tc>
      </w:tr>
      <w:tr>
        <w:trPr>
          <w:trHeight w:val="285"/>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Risk-free interest rate </w:t>
            </w:r>
            <w:r>
              <w:rPr>
                <w:rFonts w:ascii="Times New Roman" w:cs="Times New Roman" w:eastAsia="Times New Roman" w:hAnsi="Times New Roman"/>
                <w:sz w:val="20"/>
                <w:szCs w:val="20"/>
                <w:color w:val="989898"/>
                <w:w w:val="99"/>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1.65%-3.38%</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0.71%-1.26%</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0.10%</w:t>
            </w:r>
          </w:p>
        </w:tc>
      </w:tr>
      <w:tr>
        <w:trPr>
          <w:trHeight w:val="285"/>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r>
              <w:rPr>
                <w:rFonts w:ascii="Times New Roman" w:cs="Times New Roman" w:eastAsia="Times New Roman" w:hAnsi="Times New Roman"/>
                <w:sz w:val="20"/>
                <w:szCs w:val="20"/>
                <w:color w:val="989898"/>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85"/>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Fair value of Class A common stock </w:t>
            </w:r>
            <w:r>
              <w:rPr>
                <w:rFonts w:ascii="Times New Roman" w:cs="Times New Roman" w:eastAsia="Times New Roman" w:hAnsi="Times New Roman"/>
                <w:sz w:val="20"/>
                <w:szCs w:val="20"/>
                <w:color w:val="989898"/>
                <w:w w:val="99"/>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$0.99-$3.45</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$7.62-$11.60</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$5.49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-1089660</wp:posOffset>
            </wp:positionV>
            <wp:extent cx="5978525" cy="11112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62">
                      <a:extLst>
                        <a:ext uri="{28A0092B-C50C-407E-A947-70E740481C1C}"/>
                      </a:extLst>
                    </a:blip>
                    <a:srcRect/>
                    <a:stretch>
                      <a:fillRect/>
                    </a:stretch>
                  </pic:blipFill>
                  <pic:spPr bwMode="auto">
                    <a:xfrm>
                      <a:off x="0" y="0"/>
                      <a:ext cx="5978525" cy="1111250"/>
                    </a:xfrm>
                    <a:prstGeom prst="rect">
                      <a:avLst/>
                    </a:prstGeom>
                    <a:noFill/>
                  </pic:spPr>
                </pic:pic>
              </a:graphicData>
            </a:graphic>
          </wp:anchor>
        </w:drawing>
      </w:r>
    </w:p>
    <w:p>
      <w:pPr>
        <w:spacing w:after="0" w:line="211" w:lineRule="exact"/>
        <w:rPr>
          <w:sz w:val="20"/>
          <w:szCs w:val="20"/>
          <w:color w:val="auto"/>
        </w:rPr>
      </w:pPr>
    </w:p>
    <w:p>
      <w:pPr>
        <w:ind w:right="80" w:firstLine="360"/>
        <w:spacing w:after="0" w:line="239" w:lineRule="auto"/>
        <w:rPr>
          <w:sz w:val="20"/>
          <w:szCs w:val="20"/>
          <w:color w:val="auto"/>
        </w:rPr>
      </w:pPr>
      <w:r>
        <w:rPr>
          <w:rFonts w:ascii="Times New Roman" w:cs="Times New Roman" w:eastAsia="Times New Roman" w:hAnsi="Times New Roman"/>
          <w:sz w:val="20"/>
          <w:szCs w:val="20"/>
          <w:color w:val="auto"/>
        </w:rPr>
        <w:t>We estimated a volatility factor for the Company’s options based on analysis of historical share prices of a peer group of public companies. We did not rely on the volatility of the Company’s common stock because of its limited trading history. We estimated the expected term of options granted using the “simplified method,” which is the mid-point between the vesting date and the ending date of the contractual term. We did not rely on the historical holding periods of the Company’s options due to the limited availability of exercise data. We used a risk-free interest rate based on the U.S. Treasury yield curve in effect for bonds with maturities consistent with the expected term of the option.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 (RSU)</w:t>
      </w:r>
    </w:p>
    <w:p>
      <w:pPr>
        <w:spacing w:after="0" w:line="199" w:lineRule="exact"/>
        <w:rPr>
          <w:sz w:val="20"/>
          <w:szCs w:val="20"/>
          <w:color w:val="auto"/>
        </w:rPr>
      </w:pPr>
    </w:p>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auto"/>
        </w:rPr>
        <w:t>The Company issued time-based RSUs to employees under the 2021 Plan. The RSUs automatically convert to common stock on a one-for-one basis as the awards vest. The Company measures the value of RSUs at fair value based on the closing price of the underlying common stock on the grant date. The RSUs granted generally vest over a four year vesting period from the grant date, however, the Company also granted certain RSUs with vesting term</w:t>
      </w:r>
    </w:p>
    <w:p>
      <w:pPr>
        <w:sectPr>
          <w:pgSz w:w="12240" w:h="15840" w:orient="portrait"/>
          <w:cols w:equalWidth="0" w:num="1">
            <w:col w:w="9380"/>
          </w:cols>
          <w:pgMar w:left="1440" w:top="1436"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ectPr>
          <w:pgSz w:w="12240" w:h="15840" w:orient="portrait"/>
          <w:cols w:equalWidth="0" w:num="1">
            <w:col w:w="9380"/>
          </w:cols>
          <w:pgMar w:left="1440" w:top="1436" w:right="1420" w:bottom="0" w:gutter="0" w:footer="0" w:header="0"/>
          <w:type w:val="continuous"/>
        </w:sectPr>
      </w:pPr>
    </w:p>
    <w:bookmarkStart w:id="132" w:name="page133"/>
    <w:bookmarkEnd w:id="132"/>
    <w:p>
      <w:pPr>
        <w:jc w:val="both"/>
        <w:spacing w:after="0" w:line="281" w:lineRule="auto"/>
        <w:rPr>
          <w:sz w:val="20"/>
          <w:szCs w:val="20"/>
          <w:color w:val="auto"/>
        </w:rPr>
      </w:pPr>
      <w:r>
        <w:rPr>
          <w:rFonts w:ascii="Times New Roman" w:cs="Times New Roman" w:eastAsia="Times New Roman" w:hAnsi="Times New Roman"/>
          <w:sz w:val="20"/>
          <w:szCs w:val="20"/>
          <w:color w:val="auto"/>
        </w:rPr>
        <w:t>beginning 12 months from the grant date and vesting immediately on the grant date. The following table summarizes the activity related to the Company's time-based RSUs:</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60" w:type="dxa"/>
            <w:vAlign w:val="bottom"/>
          </w:tcPr>
          <w:p>
            <w:pPr>
              <w:spacing w:after="0"/>
              <w:rPr>
                <w:sz w:val="16"/>
                <w:szCs w:val="16"/>
                <w:color w:val="auto"/>
              </w:rPr>
            </w:pPr>
          </w:p>
        </w:tc>
        <w:tc>
          <w:tcPr>
            <w:tcW w:w="19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r>
      <w:tr>
        <w:trPr>
          <w:trHeight w:val="214"/>
        </w:trPr>
        <w:tc>
          <w:tcPr>
            <w:tcW w:w="4700" w:type="dxa"/>
            <w:vAlign w:val="bottom"/>
          </w:tcPr>
          <w:p>
            <w:pPr>
              <w:spacing w:after="0"/>
              <w:rPr>
                <w:sz w:val="18"/>
                <w:szCs w:val="18"/>
                <w:color w:val="auto"/>
              </w:rPr>
            </w:pPr>
          </w:p>
        </w:tc>
        <w:tc>
          <w:tcPr>
            <w:tcW w:w="168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Pr>
          <w:p>
            <w:pPr>
              <w:spacing w:after="0"/>
              <w:rPr>
                <w:sz w:val="18"/>
                <w:szCs w:val="18"/>
                <w:color w:val="auto"/>
              </w:rPr>
            </w:pPr>
          </w:p>
        </w:tc>
        <w:tc>
          <w:tcPr>
            <w:tcW w:w="1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Date Fair Value Per Unit</w:t>
            </w:r>
          </w:p>
        </w:tc>
      </w:tr>
      <w:tr>
        <w:trPr>
          <w:trHeight w:val="262"/>
        </w:trPr>
        <w:tc>
          <w:tcPr>
            <w:tcW w:w="4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Balance at December 31, 2021 </w:t>
            </w:r>
            <w:r>
              <w:rPr>
                <w:rFonts w:ascii="Times New Roman" w:cs="Times New Roman" w:eastAsia="Times New Roman" w:hAnsi="Times New Roman"/>
                <w:sz w:val="20"/>
                <w:szCs w:val="20"/>
                <w:color w:val="989898"/>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12,589,558</w:t>
            </w:r>
          </w:p>
        </w:tc>
        <w:tc>
          <w:tcPr>
            <w:tcW w:w="2040" w:type="dxa"/>
            <w:vAlign w:val="bottom"/>
            <w:gridSpan w:val="2"/>
          </w:tcPr>
          <w:p>
            <w:pPr>
              <w:jc w:val="center"/>
              <w:ind w:left="1420"/>
              <w:spacing w:after="0"/>
              <w:rPr>
                <w:sz w:val="20"/>
                <w:szCs w:val="20"/>
                <w:color w:val="auto"/>
              </w:rPr>
            </w:pPr>
            <w:r>
              <w:rPr>
                <w:rFonts w:ascii="Times New Roman" w:cs="Times New Roman" w:eastAsia="Times New Roman" w:hAnsi="Times New Roman"/>
                <w:sz w:val="20"/>
                <w:szCs w:val="20"/>
                <w:color w:val="auto"/>
              </w:rPr>
              <w:t>7.64</w:t>
            </w:r>
          </w:p>
        </w:tc>
      </w:tr>
      <w:tr>
        <w:trPr>
          <w:trHeight w:val="285"/>
        </w:trPr>
        <w:tc>
          <w:tcPr>
            <w:tcW w:w="4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Restricted Stock Units granted </w:t>
            </w:r>
            <w:r>
              <w:rPr>
                <w:rFonts w:ascii="Times New Roman" w:cs="Times New Roman" w:eastAsia="Times New Roman" w:hAnsi="Times New Roman"/>
                <w:sz w:val="20"/>
                <w:szCs w:val="20"/>
                <w:color w:val="98989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29,004,515</w:t>
            </w:r>
          </w:p>
        </w:tc>
        <w:tc>
          <w:tcPr>
            <w:tcW w:w="2040" w:type="dxa"/>
            <w:vAlign w:val="bottom"/>
            <w:gridSpan w:val="2"/>
          </w:tcPr>
          <w:p>
            <w:pPr>
              <w:jc w:val="center"/>
              <w:ind w:left="1380"/>
              <w:spacing w:after="0"/>
              <w:rPr>
                <w:sz w:val="20"/>
                <w:szCs w:val="20"/>
                <w:color w:val="auto"/>
              </w:rPr>
            </w:pPr>
            <w:r>
              <w:rPr>
                <w:rFonts w:ascii="Times New Roman" w:cs="Times New Roman" w:eastAsia="Times New Roman" w:hAnsi="Times New Roman"/>
                <w:sz w:val="20"/>
                <w:szCs w:val="20"/>
                <w:color w:val="auto"/>
                <w:w w:val="97"/>
              </w:rPr>
              <w:t>$1.63</w:t>
            </w:r>
          </w:p>
        </w:tc>
      </w:tr>
      <w:tr>
        <w:trPr>
          <w:trHeight w:val="285"/>
        </w:trPr>
        <w:tc>
          <w:tcPr>
            <w:tcW w:w="4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Restricted Stock Units vested </w:t>
            </w:r>
            <w:r>
              <w:rPr>
                <w:rFonts w:ascii="Times New Roman" w:cs="Times New Roman" w:eastAsia="Times New Roman" w:hAnsi="Times New Roman"/>
                <w:sz w:val="20"/>
                <w:szCs w:val="20"/>
                <w:color w:val="98989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(4,841,898)</w:t>
            </w:r>
          </w:p>
        </w:tc>
        <w:tc>
          <w:tcPr>
            <w:tcW w:w="2040" w:type="dxa"/>
            <w:vAlign w:val="bottom"/>
            <w:gridSpan w:val="2"/>
          </w:tcPr>
          <w:p>
            <w:pPr>
              <w:jc w:val="center"/>
              <w:ind w:left="1380"/>
              <w:spacing w:after="0"/>
              <w:rPr>
                <w:sz w:val="20"/>
                <w:szCs w:val="20"/>
                <w:color w:val="auto"/>
              </w:rPr>
            </w:pPr>
            <w:r>
              <w:rPr>
                <w:rFonts w:ascii="Times New Roman" w:cs="Times New Roman" w:eastAsia="Times New Roman" w:hAnsi="Times New Roman"/>
                <w:sz w:val="20"/>
                <w:szCs w:val="20"/>
                <w:color w:val="auto"/>
                <w:w w:val="97"/>
              </w:rPr>
              <w:t>$6.46</w:t>
            </w:r>
          </w:p>
        </w:tc>
      </w:tr>
      <w:tr>
        <w:trPr>
          <w:trHeight w:val="288"/>
        </w:trPr>
        <w:tc>
          <w:tcPr>
            <w:tcW w:w="4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Restricted Stock Units forfeited </w:t>
            </w:r>
            <w:r>
              <w:rPr>
                <w:rFonts w:ascii="Times New Roman" w:cs="Times New Roman" w:eastAsia="Times New Roman" w:hAnsi="Times New Roman"/>
                <w:sz w:val="20"/>
                <w:szCs w:val="20"/>
                <w:color w:val="98989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(8,535,177)</w:t>
            </w:r>
          </w:p>
        </w:tc>
        <w:tc>
          <w:tcPr>
            <w:tcW w:w="60" w:type="dxa"/>
            <w:vAlign w:val="bottom"/>
          </w:tcPr>
          <w:p>
            <w:pPr>
              <w:spacing w:after="0"/>
              <w:rPr>
                <w:sz w:val="24"/>
                <w:szCs w:val="24"/>
                <w:color w:val="auto"/>
              </w:rPr>
            </w:pPr>
          </w:p>
        </w:tc>
        <w:tc>
          <w:tcPr>
            <w:tcW w:w="1980" w:type="dxa"/>
            <w:vAlign w:val="bottom"/>
            <w:tcBorders>
              <w:bottom w:val="single" w:sz="8" w:color="auto"/>
            </w:tcBorders>
          </w:tcPr>
          <w:p>
            <w:pPr>
              <w:jc w:val="center"/>
              <w:ind w:left="1333"/>
              <w:spacing w:after="0"/>
              <w:rPr>
                <w:sz w:val="20"/>
                <w:szCs w:val="20"/>
                <w:color w:val="auto"/>
              </w:rPr>
            </w:pPr>
            <w:r>
              <w:rPr>
                <w:rFonts w:ascii="Times New Roman" w:cs="Times New Roman" w:eastAsia="Times New Roman" w:hAnsi="Times New Roman"/>
                <w:sz w:val="20"/>
                <w:szCs w:val="20"/>
                <w:color w:val="auto"/>
                <w:w w:val="97"/>
              </w:rPr>
              <w:t>$5.51</w:t>
            </w:r>
          </w:p>
        </w:tc>
      </w:tr>
      <w:tr>
        <w:trPr>
          <w:trHeight w:val="262"/>
        </w:trPr>
        <w:tc>
          <w:tcPr>
            <w:tcW w:w="4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Balance at December 31, 2022 </w:t>
            </w:r>
            <w:r>
              <w:rPr>
                <w:rFonts w:ascii="Times New Roman" w:cs="Times New Roman" w:eastAsia="Times New Roman" w:hAnsi="Times New Roman"/>
                <w:sz w:val="20"/>
                <w:szCs w:val="20"/>
                <w:color w:val="989898"/>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28,216,998</w:t>
            </w:r>
          </w:p>
        </w:tc>
        <w:tc>
          <w:tcPr>
            <w:tcW w:w="2040" w:type="dxa"/>
            <w:vAlign w:val="bottom"/>
            <w:gridSpan w:val="2"/>
          </w:tcPr>
          <w:p>
            <w:pPr>
              <w:jc w:val="center"/>
              <w:ind w:left="1380"/>
              <w:spacing w:after="0"/>
              <w:rPr>
                <w:sz w:val="20"/>
                <w:szCs w:val="20"/>
                <w:color w:val="auto"/>
              </w:rPr>
            </w:pPr>
            <w:r>
              <w:rPr>
                <w:rFonts w:ascii="Times New Roman" w:cs="Times New Roman" w:eastAsia="Times New Roman" w:hAnsi="Times New Roman"/>
                <w:sz w:val="20"/>
                <w:szCs w:val="20"/>
                <w:color w:val="auto"/>
                <w:w w:val="97"/>
              </w:rPr>
              <w:t>$2.36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-908685</wp:posOffset>
            </wp:positionV>
            <wp:extent cx="5407025" cy="930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3">
                      <a:extLst>
                        <a:ext uri="{28A0092B-C50C-407E-A947-70E740481C1C}"/>
                      </a:extLst>
                    </a:blip>
                    <a:srcRect/>
                    <a:stretch>
                      <a:fillRect/>
                    </a:stretch>
                  </pic:blipFill>
                  <pic:spPr bwMode="auto">
                    <a:xfrm>
                      <a:off x="0" y="0"/>
                      <a:ext cx="5407025" cy="930275"/>
                    </a:xfrm>
                    <a:prstGeom prst="rect">
                      <a:avLst/>
                    </a:prstGeom>
                    <a:noFill/>
                  </pic:spPr>
                </pic:pic>
              </a:graphicData>
            </a:graphic>
          </wp:anchor>
        </w:drawing>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total fair value of RSUs vested for the year ended December 31, 2022 was $33.7 million.</w:t>
      </w:r>
    </w:p>
    <w:p>
      <w:pPr>
        <w:spacing w:after="0" w:line="21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Additionally, the Company issued 126,980 RSUs subject to both service and performance based vesting conditions to the Executive Chairman of the Company. The grant date was established during the second quarter period and vesting of the RSUs will be based on the achievement of performance goals established for calendar year 2022. As of December 31, 2022, these RSUs were all forfeited due to the established performance goals not being achieved.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Earn-out RSUs</w:t>
      </w:r>
    </w:p>
    <w:p>
      <w:pPr>
        <w:spacing w:after="0" w:line="19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The grant date fair value determined for Triggering Event I, II and III was $1.82, $1.39 and $0.94 per unit, respectively. At year-end, any re-allocated RSUs due to the Legacy Sema4 option holders’ forfeiture activities were accounted for as new grants and the fair value determined for Triggering Event I, II and III was $0, $0 and $0 per unit, respectively. Based on the grant date fair value, the Company expects to record total expense related to the Earn-out RSU Awards of $3.5 million. The Company expects to recognize the stock-compensation cost over the longer of the derived service period or service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Appreciation Rights (SAR) Activity</w:t>
      </w:r>
    </w:p>
    <w:p>
      <w:pPr>
        <w:spacing w:after="0" w:line="21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Company historically granted SAR to one employee and one consultant with exercise condition of a liquidation event. As a result of the Business Combination, settlement of the outstanding vested SARs in exchange for a cash payment and to cancel the outstanding unvested SARs was agreed upon and an expense of $3.8 million related to the vested SAR was recognized by the Company. There were no outstanding SARs as of December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99"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Stock-based compensation expense is included within the consolidated statements of operations and comprehensive loss as follows (in thousands):</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20"/>
        </w:trPr>
        <w:tc>
          <w:tcPr>
            <w:tcW w:w="5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547"/>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Cost of services </w:t>
            </w:r>
            <w:r>
              <w:rPr>
                <w:rFonts w:ascii="Times New Roman" w:cs="Times New Roman" w:eastAsia="Times New Roman" w:hAnsi="Times New Roman"/>
                <w:sz w:val="20"/>
                <w:szCs w:val="20"/>
                <w:color w:val="989898"/>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5,080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22,567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12,942</w:t>
            </w: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Research and development </w:t>
            </w:r>
            <w:r>
              <w:rPr>
                <w:rFonts w:ascii="Times New Roman" w:cs="Times New Roman" w:eastAsia="Times New Roman" w:hAnsi="Times New Roman"/>
                <w:sz w:val="20"/>
                <w:szCs w:val="20"/>
                <w:color w:val="989898"/>
                <w:w w:val="99"/>
              </w:rPr>
              <w:t>.............................................................</w:t>
            </w:r>
          </w:p>
        </w:tc>
        <w:tc>
          <w:tcPr>
            <w:tcW w:w="320" w:type="dxa"/>
            <w:vAlign w:val="bottom"/>
          </w:tcPr>
          <w:p>
            <w:pPr>
              <w:spacing w:after="0"/>
              <w:rPr>
                <w:sz w:val="24"/>
                <w:szCs w:val="24"/>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1,755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47,183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26,650</w:t>
            </w: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Selling and marketing</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6,498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29,110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11,755</w:t>
            </w: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General and administrative </w:t>
            </w:r>
            <w:r>
              <w:rPr>
                <w:rFonts w:ascii="Times New Roman" w:cs="Times New Roman" w:eastAsia="Times New Roman" w:hAnsi="Times New Roman"/>
                <w:sz w:val="20"/>
                <w:szCs w:val="20"/>
                <w:color w:val="989898"/>
                <w:w w:val="99"/>
              </w:rPr>
              <w: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28,642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120,561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68,884</w:t>
            </w:r>
          </w:p>
        </w:tc>
      </w:tr>
      <w:tr>
        <w:trPr>
          <w:trHeight w:val="24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Total stock-based compensation expense</w:t>
            </w:r>
            <w:r>
              <w:rPr>
                <w:rFonts w:ascii="Times New Roman" w:cs="Times New Roman" w:eastAsia="Times New Roman" w:hAnsi="Times New Roman"/>
                <w:sz w:val="20"/>
                <w:szCs w:val="20"/>
                <w:color w:val="989898"/>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41,975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219,421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120,231</w:t>
            </w:r>
          </w:p>
        </w:tc>
      </w:tr>
      <w:tr>
        <w:trPr>
          <w:trHeight w:val="20"/>
        </w:trPr>
        <w:tc>
          <w:tcPr>
            <w:tcW w:w="5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5969000" cy="11239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64">
                      <a:extLst>
                        <a:ext uri="{28A0092B-C50C-407E-A947-70E740481C1C}"/>
                      </a:extLst>
                    </a:blip>
                    <a:srcRect/>
                    <a:stretch>
                      <a:fillRect/>
                    </a:stretch>
                  </pic:blipFill>
                  <pic:spPr bwMode="auto">
                    <a:xfrm>
                      <a:off x="0" y="0"/>
                      <a:ext cx="5969000" cy="1123950"/>
                    </a:xfrm>
                    <a:prstGeom prst="rect">
                      <a:avLst/>
                    </a:prstGeom>
                    <a:noFill/>
                  </pic:spPr>
                </pic:pic>
              </a:graphicData>
            </a:graphic>
          </wp:anchor>
        </w:drawing>
      </w:r>
    </w:p>
    <w:p>
      <w:pPr>
        <w:spacing w:after="0" w:line="18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As of December 31, 2022, unrecognized stock-based compensation cost related to the unvested portion of the Company’s stock options was $12.7 million, which is expected to be recognized on a graded-vesting basis over a weighted-average period of 1.7 years. As of December 31, 2022, unrecognized stock-based compensation cost</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144</w:t>
      </w:r>
    </w:p>
    <w:p>
      <w:pPr>
        <w:sectPr>
          <w:pgSz w:w="12240" w:h="15840" w:orient="portrait"/>
          <w:cols w:equalWidth="0" w:num="1">
            <w:col w:w="9360"/>
          </w:cols>
          <w:pgMar w:left="1440" w:top="1378" w:right="1440" w:bottom="0" w:gutter="0" w:footer="0" w:header="0"/>
          <w:type w:val="continuous"/>
        </w:sectPr>
      </w:pPr>
    </w:p>
    <w:bookmarkStart w:id="133" w:name="page134"/>
    <w:bookmarkEnd w:id="133"/>
    <w:p>
      <w:pPr>
        <w:spacing w:after="0" w:line="281" w:lineRule="auto"/>
        <w:rPr>
          <w:sz w:val="20"/>
          <w:szCs w:val="20"/>
          <w:color w:val="auto"/>
        </w:rPr>
      </w:pPr>
      <w:r>
        <w:rPr>
          <w:rFonts w:ascii="Times New Roman" w:cs="Times New Roman" w:eastAsia="Times New Roman" w:hAnsi="Times New Roman"/>
          <w:sz w:val="20"/>
          <w:szCs w:val="20"/>
          <w:color w:val="auto"/>
        </w:rPr>
        <w:t>related to the Company’s RSUs was $34.5 million, which is expected to be recognized on a graded-vesting basis over a weighted-average period of 1.7 years.</w:t>
      </w:r>
    </w:p>
    <w:p>
      <w:pPr>
        <w:spacing w:after="0" w:line="117" w:lineRule="exact"/>
        <w:rPr>
          <w:sz w:val="20"/>
          <w:szCs w:val="20"/>
          <w:color w:val="auto"/>
        </w:rPr>
      </w:pPr>
    </w:p>
    <w:p>
      <w:pPr>
        <w:ind w:left="720" w:hanging="720"/>
        <w:spacing w:after="0"/>
        <w:tabs>
          <w:tab w:leader="none" w:pos="72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Common Stock</w:t>
      </w:r>
    </w:p>
    <w:p>
      <w:pPr>
        <w:spacing w:after="0" w:line="19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There were 388,511,138 shares and 242,647,604 shares of GeneDx Holdings Class A common stock issued and outstanding as of December 31, 2022 and 2021, respectively. Each share of common stock entitles the holder to one vote and to receive dividends when and if declared by the board of directors of the Company. No dividends have been declared through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20" w:hanging="720"/>
        <w:spacing w:after="0"/>
        <w:tabs>
          <w:tab w:leader="none" w:pos="72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components of income before incomes taxes consisted of the following (in thousands):</w:t>
      </w: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center"/>
              <w:ind w:left="54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20"/>
        </w:trPr>
        <w:tc>
          <w:tcPr>
            <w:tcW w:w="5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4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2"/>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Foreign </w:t>
            </w:r>
            <w:r>
              <w:rPr>
                <w:rFonts w:ascii="Times New Roman" w:cs="Times New Roman" w:eastAsia="Times New Roman" w:hAnsi="Times New Roman"/>
                <w:sz w:val="20"/>
                <w:szCs w:val="20"/>
                <w:color w:val="989898"/>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104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Domestic</w:t>
            </w:r>
            <w:r>
              <w:rPr>
                <w:rFonts w:ascii="Times New Roman" w:cs="Times New Roman" w:eastAsia="Times New Roman" w:hAnsi="Times New Roman"/>
                <w:sz w:val="20"/>
                <w:szCs w:val="20"/>
                <w:color w:val="989898"/>
              </w:rPr>
              <w: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(598,136)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(245,390)</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(241,340)</w:t>
            </w:r>
          </w:p>
        </w:tc>
      </w:tr>
      <w:tr>
        <w:trPr>
          <w:trHeight w:val="262"/>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Total </w:t>
            </w:r>
            <w:r>
              <w:rPr>
                <w:rFonts w:ascii="Times New Roman" w:cs="Times New Roman" w:eastAsia="Times New Roman" w:hAnsi="Times New Roman"/>
                <w:sz w:val="20"/>
                <w:szCs w:val="20"/>
                <w:color w:val="989898"/>
              </w:rPr>
              <w:t>...............................................................................................</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(598,032)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(245,390)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(241,340)</w:t>
            </w:r>
          </w:p>
        </w:tc>
      </w:tr>
      <w:tr>
        <w:trPr>
          <w:trHeight w:val="343"/>
        </w:trPr>
        <w:tc>
          <w:tcPr>
            <w:tcW w:w="5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54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r>
      <w:tr>
        <w:trPr>
          <w:trHeight w:val="220"/>
        </w:trPr>
        <w:tc>
          <w:tcPr>
            <w:tcW w:w="5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4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2"/>
        </w:trPr>
        <w:tc>
          <w:tcPr>
            <w:tcW w:w="5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Federal </w:t>
            </w:r>
            <w:r>
              <w:rPr>
                <w:rFonts w:ascii="Times New Roman" w:cs="Times New Roman" w:eastAsia="Times New Roman" w:hAnsi="Times New Roman"/>
                <w:sz w:val="20"/>
                <w:szCs w:val="20"/>
                <w:color w:val="989898"/>
                <w:w w:val="99"/>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State and Local </w:t>
            </w:r>
            <w:r>
              <w:rPr>
                <w:rFonts w:ascii="Times New Roman" w:cs="Times New Roman" w:eastAsia="Times New Roman" w:hAnsi="Times New Roman"/>
                <w:sz w:val="20"/>
                <w:szCs w:val="20"/>
                <w:color w:val="989898"/>
                <w:w w:val="99"/>
              </w:rPr>
              <w:t>...............................................................................</w:t>
            </w:r>
          </w:p>
        </w:tc>
        <w:tc>
          <w:tcPr>
            <w:tcW w:w="32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Foreign </w:t>
            </w:r>
            <w:r>
              <w:rPr>
                <w:rFonts w:ascii="Times New Roman" w:cs="Times New Roman" w:eastAsia="Times New Roman" w:hAnsi="Times New Roman"/>
                <w:sz w:val="20"/>
                <w:szCs w:val="20"/>
                <w:color w:val="989898"/>
              </w:rPr>
              <w: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72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5"/>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989898"/>
              </w:rPr>
              <w:t>................................................................................</w:t>
            </w:r>
            <w:r>
              <w:rPr>
                <w:rFonts w:ascii="Times New Roman" w:cs="Times New Roman" w:eastAsia="Times New Roman" w:hAnsi="Times New Roman"/>
                <w:sz w:val="20"/>
                <w:szCs w:val="20"/>
                <w:b w:val="1"/>
                <w:bCs w:val="1"/>
                <w:color w:val="000000"/>
              </w:rPr>
              <w:t>TotalCurrent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72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547"/>
        </w:trPr>
        <w:tc>
          <w:tcPr>
            <w:tcW w:w="5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Federal </w:t>
            </w:r>
            <w:r>
              <w:rPr>
                <w:rFonts w:ascii="Times New Roman" w:cs="Times New Roman" w:eastAsia="Times New Roman" w:hAnsi="Times New Roman"/>
                <w:sz w:val="20"/>
                <w:szCs w:val="20"/>
                <w:color w:val="989898"/>
                <w:w w:val="99"/>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(40,828)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State and Local </w:t>
            </w:r>
            <w:r>
              <w:rPr>
                <w:rFonts w:ascii="Times New Roman" w:cs="Times New Roman" w:eastAsia="Times New Roman" w:hAnsi="Times New Roman"/>
                <w:sz w:val="20"/>
                <w:szCs w:val="20"/>
                <w:color w:val="989898"/>
                <w:w w:val="99"/>
              </w:rPr>
              <w: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Foreign </w:t>
            </w:r>
            <w:r>
              <w:rPr>
                <w:rFonts w:ascii="Times New Roman" w:cs="Times New Roman" w:eastAsia="Times New Roman" w:hAnsi="Times New Roman"/>
                <w:sz w:val="20"/>
                <w:szCs w:val="20"/>
                <w:color w:val="989898"/>
              </w:rPr>
              <w: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Total Deferred </w:t>
            </w:r>
            <w:r>
              <w:rPr>
                <w:rFonts w:ascii="Times New Roman" w:cs="Times New Roman" w:eastAsia="Times New Roman" w:hAnsi="Times New Roman"/>
                <w:sz w:val="20"/>
                <w:szCs w:val="20"/>
                <w:color w:val="989898"/>
              </w:rPr>
              <w:t>................................................................................</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(49,124)</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989898"/>
              </w:rPr>
              <w:t>........................................................................</w:t>
            </w:r>
            <w:r>
              <w:rPr>
                <w:rFonts w:ascii="Times New Roman" w:cs="Times New Roman" w:eastAsia="Times New Roman" w:hAnsi="Times New Roman"/>
                <w:sz w:val="20"/>
                <w:szCs w:val="20"/>
                <w:b w:val="1"/>
                <w:bCs w:val="1"/>
                <w:color w:val="000000"/>
              </w:rPr>
              <w:t>TotalTaxExpense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(49,052)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5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-3114040</wp:posOffset>
            </wp:positionV>
            <wp:extent cx="5969000" cy="5683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5">
                      <a:extLst>
                        <a:ext uri="{28A0092B-C50C-407E-A947-70E740481C1C}"/>
                      </a:extLst>
                    </a:blip>
                    <a:srcRect/>
                    <a:stretch>
                      <a:fillRect/>
                    </a:stretch>
                  </pic:blipFill>
                  <pic:spPr bwMode="auto">
                    <a:xfrm>
                      <a:off x="0" y="0"/>
                      <a:ext cx="5969000" cy="5683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-2202815</wp:posOffset>
            </wp:positionV>
            <wp:extent cx="5969000" cy="2209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66">
                      <a:extLst>
                        <a:ext uri="{28A0092B-C50C-407E-A947-70E740481C1C}"/>
                      </a:extLst>
                    </a:blip>
                    <a:srcRect/>
                    <a:stretch>
                      <a:fillRect/>
                    </a:stretch>
                  </pic:blipFill>
                  <pic:spPr bwMode="auto">
                    <a:xfrm>
                      <a:off x="0" y="0"/>
                      <a:ext cx="5969000" cy="2209800"/>
                    </a:xfrm>
                    <a:prstGeom prst="rect">
                      <a:avLst/>
                    </a:prstGeom>
                    <a:noFill/>
                  </pic:spPr>
                </pic:pic>
              </a:graphicData>
            </a:graphic>
          </wp:anchor>
        </w:drawing>
      </w:r>
    </w:p>
    <w:p>
      <w:pPr>
        <w:spacing w:after="0" w:line="16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For the years ended December 31, 2022, 2021 and 2020, the Company recorded a total income tax benefit of $49,052, $0, $0, respectively. Accordingly, the effective tax rate for the Company for the years ended December 31, 2022, 2021 and 2020 was 8.2%, 0%, 0%, respectively. A reconciliation of the anticipated income tax expense/</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145</w:t>
      </w:r>
    </w:p>
    <w:p>
      <w:pPr>
        <w:sectPr>
          <w:pgSz w:w="12240" w:h="15840" w:orient="portrait"/>
          <w:cols w:equalWidth="0" w:num="1">
            <w:col w:w="9360"/>
          </w:cols>
          <w:pgMar w:left="1440" w:top="1378" w:right="1440" w:bottom="0" w:gutter="0" w:footer="0" w:header="0"/>
          <w:type w:val="continuous"/>
        </w:sectPr>
      </w:pPr>
    </w:p>
    <w:bookmarkStart w:id="134" w:name="page135"/>
    <w:bookmarkEnd w:id="134"/>
    <w:p>
      <w:pPr>
        <w:spacing w:after="0" w:line="281" w:lineRule="auto"/>
        <w:rPr>
          <w:sz w:val="20"/>
          <w:szCs w:val="20"/>
          <w:color w:val="auto"/>
        </w:rPr>
      </w:pPr>
      <w:r>
        <w:rPr>
          <w:rFonts w:ascii="Times New Roman" w:cs="Times New Roman" w:eastAsia="Times New Roman" w:hAnsi="Times New Roman"/>
          <w:sz w:val="20"/>
          <w:szCs w:val="20"/>
          <w:color w:val="auto"/>
        </w:rPr>
        <w:t>(benefit) computed by applying the statutory federal income tax rate of 21% to loss before income taxes to the amount reported in the statement of operations and comprehensive loss is as follows (in thousands):</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20"/>
        </w:trPr>
        <w:tc>
          <w:tcPr>
            <w:tcW w:w="5260" w:type="dxa"/>
            <w:vAlign w:val="bottom"/>
          </w:tcPr>
          <w:p>
            <w:pPr>
              <w:spacing w:after="0"/>
              <w:rPr>
                <w:sz w:val="19"/>
                <w:szCs w:val="19"/>
                <w:color w:val="auto"/>
              </w:rPr>
            </w:pPr>
          </w:p>
        </w:tc>
        <w:tc>
          <w:tcPr>
            <w:tcW w:w="10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2"/>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U.S. federal taxes at statutory rate </w:t>
            </w:r>
            <w:r>
              <w:rPr>
                <w:rFonts w:ascii="Times New Roman" w:cs="Times New Roman" w:eastAsia="Times New Roman" w:hAnsi="Times New Roman"/>
                <w:sz w:val="20"/>
                <w:szCs w:val="20"/>
                <w:color w:val="989898"/>
                <w:w w:val="99"/>
              </w:rPr>
              <w:t>..................................................</w:t>
            </w:r>
          </w:p>
        </w:tc>
        <w:tc>
          <w:tcPr>
            <w:tcW w:w="1040" w:type="dxa"/>
            <w:vAlign w:val="bottom"/>
          </w:tcPr>
          <w:p>
            <w:pPr>
              <w:jc w:val="center"/>
              <w:ind w:left="222"/>
              <w:spacing w:after="0"/>
              <w:rPr>
                <w:sz w:val="20"/>
                <w:szCs w:val="20"/>
                <w:color w:val="auto"/>
              </w:rPr>
            </w:pPr>
            <w:r>
              <w:rPr>
                <w:rFonts w:ascii="Times New Roman" w:cs="Times New Roman" w:eastAsia="Times New Roman" w:hAnsi="Times New Roman"/>
                <w:sz w:val="20"/>
                <w:szCs w:val="20"/>
                <w:color w:val="auto"/>
              </w:rPr>
              <w:t>21.0%</w:t>
            </w:r>
          </w:p>
        </w:tc>
        <w:tc>
          <w:tcPr>
            <w:tcW w:w="1640" w:type="dxa"/>
            <w:vAlign w:val="bottom"/>
            <w:gridSpan w:val="3"/>
          </w:tcPr>
          <w:p>
            <w:pPr>
              <w:jc w:val="center"/>
              <w:ind w:left="263"/>
              <w:spacing w:after="0"/>
              <w:rPr>
                <w:sz w:val="20"/>
                <w:szCs w:val="20"/>
                <w:color w:val="auto"/>
              </w:rPr>
            </w:pPr>
            <w:r>
              <w:rPr>
                <w:rFonts w:ascii="Times New Roman" w:cs="Times New Roman" w:eastAsia="Times New Roman" w:hAnsi="Times New Roman"/>
                <w:sz w:val="20"/>
                <w:szCs w:val="20"/>
                <w:color w:val="auto"/>
              </w:rPr>
              <w:t>21.0%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center"/>
              <w:ind w:right="182"/>
              <w:spacing w:after="0"/>
              <w:rPr>
                <w:sz w:val="20"/>
                <w:szCs w:val="20"/>
                <w:color w:val="auto"/>
              </w:rPr>
            </w:pPr>
            <w:r>
              <w:rPr>
                <w:rFonts w:ascii="Times New Roman" w:cs="Times New Roman" w:eastAsia="Times New Roman" w:hAnsi="Times New Roman"/>
                <w:sz w:val="20"/>
                <w:szCs w:val="20"/>
                <w:color w:val="auto"/>
              </w:rPr>
              <w:t>21.0%</w:t>
            </w: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State taxes (net of federal benefit) </w:t>
            </w:r>
            <w:r>
              <w:rPr>
                <w:rFonts w:ascii="Times New Roman" w:cs="Times New Roman" w:eastAsia="Times New Roman" w:hAnsi="Times New Roman"/>
                <w:sz w:val="20"/>
                <w:szCs w:val="20"/>
                <w:color w:val="989898"/>
                <w:w w:val="99"/>
              </w:rPr>
              <w:t>..................................................</w:t>
            </w:r>
          </w:p>
        </w:tc>
        <w:tc>
          <w:tcPr>
            <w:tcW w:w="1040" w:type="dxa"/>
            <w:vAlign w:val="bottom"/>
          </w:tcPr>
          <w:p>
            <w:pPr>
              <w:jc w:val="center"/>
              <w:ind w:left="222"/>
              <w:spacing w:after="0"/>
              <w:rPr>
                <w:sz w:val="20"/>
                <w:szCs w:val="20"/>
                <w:color w:val="auto"/>
              </w:rPr>
            </w:pPr>
            <w:r>
              <w:rPr>
                <w:rFonts w:ascii="Times New Roman" w:cs="Times New Roman" w:eastAsia="Times New Roman" w:hAnsi="Times New Roman"/>
                <w:sz w:val="20"/>
                <w:szCs w:val="20"/>
                <w:color w:val="auto"/>
                <w:w w:val="95"/>
              </w:rPr>
              <w:t>1.4</w:t>
            </w:r>
          </w:p>
        </w:tc>
        <w:tc>
          <w:tcPr>
            <w:tcW w:w="1640" w:type="dxa"/>
            <w:vAlign w:val="bottom"/>
            <w:gridSpan w:val="3"/>
          </w:tcPr>
          <w:p>
            <w:pPr>
              <w:jc w:val="center"/>
              <w:ind w:left="263"/>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center"/>
              <w:ind w:right="162"/>
              <w:spacing w:after="0"/>
              <w:rPr>
                <w:sz w:val="20"/>
                <w:szCs w:val="20"/>
                <w:color w:val="auto"/>
              </w:rPr>
            </w:pPr>
            <w:r>
              <w:rPr>
                <w:rFonts w:ascii="Times New Roman" w:cs="Times New Roman" w:eastAsia="Times New Roman" w:hAnsi="Times New Roman"/>
                <w:sz w:val="20"/>
                <w:szCs w:val="20"/>
                <w:color w:val="auto"/>
              </w:rPr>
              <w:t>2.1</w:t>
            </w: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Research and development tax credits </w:t>
            </w:r>
            <w:r>
              <w:rPr>
                <w:rFonts w:ascii="Times New Roman" w:cs="Times New Roman" w:eastAsia="Times New Roman" w:hAnsi="Times New Roman"/>
                <w:sz w:val="20"/>
                <w:szCs w:val="20"/>
                <w:color w:val="989898"/>
              </w:rPr>
              <w:t>...........................................</w:t>
            </w:r>
          </w:p>
        </w:tc>
        <w:tc>
          <w:tcPr>
            <w:tcW w:w="1040" w:type="dxa"/>
            <w:vAlign w:val="bottom"/>
          </w:tcPr>
          <w:p>
            <w:pPr>
              <w:jc w:val="center"/>
              <w:ind w:left="222"/>
              <w:spacing w:after="0"/>
              <w:rPr>
                <w:sz w:val="20"/>
                <w:szCs w:val="20"/>
                <w:color w:val="auto"/>
              </w:rPr>
            </w:pPr>
            <w:r>
              <w:rPr>
                <w:rFonts w:ascii="Times New Roman" w:cs="Times New Roman" w:eastAsia="Times New Roman" w:hAnsi="Times New Roman"/>
                <w:sz w:val="20"/>
                <w:szCs w:val="20"/>
                <w:color w:val="auto"/>
                <w:w w:val="95"/>
              </w:rPr>
              <w:t>0.3</w:t>
            </w:r>
          </w:p>
        </w:tc>
        <w:tc>
          <w:tcPr>
            <w:tcW w:w="1640" w:type="dxa"/>
            <w:vAlign w:val="bottom"/>
            <w:gridSpan w:val="3"/>
          </w:tcPr>
          <w:p>
            <w:pPr>
              <w:jc w:val="center"/>
              <w:ind w:left="263"/>
              <w:spacing w:after="0"/>
              <w:rPr>
                <w:sz w:val="20"/>
                <w:szCs w:val="20"/>
                <w:color w:val="auto"/>
              </w:rPr>
            </w:pPr>
            <w:r>
              <w:rPr>
                <w:rFonts w:ascii="Times New Roman" w:cs="Times New Roman" w:eastAsia="Times New Roman" w:hAnsi="Times New Roman"/>
                <w:sz w:val="20"/>
                <w:szCs w:val="20"/>
                <w:color w:val="auto"/>
                <w:w w:val="95"/>
              </w:rPr>
              <w:t>0.7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center"/>
              <w:ind w:right="162"/>
              <w:spacing w:after="0"/>
              <w:rPr>
                <w:sz w:val="20"/>
                <w:szCs w:val="20"/>
                <w:color w:val="auto"/>
              </w:rPr>
            </w:pPr>
            <w:r>
              <w:rPr>
                <w:rFonts w:ascii="Times New Roman" w:cs="Times New Roman" w:eastAsia="Times New Roman" w:hAnsi="Times New Roman"/>
                <w:sz w:val="20"/>
                <w:szCs w:val="20"/>
                <w:color w:val="auto"/>
              </w:rPr>
              <w:t>0.6</w:t>
            </w: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Non-deductible stock-based compensation </w:t>
            </w:r>
            <w:r>
              <w:rPr>
                <w:rFonts w:ascii="Times New Roman" w:cs="Times New Roman" w:eastAsia="Times New Roman" w:hAnsi="Times New Roman"/>
                <w:sz w:val="20"/>
                <w:szCs w:val="20"/>
                <w:color w:val="989898"/>
                <w:w w:val="99"/>
              </w:rPr>
              <w:t>....................................</w:t>
            </w:r>
          </w:p>
        </w:tc>
        <w:tc>
          <w:tcPr>
            <w:tcW w:w="1040" w:type="dxa"/>
            <w:vAlign w:val="bottom"/>
          </w:tcPr>
          <w:p>
            <w:pPr>
              <w:jc w:val="center"/>
              <w:ind w:left="202"/>
              <w:spacing w:after="0"/>
              <w:rPr>
                <w:sz w:val="20"/>
                <w:szCs w:val="20"/>
                <w:color w:val="auto"/>
              </w:rPr>
            </w:pPr>
            <w:r>
              <w:rPr>
                <w:rFonts w:ascii="Times New Roman" w:cs="Times New Roman" w:eastAsia="Times New Roman" w:hAnsi="Times New Roman"/>
                <w:sz w:val="20"/>
                <w:szCs w:val="20"/>
                <w:color w:val="auto"/>
                <w:w w:val="99"/>
              </w:rPr>
              <w:t>(1.0)</w:t>
            </w:r>
          </w:p>
        </w:tc>
        <w:tc>
          <w:tcPr>
            <w:tcW w:w="1640" w:type="dxa"/>
            <w:vAlign w:val="bottom"/>
            <w:gridSpan w:val="3"/>
          </w:tcPr>
          <w:p>
            <w:pPr>
              <w:jc w:val="center"/>
              <w:ind w:left="263"/>
              <w:spacing w:after="0"/>
              <w:rPr>
                <w:sz w:val="20"/>
                <w:szCs w:val="20"/>
                <w:color w:val="auto"/>
              </w:rPr>
            </w:pPr>
            <w:r>
              <w:rPr>
                <w:rFonts w:ascii="Times New Roman" w:cs="Times New Roman" w:eastAsia="Times New Roman" w:hAnsi="Times New Roman"/>
                <w:sz w:val="20"/>
                <w:szCs w:val="20"/>
                <w:color w:val="auto"/>
                <w:w w:val="99"/>
              </w:rPr>
              <w:t>(11.3)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center"/>
              <w:ind w:right="162"/>
              <w:spacing w:after="0"/>
              <w:rPr>
                <w:sz w:val="20"/>
                <w:szCs w:val="20"/>
                <w:color w:val="auto"/>
              </w:rPr>
            </w:pPr>
            <w:r>
              <w:rPr>
                <w:rFonts w:ascii="Times New Roman" w:cs="Times New Roman" w:eastAsia="Times New Roman" w:hAnsi="Times New Roman"/>
                <w:sz w:val="20"/>
                <w:szCs w:val="20"/>
                <w:color w:val="auto"/>
                <w:w w:val="99"/>
              </w:rPr>
              <w:t>(7.8)</w:t>
            </w: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162(m) Limitation </w:t>
            </w:r>
            <w:r>
              <w:rPr>
                <w:rFonts w:ascii="Times New Roman" w:cs="Times New Roman" w:eastAsia="Times New Roman" w:hAnsi="Times New Roman"/>
                <w:sz w:val="20"/>
                <w:szCs w:val="20"/>
                <w:color w:val="989898"/>
              </w:rPr>
              <w:t>..........................................................................</w:t>
            </w:r>
          </w:p>
        </w:tc>
        <w:tc>
          <w:tcPr>
            <w:tcW w:w="1040" w:type="dxa"/>
            <w:vAlign w:val="bottom"/>
          </w:tcPr>
          <w:p>
            <w:pPr>
              <w:jc w:val="center"/>
              <w:ind w:left="222"/>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gridSpan w:val="3"/>
          </w:tcPr>
          <w:p>
            <w:pPr>
              <w:jc w:val="center"/>
              <w:ind w:left="263"/>
              <w:spacing w:after="0"/>
              <w:rPr>
                <w:sz w:val="20"/>
                <w:szCs w:val="20"/>
                <w:color w:val="auto"/>
              </w:rPr>
            </w:pPr>
            <w:r>
              <w:rPr>
                <w:rFonts w:ascii="Times New Roman" w:cs="Times New Roman" w:eastAsia="Times New Roman" w:hAnsi="Times New Roman"/>
                <w:sz w:val="20"/>
                <w:szCs w:val="20"/>
                <w:color w:val="auto"/>
              </w:rPr>
              <w:t>(5.7)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center"/>
              <w:ind w:right="182"/>
              <w:spacing w:after="0"/>
              <w:rPr>
                <w:sz w:val="20"/>
                <w:szCs w:val="20"/>
                <w:color w:val="auto"/>
              </w:rPr>
            </w:pPr>
            <w:r>
              <w:rPr>
                <w:rFonts w:ascii="Times New Roman" w:cs="Times New Roman" w:eastAsia="Times New Roman" w:hAnsi="Times New Roman"/>
                <w:sz w:val="20"/>
                <w:szCs w:val="20"/>
                <w:color w:val="auto"/>
                <w:w w:val="99"/>
              </w:rPr>
              <w:t>—</w:t>
            </w: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Permanent Items </w:t>
            </w:r>
            <w:r>
              <w:rPr>
                <w:rFonts w:ascii="Times New Roman" w:cs="Times New Roman" w:eastAsia="Times New Roman" w:hAnsi="Times New Roman"/>
                <w:sz w:val="20"/>
                <w:szCs w:val="20"/>
                <w:color w:val="989898"/>
                <w:w w:val="99"/>
              </w:rPr>
              <w:t>.............................................................................</w:t>
            </w:r>
          </w:p>
        </w:tc>
        <w:tc>
          <w:tcPr>
            <w:tcW w:w="1040" w:type="dxa"/>
            <w:vAlign w:val="bottom"/>
          </w:tcPr>
          <w:p>
            <w:pPr>
              <w:jc w:val="center"/>
              <w:ind w:left="222"/>
              <w:spacing w:after="0"/>
              <w:rPr>
                <w:sz w:val="20"/>
                <w:szCs w:val="20"/>
                <w:color w:val="auto"/>
              </w:rPr>
            </w:pPr>
            <w:r>
              <w:rPr>
                <w:rFonts w:ascii="Times New Roman" w:cs="Times New Roman" w:eastAsia="Times New Roman" w:hAnsi="Times New Roman"/>
                <w:sz w:val="20"/>
                <w:szCs w:val="20"/>
                <w:color w:val="auto"/>
                <w:w w:val="95"/>
              </w:rPr>
              <w:t>0.5</w:t>
            </w:r>
          </w:p>
        </w:tc>
        <w:tc>
          <w:tcPr>
            <w:tcW w:w="1640" w:type="dxa"/>
            <w:vAlign w:val="bottom"/>
            <w:gridSpan w:val="3"/>
          </w:tcPr>
          <w:p>
            <w:pPr>
              <w:jc w:val="center"/>
              <w:ind w:left="263"/>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center"/>
              <w:ind w:right="182"/>
              <w:spacing w:after="0"/>
              <w:rPr>
                <w:sz w:val="20"/>
                <w:szCs w:val="20"/>
                <w:color w:val="auto"/>
              </w:rPr>
            </w:pPr>
            <w:r>
              <w:rPr>
                <w:rFonts w:ascii="Times New Roman" w:cs="Times New Roman" w:eastAsia="Times New Roman" w:hAnsi="Times New Roman"/>
                <w:sz w:val="20"/>
                <w:szCs w:val="20"/>
                <w:color w:val="auto"/>
                <w:w w:val="99"/>
              </w:rPr>
              <w:t>—</w:t>
            </w: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Unrealized fair market value gain on warrants </w:t>
            </w:r>
            <w:r>
              <w:rPr>
                <w:rFonts w:ascii="Times New Roman" w:cs="Times New Roman" w:eastAsia="Times New Roman" w:hAnsi="Times New Roman"/>
                <w:sz w:val="20"/>
                <w:szCs w:val="20"/>
                <w:color w:val="989898"/>
              </w:rPr>
              <w:t>..............................</w:t>
            </w:r>
          </w:p>
        </w:tc>
        <w:tc>
          <w:tcPr>
            <w:tcW w:w="1040" w:type="dxa"/>
            <w:vAlign w:val="bottom"/>
          </w:tcPr>
          <w:p>
            <w:pPr>
              <w:jc w:val="center"/>
              <w:ind w:left="222"/>
              <w:spacing w:after="0"/>
              <w:rPr>
                <w:sz w:val="20"/>
                <w:szCs w:val="20"/>
                <w:color w:val="auto"/>
              </w:rPr>
            </w:pPr>
            <w:r>
              <w:rPr>
                <w:rFonts w:ascii="Times New Roman" w:cs="Times New Roman" w:eastAsia="Times New Roman" w:hAnsi="Times New Roman"/>
                <w:sz w:val="20"/>
                <w:szCs w:val="20"/>
                <w:color w:val="auto"/>
                <w:w w:val="95"/>
              </w:rPr>
              <w:t>1.7</w:t>
            </w:r>
          </w:p>
        </w:tc>
        <w:tc>
          <w:tcPr>
            <w:tcW w:w="1640" w:type="dxa"/>
            <w:vAlign w:val="bottom"/>
            <w:gridSpan w:val="3"/>
          </w:tcPr>
          <w:p>
            <w:pPr>
              <w:jc w:val="center"/>
              <w:ind w:left="263"/>
              <w:spacing w:after="0"/>
              <w:rPr>
                <w:sz w:val="20"/>
                <w:szCs w:val="20"/>
                <w:color w:val="auto"/>
              </w:rPr>
            </w:pPr>
            <w:r>
              <w:rPr>
                <w:rFonts w:ascii="Times New Roman" w:cs="Times New Roman" w:eastAsia="Times New Roman" w:hAnsi="Times New Roman"/>
                <w:sz w:val="20"/>
                <w:szCs w:val="20"/>
                <w:color w:val="auto"/>
              </w:rPr>
              <w:t>17.0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center"/>
              <w:ind w:right="182"/>
              <w:spacing w:after="0"/>
              <w:rPr>
                <w:sz w:val="20"/>
                <w:szCs w:val="20"/>
                <w:color w:val="auto"/>
              </w:rPr>
            </w:pPr>
            <w:r>
              <w:rPr>
                <w:rFonts w:ascii="Times New Roman" w:cs="Times New Roman" w:eastAsia="Times New Roman" w:hAnsi="Times New Roman"/>
                <w:sz w:val="20"/>
                <w:szCs w:val="20"/>
                <w:color w:val="auto"/>
                <w:w w:val="99"/>
              </w:rPr>
              <w:t>—</w:t>
            </w: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Goodwill Impairment </w:t>
            </w:r>
            <w:r>
              <w:rPr>
                <w:rFonts w:ascii="Times New Roman" w:cs="Times New Roman" w:eastAsia="Times New Roman" w:hAnsi="Times New Roman"/>
                <w:sz w:val="20"/>
                <w:szCs w:val="20"/>
                <w:color w:val="989898"/>
              </w:rPr>
              <w:t>.....................................................................</w:t>
            </w:r>
          </w:p>
        </w:tc>
        <w:tc>
          <w:tcPr>
            <w:tcW w:w="1040" w:type="dxa"/>
            <w:vAlign w:val="bottom"/>
          </w:tcPr>
          <w:p>
            <w:pPr>
              <w:jc w:val="center"/>
              <w:ind w:left="202"/>
              <w:spacing w:after="0"/>
              <w:rPr>
                <w:sz w:val="20"/>
                <w:szCs w:val="20"/>
                <w:color w:val="auto"/>
              </w:rPr>
            </w:pPr>
            <w:r>
              <w:rPr>
                <w:rFonts w:ascii="Times New Roman" w:cs="Times New Roman" w:eastAsia="Times New Roman" w:hAnsi="Times New Roman"/>
                <w:sz w:val="20"/>
                <w:szCs w:val="20"/>
                <w:color w:val="auto"/>
                <w:w w:val="99"/>
              </w:rPr>
              <w:t>(6.1)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gridSpan w:val="3"/>
          </w:tcPr>
          <w:p>
            <w:pPr>
              <w:jc w:val="center"/>
              <w:ind w:right="340"/>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center"/>
              <w:ind w:right="182"/>
              <w:spacing w:after="0"/>
              <w:rPr>
                <w:sz w:val="20"/>
                <w:szCs w:val="20"/>
                <w:color w:val="auto"/>
              </w:rPr>
            </w:pPr>
            <w:r>
              <w:rPr>
                <w:rFonts w:ascii="Times New Roman" w:cs="Times New Roman" w:eastAsia="Times New Roman" w:hAnsi="Times New Roman"/>
                <w:sz w:val="20"/>
                <w:szCs w:val="20"/>
                <w:color w:val="auto"/>
                <w:w w:val="99"/>
              </w:rPr>
              <w:t>—</w:t>
            </w: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r>
              <w:rPr>
                <w:rFonts w:ascii="Times New Roman" w:cs="Times New Roman" w:eastAsia="Times New Roman" w:hAnsi="Times New Roman"/>
                <w:sz w:val="20"/>
                <w:szCs w:val="20"/>
                <w:color w:val="989898"/>
              </w:rPr>
              <w:t>.......................................................</w:t>
            </w:r>
          </w:p>
        </w:tc>
        <w:tc>
          <w:tcPr>
            <w:tcW w:w="104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20"/>
                <w:szCs w:val="20"/>
                <w:color w:val="auto"/>
                <w:w w:val="99"/>
              </w:rPr>
              <w:t>(9.6)</w:t>
            </w:r>
          </w:p>
        </w:tc>
        <w:tc>
          <w:tcPr>
            <w:tcW w:w="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(32.0)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20"/>
                <w:szCs w:val="20"/>
                <w:color w:val="auto"/>
                <w:w w:val="99"/>
              </w:rPr>
              <w:t>(15.9)</w:t>
            </w:r>
          </w:p>
        </w:tc>
      </w:tr>
      <w:tr>
        <w:trPr>
          <w:trHeight w:val="24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Effective tax rate </w:t>
            </w:r>
            <w:r>
              <w:rPr>
                <w:rFonts w:ascii="Times New Roman" w:cs="Times New Roman" w:eastAsia="Times New Roman" w:hAnsi="Times New Roman"/>
                <w:sz w:val="20"/>
                <w:szCs w:val="20"/>
                <w:color w:val="989898"/>
              </w:rPr>
              <w:t>............................................................................</w:t>
            </w:r>
          </w:p>
        </w:tc>
        <w:tc>
          <w:tcPr>
            <w:tcW w:w="1040" w:type="dxa"/>
            <w:vAlign w:val="bottom"/>
          </w:tcPr>
          <w:p>
            <w:pPr>
              <w:jc w:val="center"/>
              <w:ind w:left="202"/>
              <w:spacing w:after="0"/>
              <w:rPr>
                <w:sz w:val="20"/>
                <w:szCs w:val="20"/>
                <w:color w:val="auto"/>
              </w:rPr>
            </w:pPr>
            <w:r>
              <w:rPr>
                <w:rFonts w:ascii="Times New Roman" w:cs="Times New Roman" w:eastAsia="Times New Roman" w:hAnsi="Times New Roman"/>
                <w:sz w:val="20"/>
                <w:szCs w:val="20"/>
                <w:color w:val="auto"/>
              </w:rPr>
              <w:t>8.2%</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60" w:type="dxa"/>
            <w:vAlign w:val="bottom"/>
            <w:gridSpan w:val="3"/>
          </w:tcPr>
          <w:p>
            <w:pPr>
              <w:jc w:val="center"/>
              <w:ind w:right="340"/>
              <w:spacing w:after="0"/>
              <w:rPr>
                <w:sz w:val="20"/>
                <w:szCs w:val="20"/>
                <w:color w:val="auto"/>
              </w:rPr>
            </w:pPr>
            <w:r>
              <w:rPr>
                <w:rFonts w:ascii="Times New Roman" w:cs="Times New Roman" w:eastAsia="Times New Roman" w:hAnsi="Times New Roman"/>
                <w:sz w:val="20"/>
                <w:szCs w:val="20"/>
                <w:color w:val="auto"/>
                <w:w w:val="98"/>
              </w:rPr>
              <w:t>—%</w:t>
            </w:r>
          </w:p>
        </w:tc>
        <w:tc>
          <w:tcPr>
            <w:tcW w:w="1000" w:type="dxa"/>
            <w:vAlign w:val="bottom"/>
          </w:tcPr>
          <w:p>
            <w:pPr>
              <w:jc w:val="center"/>
              <w:ind w:right="182"/>
              <w:spacing w:after="0"/>
              <w:rPr>
                <w:sz w:val="20"/>
                <w:szCs w:val="20"/>
                <w:color w:val="auto"/>
              </w:rPr>
            </w:pPr>
            <w:r>
              <w:rPr>
                <w:rFonts w:ascii="Times New Roman" w:cs="Times New Roman" w:eastAsia="Times New Roman" w:hAnsi="Times New Roman"/>
                <w:sz w:val="20"/>
                <w:szCs w:val="20"/>
                <w:color w:val="auto"/>
                <w:w w:val="98"/>
              </w:rPr>
              <w:t>—%</w:t>
            </w:r>
          </w:p>
        </w:tc>
      </w:tr>
      <w:tr>
        <w:trPr>
          <w:trHeight w:val="20"/>
        </w:trPr>
        <w:tc>
          <w:tcPr>
            <w:tcW w:w="5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-1840865</wp:posOffset>
            </wp:positionV>
            <wp:extent cx="5969000" cy="1847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7">
                      <a:extLst>
                        <a:ext uri="{28A0092B-C50C-407E-A947-70E740481C1C}"/>
                      </a:extLst>
                    </a:blip>
                    <a:srcRect/>
                    <a:stretch>
                      <a:fillRect/>
                    </a:stretch>
                  </pic:blipFill>
                  <pic:spPr bwMode="auto">
                    <a:xfrm>
                      <a:off x="0" y="0"/>
                      <a:ext cx="5969000" cy="1847850"/>
                    </a:xfrm>
                    <a:prstGeom prst="rect">
                      <a:avLst/>
                    </a:prstGeom>
                    <a:noFill/>
                  </pic:spPr>
                </pic:pic>
              </a:graphicData>
            </a:graphic>
          </wp:anchor>
        </w:drawing>
      </w:r>
    </w:p>
    <w:p>
      <w:pPr>
        <w:spacing w:after="0" w:line="168"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The tax effects of temporary differences and carryforwards that give rise to significant portions of the net deferred tax assets were as follows (in thousands):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20"/>
        </w:trPr>
        <w:tc>
          <w:tcPr>
            <w:tcW w:w="6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62"/>
        </w:trPr>
        <w:tc>
          <w:tcPr>
            <w:tcW w:w="6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tax assets:</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Net operating loss carryforwards </w:t>
            </w:r>
            <w:r>
              <w:rPr>
                <w:rFonts w:ascii="Times New Roman" w:cs="Times New Roman" w:eastAsia="Times New Roman" w:hAnsi="Times New Roman"/>
                <w:sz w:val="20"/>
                <w:szCs w:val="20"/>
                <w:color w:val="989898"/>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199,426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132,075</w:t>
            </w:r>
          </w:p>
        </w:tc>
        <w:tc>
          <w:tcPr>
            <w:tcW w:w="0" w:type="dxa"/>
            <w:vAlign w:val="bottom"/>
          </w:tcPr>
          <w:p>
            <w:pPr>
              <w:spacing w:after="0"/>
              <w:rPr>
                <w:sz w:val="1"/>
                <w:szCs w:val="1"/>
                <w:color w:val="auto"/>
              </w:rPr>
            </w:pPr>
          </w:p>
        </w:tc>
      </w:tr>
      <w:tr>
        <w:trPr>
          <w:trHeight w:val="285"/>
        </w:trPr>
        <w:tc>
          <w:tcPr>
            <w:tcW w:w="6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Stock-based compensation </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13,379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12,311</w:t>
            </w:r>
          </w:p>
        </w:tc>
        <w:tc>
          <w:tcPr>
            <w:tcW w:w="0" w:type="dxa"/>
            <w:vAlign w:val="bottom"/>
          </w:tcPr>
          <w:p>
            <w:pPr>
              <w:spacing w:after="0"/>
              <w:rPr>
                <w:sz w:val="1"/>
                <w:szCs w:val="1"/>
                <w:color w:val="auto"/>
              </w:rPr>
            </w:pPr>
          </w:p>
        </w:tc>
      </w:tr>
      <w:tr>
        <w:trPr>
          <w:trHeight w:val="285"/>
        </w:trPr>
        <w:tc>
          <w:tcPr>
            <w:tcW w:w="6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Accrued compensation </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4,170</w:t>
            </w:r>
          </w:p>
        </w:tc>
        <w:tc>
          <w:tcPr>
            <w:tcW w:w="0" w:type="dxa"/>
            <w:vAlign w:val="bottom"/>
          </w:tcPr>
          <w:p>
            <w:pPr>
              <w:spacing w:after="0"/>
              <w:rPr>
                <w:sz w:val="1"/>
                <w:szCs w:val="1"/>
                <w:color w:val="auto"/>
              </w:rPr>
            </w:pPr>
          </w:p>
        </w:tc>
      </w:tr>
      <w:tr>
        <w:trPr>
          <w:trHeight w:val="285"/>
        </w:trPr>
        <w:tc>
          <w:tcPr>
            <w:tcW w:w="6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Transaction costs</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w:t>
            </w:r>
          </w:p>
        </w:tc>
        <w:tc>
          <w:tcPr>
            <w:tcW w:w="0" w:type="dxa"/>
            <w:vAlign w:val="bottom"/>
          </w:tcPr>
          <w:p>
            <w:pPr>
              <w:spacing w:after="0"/>
              <w:rPr>
                <w:sz w:val="1"/>
                <w:szCs w:val="1"/>
                <w:color w:val="auto"/>
              </w:rPr>
            </w:pPr>
          </w:p>
        </w:tc>
      </w:tr>
      <w:tr>
        <w:trPr>
          <w:trHeight w:val="285"/>
        </w:trPr>
        <w:tc>
          <w:tcPr>
            <w:tcW w:w="6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Research and development credits </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7,285</w:t>
            </w:r>
          </w:p>
        </w:tc>
        <w:tc>
          <w:tcPr>
            <w:tcW w:w="0" w:type="dxa"/>
            <w:vAlign w:val="bottom"/>
          </w:tcPr>
          <w:p>
            <w:pPr>
              <w:spacing w:after="0"/>
              <w:rPr>
                <w:sz w:val="1"/>
                <w:szCs w:val="1"/>
                <w:color w:val="auto"/>
              </w:rPr>
            </w:pPr>
          </w:p>
        </w:tc>
      </w:tr>
      <w:tr>
        <w:trPr>
          <w:trHeight w:val="285"/>
        </w:trPr>
        <w:tc>
          <w:tcPr>
            <w:tcW w:w="6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Leases</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12,971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1,443</w:t>
            </w:r>
          </w:p>
        </w:tc>
        <w:tc>
          <w:tcPr>
            <w:tcW w:w="0" w:type="dxa"/>
            <w:vAlign w:val="bottom"/>
          </w:tcPr>
          <w:p>
            <w:pPr>
              <w:spacing w:after="0"/>
              <w:rPr>
                <w:sz w:val="1"/>
                <w:szCs w:val="1"/>
                <w:color w:val="auto"/>
              </w:rPr>
            </w:pPr>
          </w:p>
        </w:tc>
      </w:tr>
      <w:tr>
        <w:trPr>
          <w:trHeight w:val="285"/>
        </w:trPr>
        <w:tc>
          <w:tcPr>
            <w:tcW w:w="6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Unearned revenue </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0" w:type="dxa"/>
            <w:vAlign w:val="bottom"/>
          </w:tcPr>
          <w:p>
            <w:pPr>
              <w:spacing w:after="0"/>
              <w:rPr>
                <w:sz w:val="1"/>
                <w:szCs w:val="1"/>
                <w:color w:val="auto"/>
              </w:rPr>
            </w:pPr>
          </w:p>
        </w:tc>
      </w:tr>
      <w:tr>
        <w:trPr>
          <w:trHeight w:val="285"/>
        </w:trPr>
        <w:tc>
          <w:tcPr>
            <w:tcW w:w="6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Deferred employer taxes </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w:t>
            </w:r>
          </w:p>
        </w:tc>
        <w:tc>
          <w:tcPr>
            <w:tcW w:w="0" w:type="dxa"/>
            <w:vAlign w:val="bottom"/>
          </w:tcPr>
          <w:p>
            <w:pPr>
              <w:spacing w:after="0"/>
              <w:rPr>
                <w:sz w:val="1"/>
                <w:szCs w:val="1"/>
                <w:color w:val="auto"/>
              </w:rPr>
            </w:pPr>
          </w:p>
        </w:tc>
      </w:tr>
      <w:tr>
        <w:trPr>
          <w:trHeight w:val="285"/>
        </w:trPr>
        <w:tc>
          <w:tcPr>
            <w:tcW w:w="6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expense</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w:t>
            </w:r>
          </w:p>
        </w:tc>
        <w:tc>
          <w:tcPr>
            <w:tcW w:w="0" w:type="dxa"/>
            <w:vAlign w:val="bottom"/>
          </w:tcPr>
          <w:p>
            <w:pPr>
              <w:spacing w:after="0"/>
              <w:rPr>
                <w:sz w:val="1"/>
                <w:szCs w:val="1"/>
                <w:color w:val="auto"/>
              </w:rPr>
            </w:pPr>
          </w:p>
        </w:tc>
      </w:tr>
      <w:tr>
        <w:trPr>
          <w:trHeight w:val="285"/>
        </w:trPr>
        <w:tc>
          <w:tcPr>
            <w:tcW w:w="6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Property and equipment </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w:t>
            </w:r>
          </w:p>
        </w:tc>
        <w:tc>
          <w:tcPr>
            <w:tcW w:w="0" w:type="dxa"/>
            <w:vAlign w:val="bottom"/>
          </w:tcPr>
          <w:p>
            <w:pPr>
              <w:spacing w:after="0"/>
              <w:rPr>
                <w:sz w:val="1"/>
                <w:szCs w:val="1"/>
                <w:color w:val="auto"/>
              </w:rPr>
            </w:pPr>
          </w:p>
        </w:tc>
      </w:tr>
      <w:tr>
        <w:trPr>
          <w:trHeight w:val="285"/>
        </w:trPr>
        <w:tc>
          <w:tcPr>
            <w:tcW w:w="6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Obsolete inventory reserve </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w:t>
            </w:r>
          </w:p>
        </w:tc>
        <w:tc>
          <w:tcPr>
            <w:tcW w:w="0" w:type="dxa"/>
            <w:vAlign w:val="bottom"/>
          </w:tcPr>
          <w:p>
            <w:pPr>
              <w:spacing w:after="0"/>
              <w:rPr>
                <w:sz w:val="1"/>
                <w:szCs w:val="1"/>
                <w:color w:val="auto"/>
              </w:rPr>
            </w:pPr>
          </w:p>
        </w:tc>
      </w:tr>
      <w:tr>
        <w:trPr>
          <w:trHeight w:val="285"/>
        </w:trPr>
        <w:tc>
          <w:tcPr>
            <w:tcW w:w="6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Accrued expenses </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10,142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Section 174 amortization </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23,193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6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989898"/>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45"/>
        </w:trPr>
        <w:tc>
          <w:tcPr>
            <w:tcW w:w="6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deferred tax assets </w:t>
            </w:r>
            <w:r>
              <w:rPr>
                <w:rFonts w:ascii="Times New Roman" w:cs="Times New Roman" w:eastAsia="Times New Roman" w:hAnsi="Times New Roman"/>
                <w:sz w:val="20"/>
                <w:szCs w:val="20"/>
                <w:color w:val="989898"/>
              </w:rPr>
              <w:t>.......................................................................................</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280,963</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160,463</w:t>
            </w:r>
          </w:p>
        </w:tc>
        <w:tc>
          <w:tcPr>
            <w:tcW w:w="0" w:type="dxa"/>
            <w:vAlign w:val="bottom"/>
          </w:tcPr>
          <w:p>
            <w:pPr>
              <w:spacing w:after="0"/>
              <w:rPr>
                <w:sz w:val="1"/>
                <w:szCs w:val="1"/>
                <w:color w:val="auto"/>
              </w:rPr>
            </w:pPr>
          </w:p>
        </w:tc>
      </w:tr>
      <w:tr>
        <w:trPr>
          <w:trHeight w:val="20"/>
        </w:trPr>
        <w:tc>
          <w:tcPr>
            <w:tcW w:w="6680" w:type="dxa"/>
            <w:vAlign w:val="bottom"/>
            <w:vMerge w:val="restart"/>
          </w:tcPr>
          <w:p>
            <w:pPr>
              <w:jc w:val="right"/>
              <w:ind w:right="4660"/>
              <w:spacing w:after="0"/>
              <w:rPr>
                <w:sz w:val="20"/>
                <w:szCs w:val="20"/>
                <w:color w:val="auto"/>
              </w:rPr>
            </w:pPr>
            <w:r>
              <w:rPr>
                <w:rFonts w:ascii="Times New Roman" w:cs="Times New Roman" w:eastAsia="Times New Roman" w:hAnsi="Times New Roman"/>
                <w:sz w:val="20"/>
                <w:szCs w:val="20"/>
                <w:color w:val="auto"/>
              </w:rPr>
              <w:t>Valuation allowance</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680" w:type="dxa"/>
            <w:vAlign w:val="bottom"/>
            <w:vMerge w:val="continue"/>
          </w:tcPr>
          <w:p>
            <w:pPr>
              <w:jc w:val="right"/>
              <w:spacing w:after="0" w:line="182" w:lineRule="exact"/>
              <w:rPr>
                <w:sz w:val="20"/>
                <w:szCs w:val="20"/>
                <w:color w:val="auto"/>
              </w:rPr>
            </w:pPr>
            <w:r>
              <w:rPr>
                <w:rFonts w:ascii="Times New Roman" w:cs="Times New Roman" w:eastAsia="Times New Roman" w:hAnsi="Times New Roman"/>
                <w:sz w:val="20"/>
                <w:szCs w:val="20"/>
                <w:color w:val="989898"/>
              </w:rPr>
              <w:t>.............................................................................................</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(226,644)</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(155,668)</w:t>
            </w:r>
          </w:p>
        </w:tc>
        <w:tc>
          <w:tcPr>
            <w:tcW w:w="0" w:type="dxa"/>
            <w:vAlign w:val="bottom"/>
          </w:tcPr>
          <w:p>
            <w:pPr>
              <w:spacing w:after="0"/>
              <w:rPr>
                <w:sz w:val="1"/>
                <w:szCs w:val="1"/>
                <w:color w:val="auto"/>
              </w:rPr>
            </w:pPr>
          </w:p>
        </w:tc>
      </w:tr>
      <w:tr>
        <w:trPr>
          <w:trHeight w:val="245"/>
        </w:trPr>
        <w:tc>
          <w:tcPr>
            <w:tcW w:w="6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Deferred tax assets, net of valuation allowance</w:t>
            </w:r>
            <w:r>
              <w:rPr>
                <w:rFonts w:ascii="Times New Roman" w:cs="Times New Roman" w:eastAsia="Times New Roman" w:hAnsi="Times New Roman"/>
                <w:sz w:val="20"/>
                <w:szCs w:val="20"/>
                <w:color w:val="989898"/>
              </w:rPr>
              <w:t>.........................................................</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54,319</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4,795</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Deferred tax liabilities:</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6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ROU asset</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Capitalized software </w:t>
            </w:r>
            <w:r>
              <w:rPr>
                <w:rFonts w:ascii="Times New Roman" w:cs="Times New Roman" w:eastAsia="Times New Roman" w:hAnsi="Times New Roman"/>
                <w:sz w:val="20"/>
                <w:szCs w:val="20"/>
                <w:color w:val="989898"/>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(4,795)</w:t>
            </w:r>
          </w:p>
        </w:tc>
        <w:tc>
          <w:tcPr>
            <w:tcW w:w="0" w:type="dxa"/>
            <w:vAlign w:val="bottom"/>
          </w:tcPr>
          <w:p>
            <w:pPr>
              <w:spacing w:after="0"/>
              <w:rPr>
                <w:sz w:val="1"/>
                <w:szCs w:val="1"/>
                <w:color w:val="auto"/>
              </w:rPr>
            </w:pPr>
          </w:p>
        </w:tc>
      </w:tr>
      <w:tr>
        <w:trPr>
          <w:trHeight w:val="288"/>
        </w:trPr>
        <w:tc>
          <w:tcPr>
            <w:tcW w:w="6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Intangible amortization </w:t>
            </w:r>
            <w:r>
              <w:rPr>
                <w:rFonts w:ascii="Times New Roman" w:cs="Times New Roman" w:eastAsia="Times New Roman" w:hAnsi="Times New Roman"/>
                <w:sz w:val="20"/>
                <w:szCs w:val="20"/>
                <w:color w:val="989898"/>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(48,248)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6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deferred tax liabilities </w:t>
            </w:r>
            <w:r>
              <w:rPr>
                <w:rFonts w:ascii="Times New Roman" w:cs="Times New Roman" w:eastAsia="Times New Roman" w:hAnsi="Times New Roman"/>
                <w:sz w:val="20"/>
                <w:szCs w:val="20"/>
                <w:color w:val="989898"/>
                <w:w w:val="99"/>
              </w:rPr>
              <w:t>.......................................................................................</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(56,978)</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(4,795)</w:t>
            </w:r>
          </w:p>
        </w:tc>
        <w:tc>
          <w:tcPr>
            <w:tcW w:w="0" w:type="dxa"/>
            <w:vAlign w:val="bottom"/>
          </w:tcPr>
          <w:p>
            <w:pPr>
              <w:spacing w:after="0"/>
              <w:rPr>
                <w:sz w:val="1"/>
                <w:szCs w:val="1"/>
                <w:color w:val="auto"/>
              </w:rPr>
            </w:pPr>
          </w:p>
        </w:tc>
      </w:tr>
      <w:tr>
        <w:trPr>
          <w:trHeight w:val="20"/>
        </w:trPr>
        <w:tc>
          <w:tcPr>
            <w:tcW w:w="6680" w:type="dxa"/>
            <w:vAlign w:val="bottom"/>
            <w:vMerge w:val="restart"/>
          </w:tcPr>
          <w:p>
            <w:pPr>
              <w:jc w:val="right"/>
              <w:ind w:right="2540"/>
              <w:spacing w:after="0"/>
              <w:rPr>
                <w:sz w:val="20"/>
                <w:szCs w:val="20"/>
                <w:color w:val="auto"/>
              </w:rPr>
            </w:pPr>
            <w:r>
              <w:rPr>
                <w:rFonts w:ascii="Times New Roman" w:cs="Times New Roman" w:eastAsia="Times New Roman" w:hAnsi="Times New Roman"/>
                <w:sz w:val="20"/>
                <w:szCs w:val="20"/>
                <w:color w:val="auto"/>
                <w:w w:val="99"/>
              </w:rPr>
              <w:t>Net deferred tax liability after valuation allowance</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680" w:type="dxa"/>
            <w:vAlign w:val="bottom"/>
            <w:vMerge w:val="continue"/>
          </w:tcPr>
          <w:p>
            <w:pPr>
              <w:jc w:val="right"/>
              <w:spacing w:after="0" w:line="182" w:lineRule="exact"/>
              <w:rPr>
                <w:sz w:val="20"/>
                <w:szCs w:val="20"/>
                <w:color w:val="auto"/>
              </w:rPr>
            </w:pPr>
            <w:r>
              <w:rPr>
                <w:rFonts w:ascii="Times New Roman" w:cs="Times New Roman" w:eastAsia="Times New Roman" w:hAnsi="Times New Roman"/>
                <w:sz w:val="20"/>
                <w:szCs w:val="20"/>
                <w:color w:val="989898"/>
              </w:rPr>
              <w:t>...................................................</w:t>
            </w:r>
          </w:p>
        </w:tc>
        <w:tc>
          <w:tcPr>
            <w:tcW w:w="320" w:type="dxa"/>
            <w:vAlign w:val="bottom"/>
            <w:tcBorders>
              <w:top w:val="single" w:sz="8" w:color="auto"/>
              <w:bottom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(2,659)</w:t>
            </w: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-4565015</wp:posOffset>
            </wp:positionV>
            <wp:extent cx="5969000" cy="45720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68">
                      <a:extLst>
                        <a:ext uri="{28A0092B-C50C-407E-A947-70E740481C1C}"/>
                      </a:extLst>
                    </a:blip>
                    <a:srcRect/>
                    <a:stretch>
                      <a:fillRect/>
                    </a:stretch>
                  </pic:blipFill>
                  <pic:spPr bwMode="auto">
                    <a:xfrm>
                      <a:off x="0" y="0"/>
                      <a:ext cx="5969000" cy="4572000"/>
                    </a:xfrm>
                    <a:prstGeom prst="rect">
                      <a:avLst/>
                    </a:prstGeom>
                    <a:noFill/>
                  </pic:spPr>
                </pic:pic>
              </a:graphicData>
            </a:graphic>
          </wp:anchor>
        </w:drawing>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146</w:t>
      </w:r>
    </w:p>
    <w:p>
      <w:pPr>
        <w:sectPr>
          <w:pgSz w:w="12240" w:h="15840" w:orient="portrait"/>
          <w:cols w:equalWidth="0" w:num="1">
            <w:col w:w="9360"/>
          </w:cols>
          <w:pgMar w:left="1440" w:top="1378" w:right="1440" w:bottom="0" w:gutter="0" w:footer="0" w:header="0"/>
          <w:type w:val="continuous"/>
        </w:sectPr>
      </w:pPr>
    </w:p>
    <w:bookmarkStart w:id="135" w:name="page136"/>
    <w:bookmarkEnd w:id="135"/>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As of December 31, 2022, the Company had the following tax net operating loss carryforwards available to reduce future federal and state taxable income, and tax credit carryforwards available to offset future federal and Connecticut income taxes (in thousands):</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restart"/>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0" w:type="dxa"/>
            <w:vAlign w:val="bottom"/>
          </w:tcPr>
          <w:p>
            <w:pPr>
              <w:spacing w:after="0"/>
              <w:rPr>
                <w:sz w:val="1"/>
                <w:szCs w:val="1"/>
                <w:color w:val="auto"/>
              </w:rPr>
            </w:pPr>
          </w:p>
        </w:tc>
      </w:tr>
      <w:tr>
        <w:trPr>
          <w:trHeight w:val="214"/>
        </w:trPr>
        <w:tc>
          <w:tcPr>
            <w:tcW w:w="6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Tax net operating loss carryforwards:</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 xml:space="preserve">Federal (pre-2018 net operating losses) </w:t>
            </w:r>
            <w:r>
              <w:rPr>
                <w:rFonts w:ascii="Times New Roman" w:cs="Times New Roman" w:eastAsia="Times New Roman" w:hAnsi="Times New Roman"/>
                <w:sz w:val="20"/>
                <w:szCs w:val="20"/>
                <w:color w:val="989898"/>
                <w:w w:val="99"/>
              </w:rPr>
              <w: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33,056</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2036-2037</w:t>
            </w: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Federal (post-2017 net operating losses) </w:t>
            </w:r>
            <w:r>
              <w:rPr>
                <w:rFonts w:ascii="Times New Roman" w:cs="Times New Roman" w:eastAsia="Times New Roman" w:hAnsi="Times New Roman"/>
                <w:sz w:val="20"/>
                <w:szCs w:val="20"/>
                <w:color w:val="989898"/>
              </w:rPr>
              <w: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656,536</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 expiration</w:t>
            </w: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State and Local</w:t>
            </w:r>
            <w:r>
              <w:rPr>
                <w:rFonts w:ascii="Times New Roman" w:cs="Times New Roman" w:eastAsia="Times New Roman" w:hAnsi="Times New Roman"/>
                <w:sz w:val="20"/>
                <w:szCs w:val="20"/>
                <w:color w:val="989898"/>
              </w:rPr>
              <w: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974,006</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2028-2042</w:t>
            </w: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State and Local</w:t>
            </w:r>
            <w:r>
              <w:rPr>
                <w:rFonts w:ascii="Times New Roman" w:cs="Times New Roman" w:eastAsia="Times New Roman" w:hAnsi="Times New Roman"/>
                <w:sz w:val="20"/>
                <w:szCs w:val="20"/>
                <w:color w:val="989898"/>
              </w:rPr>
              <w: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42,314</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 expiration</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Tax credit carryforwards: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 xml:space="preserve">Federal research and development </w:t>
            </w:r>
            <w:r>
              <w:rPr>
                <w:rFonts w:ascii="Times New Roman" w:cs="Times New Roman" w:eastAsia="Times New Roman" w:hAnsi="Times New Roman"/>
                <w:sz w:val="20"/>
                <w:szCs w:val="20"/>
                <w:color w:val="989898"/>
                <w:w w:val="99"/>
              </w:rPr>
              <w: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6,943</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2038-2040</w:t>
            </w: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Connecticut research and experimental </w:t>
            </w:r>
            <w:r>
              <w:rPr>
                <w:rFonts w:ascii="Times New Roman" w:cs="Times New Roman" w:eastAsia="Times New Roman" w:hAnsi="Times New Roman"/>
                <w:sz w:val="20"/>
                <w:szCs w:val="20"/>
                <w:color w:val="989898"/>
              </w:rPr>
              <w: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1,542</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2035-2036</w:t>
            </w: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Connecticut research and development </w:t>
            </w:r>
            <w:r>
              <w:rPr>
                <w:rFonts w:ascii="Times New Roman" w:cs="Times New Roman" w:eastAsia="Times New Roman" w:hAnsi="Times New Roman"/>
                <w:sz w:val="20"/>
                <w:szCs w:val="20"/>
                <w:color w:val="989898"/>
              </w:rPr>
              <w: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 expiration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-1632585</wp:posOffset>
            </wp:positionV>
            <wp:extent cx="5969000" cy="16541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9">
                      <a:extLst>
                        <a:ext uri="{28A0092B-C50C-407E-A947-70E740481C1C}"/>
                      </a:extLst>
                    </a:blip>
                    <a:srcRect/>
                    <a:stretch>
                      <a:fillRect/>
                    </a:stretch>
                  </pic:blipFill>
                  <pic:spPr bwMode="auto">
                    <a:xfrm>
                      <a:off x="0" y="0"/>
                      <a:ext cx="5969000" cy="1654175"/>
                    </a:xfrm>
                    <a:prstGeom prst="rect">
                      <a:avLst/>
                    </a:prstGeom>
                    <a:noFill/>
                  </pic:spPr>
                </pic:pic>
              </a:graphicData>
            </a:graphic>
          </wp:anchor>
        </w:drawing>
      </w:r>
    </w:p>
    <w:p>
      <w:pPr>
        <w:spacing w:after="0" w:line="2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had the following deferred tax valuation allowance balances (in thousands):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102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380" w:type="dxa"/>
            <w:vAlign w:val="bottom"/>
            <w:gridSpan w:val="2"/>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Balance at the Beginning</w:t>
            </w:r>
          </w:p>
        </w:tc>
        <w:tc>
          <w:tcPr>
            <w:tcW w:w="1060" w:type="dxa"/>
            <w:vAlign w:val="bottom"/>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w w:val="98"/>
              </w:rPr>
              <w:t>Additions</w:t>
            </w: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Write-Offs/Other</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Balance at the End of</w:t>
            </w:r>
          </w:p>
        </w:tc>
        <w:tc>
          <w:tcPr>
            <w:tcW w:w="0" w:type="dxa"/>
            <w:vAlign w:val="bottom"/>
          </w:tcPr>
          <w:p>
            <w:pPr>
              <w:spacing w:after="0"/>
              <w:rPr>
                <w:sz w:val="1"/>
                <w:szCs w:val="1"/>
                <w:color w:val="auto"/>
              </w:rPr>
            </w:pPr>
          </w:p>
        </w:tc>
      </w:tr>
      <w:tr>
        <w:trPr>
          <w:trHeight w:val="214"/>
        </w:trPr>
        <w:tc>
          <w:tcPr>
            <w:tcW w:w="102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845"/>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1060" w:type="dxa"/>
            <w:vAlign w:val="bottom"/>
            <w:tcBorders>
              <w:bottom w:val="single" w:sz="8" w:color="auto"/>
            </w:tcBorders>
            <w:vMerge w:val="continue"/>
          </w:tcPr>
          <w:p>
            <w:pPr>
              <w:spacing w:after="0"/>
              <w:rPr>
                <w:sz w:val="18"/>
                <w:szCs w:val="18"/>
                <w:color w:val="auto"/>
              </w:rPr>
            </w:pPr>
          </w:p>
        </w:tc>
        <w:tc>
          <w:tcPr>
            <w:tcW w:w="22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62"/>
        </w:trPr>
        <w:tc>
          <w:tcPr>
            <w:tcW w:w="10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2022</w:t>
            </w:r>
          </w:p>
        </w:tc>
        <w:tc>
          <w:tcPr>
            <w:tcW w:w="56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285"/>
              <w:spacing w:after="0"/>
              <w:rPr>
                <w:sz w:val="20"/>
                <w:szCs w:val="20"/>
                <w:color w:val="auto"/>
              </w:rPr>
            </w:pPr>
            <w:r>
              <w:rPr>
                <w:rFonts w:ascii="Times New Roman" w:cs="Times New Roman" w:eastAsia="Times New Roman" w:hAnsi="Times New Roman"/>
                <w:sz w:val="20"/>
                <w:szCs w:val="20"/>
                <w:color w:val="auto"/>
              </w:rPr>
              <w:t>155,668</w:t>
            </w:r>
          </w:p>
        </w:tc>
        <w:tc>
          <w:tcPr>
            <w:tcW w:w="1060" w:type="dxa"/>
            <w:vAlign w:val="bottom"/>
          </w:tcPr>
          <w:p>
            <w:pPr>
              <w:spacing w:after="0"/>
              <w:rPr>
                <w:sz w:val="22"/>
                <w:szCs w:val="22"/>
                <w:color w:val="auto"/>
              </w:rPr>
            </w:pPr>
          </w:p>
        </w:tc>
        <w:tc>
          <w:tcPr>
            <w:tcW w:w="2260" w:type="dxa"/>
            <w:vAlign w:val="bottom"/>
          </w:tcPr>
          <w:p>
            <w:pPr>
              <w:jc w:val="right"/>
              <w:ind w:right="1625"/>
              <w:spacing w:after="0"/>
              <w:rPr>
                <w:sz w:val="20"/>
                <w:szCs w:val="20"/>
                <w:color w:val="auto"/>
              </w:rPr>
            </w:pPr>
            <w:r>
              <w:rPr>
                <w:rFonts w:ascii="Times New Roman" w:cs="Times New Roman" w:eastAsia="Times New Roman" w:hAnsi="Times New Roman"/>
                <w:sz w:val="20"/>
                <w:szCs w:val="20"/>
                <w:color w:val="auto"/>
                <w:w w:val="94"/>
              </w:rPr>
              <w:t>70,976</w:t>
            </w:r>
          </w:p>
        </w:tc>
        <w:tc>
          <w:tcPr>
            <w:tcW w:w="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226,644</w:t>
            </w:r>
          </w:p>
        </w:tc>
        <w:tc>
          <w:tcPr>
            <w:tcW w:w="0" w:type="dxa"/>
            <w:vAlign w:val="bottom"/>
          </w:tcPr>
          <w:p>
            <w:pPr>
              <w:spacing w:after="0"/>
              <w:rPr>
                <w:sz w:val="1"/>
                <w:szCs w:val="1"/>
                <w:color w:val="auto"/>
              </w:rPr>
            </w:pPr>
          </w:p>
        </w:tc>
      </w:tr>
      <w:tr>
        <w:trPr>
          <w:trHeight w:val="285"/>
        </w:trPr>
        <w:tc>
          <w:tcPr>
            <w:tcW w:w="10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2021</w:t>
            </w:r>
          </w:p>
        </w:tc>
        <w:tc>
          <w:tcPr>
            <w:tcW w:w="56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285"/>
              <w:spacing w:after="0"/>
              <w:rPr>
                <w:sz w:val="20"/>
                <w:szCs w:val="20"/>
                <w:color w:val="auto"/>
              </w:rPr>
            </w:pPr>
            <w:r>
              <w:rPr>
                <w:rFonts w:ascii="Times New Roman" w:cs="Times New Roman" w:eastAsia="Times New Roman" w:hAnsi="Times New Roman"/>
                <w:sz w:val="20"/>
                <w:szCs w:val="20"/>
                <w:color w:val="auto"/>
              </w:rPr>
              <w:t>58,264</w:t>
            </w:r>
          </w:p>
        </w:tc>
        <w:tc>
          <w:tcPr>
            <w:tcW w:w="1060" w:type="dxa"/>
            <w:vAlign w:val="bottom"/>
          </w:tcPr>
          <w:p>
            <w:pPr>
              <w:spacing w:after="0"/>
              <w:rPr>
                <w:sz w:val="24"/>
                <w:szCs w:val="24"/>
                <w:color w:val="auto"/>
              </w:rPr>
            </w:pPr>
          </w:p>
        </w:tc>
        <w:tc>
          <w:tcPr>
            <w:tcW w:w="2260" w:type="dxa"/>
            <w:vAlign w:val="bottom"/>
          </w:tcPr>
          <w:p>
            <w:pPr>
              <w:jc w:val="right"/>
              <w:ind w:right="1625"/>
              <w:spacing w:after="0"/>
              <w:rPr>
                <w:sz w:val="20"/>
                <w:szCs w:val="20"/>
                <w:color w:val="auto"/>
              </w:rPr>
            </w:pPr>
            <w:r>
              <w:rPr>
                <w:rFonts w:ascii="Times New Roman" w:cs="Times New Roman" w:eastAsia="Times New Roman" w:hAnsi="Times New Roman"/>
                <w:sz w:val="20"/>
                <w:szCs w:val="20"/>
                <w:color w:val="auto"/>
                <w:w w:val="94"/>
              </w:rPr>
              <w:t>97,404</w:t>
            </w:r>
          </w:p>
        </w:tc>
        <w:tc>
          <w:tcPr>
            <w:tcW w:w="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155,668</w:t>
            </w:r>
          </w:p>
        </w:tc>
        <w:tc>
          <w:tcPr>
            <w:tcW w:w="0" w:type="dxa"/>
            <w:vAlign w:val="bottom"/>
          </w:tcPr>
          <w:p>
            <w:pPr>
              <w:spacing w:after="0"/>
              <w:rPr>
                <w:sz w:val="1"/>
                <w:szCs w:val="1"/>
                <w:color w:val="auto"/>
              </w:rPr>
            </w:pPr>
          </w:p>
        </w:tc>
      </w:tr>
      <w:tr>
        <w:trPr>
          <w:trHeight w:val="285"/>
        </w:trPr>
        <w:tc>
          <w:tcPr>
            <w:tcW w:w="10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2020</w:t>
            </w:r>
          </w:p>
        </w:tc>
        <w:tc>
          <w:tcPr>
            <w:tcW w:w="56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285"/>
              <w:spacing w:after="0"/>
              <w:rPr>
                <w:sz w:val="20"/>
                <w:szCs w:val="20"/>
                <w:color w:val="auto"/>
              </w:rPr>
            </w:pPr>
            <w:r>
              <w:rPr>
                <w:rFonts w:ascii="Times New Roman" w:cs="Times New Roman" w:eastAsia="Times New Roman" w:hAnsi="Times New Roman"/>
                <w:sz w:val="20"/>
                <w:szCs w:val="20"/>
                <w:color w:val="auto"/>
              </w:rPr>
              <w:t>20,082</w:t>
            </w:r>
          </w:p>
        </w:tc>
        <w:tc>
          <w:tcPr>
            <w:tcW w:w="1060" w:type="dxa"/>
            <w:vAlign w:val="bottom"/>
          </w:tcPr>
          <w:p>
            <w:pPr>
              <w:spacing w:after="0"/>
              <w:rPr>
                <w:sz w:val="24"/>
                <w:szCs w:val="24"/>
                <w:color w:val="auto"/>
              </w:rPr>
            </w:pPr>
          </w:p>
        </w:tc>
        <w:tc>
          <w:tcPr>
            <w:tcW w:w="2260" w:type="dxa"/>
            <w:vAlign w:val="bottom"/>
          </w:tcPr>
          <w:p>
            <w:pPr>
              <w:jc w:val="right"/>
              <w:ind w:right="1625"/>
              <w:spacing w:after="0"/>
              <w:rPr>
                <w:sz w:val="20"/>
                <w:szCs w:val="20"/>
                <w:color w:val="auto"/>
              </w:rPr>
            </w:pPr>
            <w:r>
              <w:rPr>
                <w:rFonts w:ascii="Times New Roman" w:cs="Times New Roman" w:eastAsia="Times New Roman" w:hAnsi="Times New Roman"/>
                <w:sz w:val="20"/>
                <w:szCs w:val="20"/>
                <w:color w:val="auto"/>
                <w:w w:val="94"/>
              </w:rPr>
              <w:t>38,182</w:t>
            </w:r>
          </w:p>
        </w:tc>
        <w:tc>
          <w:tcPr>
            <w:tcW w:w="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-546735</wp:posOffset>
            </wp:positionV>
            <wp:extent cx="5730875" cy="5683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70">
                      <a:extLst>
                        <a:ext uri="{28A0092B-C50C-407E-A947-70E740481C1C}"/>
                      </a:extLst>
                    </a:blip>
                    <a:srcRect/>
                    <a:stretch>
                      <a:fillRect/>
                    </a:stretch>
                  </pic:blipFill>
                  <pic:spPr bwMode="auto">
                    <a:xfrm>
                      <a:off x="0" y="0"/>
                      <a:ext cx="5730875" cy="568325"/>
                    </a:xfrm>
                    <a:prstGeom prst="rect">
                      <a:avLst/>
                    </a:prstGeom>
                    <a:noFill/>
                  </pic:spPr>
                </pic:pic>
              </a:graphicData>
            </a:graphic>
          </wp:anchor>
        </w:drawing>
      </w:r>
    </w:p>
    <w:p>
      <w:pPr>
        <w:spacing w:after="0" w:line="21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The CARES Act, among other things, includes provisions relating to refundable payroll tax credits, net operating loss carryback periods, alternative minimum tax credit refunds, modifications to the net interest deduction limitations and technical corrections to tax depreciation methods for qualified improvement property.</w:t>
      </w:r>
    </w:p>
    <w:p>
      <w:pPr>
        <w:spacing w:after="0" w:line="13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The CARES Act also provides for the elective deferral of the deposit and payment of the employer share of Social Security taxes for the period beginning March 27, 2020 and ending December 31, 2020. Under the CARES Act, 50% percent of the employer portion of Social Security tax is to be remitted no later than December 31, 2021, with the remaining 50% to be remitted no later than December 31, 2022. The Company has evaluated the effect of the elective deferral on its income tax positions and determined that the corresponding deduction related to the employer portion of Social Security tax is not deductible in the year ended December 31, 2020, resulting in a nominal deferred tax asset. The Company continues to evaluate the potential effects the CARES Act may have on its operations and consolidated financial statements in future periods.</w:t>
      </w:r>
    </w:p>
    <w:p>
      <w:pPr>
        <w:spacing w:after="0" w:line="15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Future realization of the tax benefits of existing temporary differences and carryforwards ultimately depends on the existence of sufficient taxable income within the carryforward period. As of December 31, 2022, 2021, and 2020 the Company performed an evaluation to determine whether a valuation allowance was needed. Based on the Company’s analysis, which considered all available evidence, both positive and negative, the Company determined that it is more likely than not that a significant portion of its deferred tax assets will not be realized. Accordingly, the Company maintained a partial valuation allowance as of December 31, 2022 and a full valuation allowance as of December 31, 2021 and 2020. The valuation allowance increased by $71.0 million in 2022, $97.4 million in 2021 and $38.1 million in 2020 primarily due to the increase in net operating loss carryforwards, research and development tax credits, accrued compensation expenses, stock-based compensation, lease liability, Section 174 amortization and accrued expenses.</w:t>
      </w:r>
    </w:p>
    <w:p>
      <w:pPr>
        <w:spacing w:after="0" w:line="15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147</w:t>
      </w:r>
    </w:p>
    <w:p>
      <w:pPr>
        <w:sectPr>
          <w:pgSz w:w="12240" w:h="15840" w:orient="portrait"/>
          <w:cols w:equalWidth="0" w:num="1">
            <w:col w:w="9360"/>
          </w:cols>
          <w:pgMar w:left="1440" w:top="1378" w:right="1440" w:bottom="0" w:gutter="0" w:footer="0" w:header="0"/>
          <w:type w:val="continuous"/>
        </w:sectPr>
      </w:pPr>
    </w:p>
    <w:bookmarkStart w:id="136" w:name="page137"/>
    <w:bookmarkEnd w:id="136"/>
    <w:p>
      <w:pPr>
        <w:jc w:val="both"/>
        <w:spacing w:after="0" w:line="255" w:lineRule="auto"/>
        <w:rPr>
          <w:sz w:val="20"/>
          <w:szCs w:val="20"/>
          <w:color w:val="auto"/>
        </w:rPr>
      </w:pPr>
      <w:r>
        <w:rPr>
          <w:rFonts w:ascii="Times New Roman" w:cs="Times New Roman" w:eastAsia="Times New Roman" w:hAnsi="Times New Roman"/>
          <w:sz w:val="20"/>
          <w:szCs w:val="20"/>
          <w:color w:val="auto"/>
        </w:rPr>
        <w:t>ownership by more than 50 percentage points over their lowest ownership percentage in a testing period (typically three years). The Company has not completed a study to assess whether an ownership change has occurred or whether there have been multiple ownership changes since becoming a “loss corporation” as defined in Section 382.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spacing w:after="0" w:line="15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ASC 740 addresses the determination of whether tax benefits claimed or expected to be claimed on a tax return should be recorded in the financial statements by prescribing a model for recognizing, measuring, and disclosing uncertain tax positions. Unrecognized income tax benefits represent income tax positions taken on income tax returns but not yet recognized in the financial statements.</w:t>
      </w:r>
    </w:p>
    <w:p>
      <w:pPr>
        <w:spacing w:after="0" w:line="14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As of December 31, 2022, 2021 and 2020, the Company had nominal gross unrecognized tax benefits which, if recognized, would not impact the effective tax rate due to the Company’s valuation allowance position. Due to the uncertainties associated with any examinations that may arise with the relevant tax authorities, it is not possible to reasonably estimate the impact of any significant increase or decrease to the unrecognized tax benefits within the next twelve months.</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reconciliation of the beginning and ending amounts of unrecognized tax benefits for the years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2022, 2021 and 2020 is as follows (in thousands):</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20"/>
        </w:trPr>
        <w:tc>
          <w:tcPr>
            <w:tcW w:w="5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2"/>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Unrecognized tax benefits – January 1</w:t>
            </w:r>
            <w:r>
              <w:rPr>
                <w:rFonts w:ascii="Times New Roman" w:cs="Times New Roman" w:eastAsia="Times New Roman" w:hAnsi="Times New Roman"/>
                <w:sz w:val="20"/>
                <w:szCs w:val="20"/>
                <w:color w:val="989898"/>
              </w:rPr>
              <w:t>...........................................</w:t>
            </w:r>
          </w:p>
        </w:tc>
        <w:tc>
          <w:tcPr>
            <w:tcW w:w="880" w:type="dxa"/>
            <w:vAlign w:val="bottom"/>
          </w:tcPr>
          <w:p>
            <w:pPr>
              <w:jc w:val="right"/>
              <w:ind w:right="627"/>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w:t>
            </w:r>
          </w:p>
        </w:tc>
        <w:tc>
          <w:tcPr>
            <w:tcW w:w="60" w:type="dxa"/>
            <w:vAlign w:val="bottom"/>
          </w:tcPr>
          <w:p>
            <w:pPr>
              <w:spacing w:after="0"/>
              <w:rPr>
                <w:sz w:val="22"/>
                <w:szCs w:val="22"/>
                <w:color w:val="auto"/>
              </w:rPr>
            </w:pP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w:t>
            </w: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Gross increases – tax positions in current period </w:t>
            </w:r>
            <w:r>
              <w:rPr>
                <w:rFonts w:ascii="Times New Roman" w:cs="Times New Roman" w:eastAsia="Times New Roman" w:hAnsi="Times New Roman"/>
                <w:sz w:val="20"/>
                <w:szCs w:val="20"/>
                <w:color w:val="989898"/>
                <w:w w:val="99"/>
              </w:rPr>
              <w:t>...........................</w:t>
            </w:r>
          </w:p>
        </w:tc>
        <w:tc>
          <w:tcPr>
            <w:tcW w:w="8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w:t>
            </w:r>
          </w:p>
        </w:tc>
      </w:tr>
      <w:tr>
        <w:trPr>
          <w:trHeight w:val="262"/>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Unrecognized tax benefits – December 31</w:t>
            </w:r>
            <w:r>
              <w:rPr>
                <w:rFonts w:ascii="Times New Roman" w:cs="Times New Roman" w:eastAsia="Times New Roman" w:hAnsi="Times New Roman"/>
                <w:sz w:val="20"/>
                <w:szCs w:val="20"/>
                <w:color w:val="989898"/>
              </w:rPr>
              <w:t>.....................................</w:t>
            </w:r>
          </w:p>
        </w:tc>
        <w:tc>
          <w:tcPr>
            <w:tcW w:w="880" w:type="dxa"/>
            <w:vAlign w:val="bottom"/>
          </w:tcPr>
          <w:p>
            <w:pPr>
              <w:jc w:val="right"/>
              <w:ind w:right="627"/>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w:t>
            </w:r>
          </w:p>
        </w:tc>
        <w:tc>
          <w:tcPr>
            <w:tcW w:w="60" w:type="dxa"/>
            <w:vAlign w:val="bottom"/>
          </w:tcPr>
          <w:p>
            <w:pPr>
              <w:spacing w:after="0"/>
              <w:rPr>
                <w:sz w:val="22"/>
                <w:szCs w:val="22"/>
                <w:color w:val="auto"/>
              </w:rPr>
            </w:pP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-546735</wp:posOffset>
            </wp:positionV>
            <wp:extent cx="5969000" cy="5683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1">
                      <a:extLst>
                        <a:ext uri="{28A0092B-C50C-407E-A947-70E740481C1C}"/>
                      </a:extLst>
                    </a:blip>
                    <a:srcRect/>
                    <a:stretch>
                      <a:fillRect/>
                    </a:stretch>
                  </pic:blipFill>
                  <pic:spPr bwMode="auto">
                    <a:xfrm>
                      <a:off x="0" y="0"/>
                      <a:ext cx="5969000" cy="568325"/>
                    </a:xfrm>
                    <a:prstGeom prst="rect">
                      <a:avLst/>
                    </a:prstGeom>
                    <a:noFill/>
                  </pic:spPr>
                </pic:pic>
              </a:graphicData>
            </a:graphic>
          </wp:anchor>
        </w:drawing>
      </w:r>
    </w:p>
    <w:p>
      <w:pPr>
        <w:spacing w:after="0" w:line="211"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To the extent penalties and interest would be assessed on any underpayment of income tax, the Company’s policy is that such amounts would be accrued and classified as a component of income tax expense in the financial statements. As of December 31, 2022, 2021 and 2020, the Company has accrued interest or penalties related to uncertain tax positions of less than $0.1 million, $0, and $0 respectively.</w:t>
      </w:r>
    </w:p>
    <w:p>
      <w:pPr>
        <w:spacing w:after="0" w:line="14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The Company files U.S federal and multiple state income tax returns as prescribed by the tax laws of the jurisdictions in which it operates. In the normal course of business, the Company is subject to examination by federal and state jurisdictions, where applicable. There are currently no pending federal or state income tax examinations. As a result of the Company’s net operating loss carryforwards, the Company’s federal and state statutes of limitations remain open from 2016 and forward until the net operating loss carryforwards are utilized or expire prior to utilization.</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148</w:t>
      </w:r>
    </w:p>
    <w:p>
      <w:pPr>
        <w:sectPr>
          <w:pgSz w:w="12240" w:h="15840" w:orient="portrait"/>
          <w:cols w:equalWidth="0" w:num="1">
            <w:col w:w="9360"/>
          </w:cols>
          <w:pgMar w:left="1440" w:top="1378" w:right="1440" w:bottom="0" w:gutter="0" w:footer="0" w:header="0"/>
          <w:type w:val="continuous"/>
        </w:sectPr>
      </w:pPr>
    </w:p>
    <w:bookmarkStart w:id="137" w:name="page138"/>
    <w:bookmarkEnd w:id="137"/>
    <w:p>
      <w:pPr>
        <w:ind w:left="720" w:hanging="720"/>
        <w:spacing w:after="0"/>
        <w:tabs>
          <w:tab w:leader="none" w:pos="72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Net Loss per Share</w:t>
      </w:r>
    </w:p>
    <w:p>
      <w:pPr>
        <w:spacing w:after="0" w:line="19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Basic net loss per share is computed by dividing the net loss attributable to common stockholders by the weighted-average number of shares of common stock outstanding for the period. The following table sets forth the computation of basic and diluted net loss per share attributable to common stockholders (in thousands, except for share and per share amounts):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62"/>
        </w:trPr>
        <w:tc>
          <w:tcPr>
            <w:tcW w:w="5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Net loss attributable to common stockholders </w:t>
            </w:r>
            <w:r>
              <w:rPr>
                <w:rFonts w:ascii="Times New Roman" w:cs="Times New Roman" w:eastAsia="Times New Roman" w:hAnsi="Times New Roman"/>
                <w:sz w:val="20"/>
                <w:szCs w:val="20"/>
                <w:color w:val="98989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(548,980)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(245,390)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(241,340)</w:t>
            </w:r>
          </w:p>
        </w:tc>
        <w:tc>
          <w:tcPr>
            <w:tcW w:w="0" w:type="dxa"/>
            <w:vAlign w:val="bottom"/>
          </w:tcPr>
          <w:p>
            <w:pPr>
              <w:spacing w:after="0"/>
              <w:rPr>
                <w:sz w:val="1"/>
                <w:szCs w:val="1"/>
                <w:color w:val="auto"/>
              </w:rPr>
            </w:pP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26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Denominator for basic and diluted earnings per share-weighted-</w:t>
            </w:r>
          </w:p>
        </w:tc>
        <w:tc>
          <w:tcPr>
            <w:tcW w:w="200" w:type="dxa"/>
            <w:vAlign w:val="bottom"/>
          </w:tcPr>
          <w:p>
            <w:pPr>
              <w:spacing w:after="0"/>
              <w:rPr>
                <w:sz w:val="17"/>
                <w:szCs w:val="17"/>
                <w:color w:val="auto"/>
              </w:rPr>
            </w:pPr>
          </w:p>
        </w:tc>
        <w:tc>
          <w:tcPr>
            <w:tcW w:w="1120" w:type="dxa"/>
            <w:vAlign w:val="bottom"/>
            <w:vMerge w:val="restart"/>
          </w:tcPr>
          <w:p>
            <w:pPr>
              <w:jc w:val="right"/>
              <w:ind w:right="8"/>
              <w:spacing w:after="0"/>
              <w:rPr>
                <w:sz w:val="20"/>
                <w:szCs w:val="20"/>
                <w:color w:val="auto"/>
              </w:rPr>
            </w:pPr>
            <w:r>
              <w:rPr>
                <w:rFonts w:ascii="Times New Roman" w:cs="Times New Roman" w:eastAsia="Times New Roman" w:hAnsi="Times New Roman"/>
                <w:sz w:val="20"/>
                <w:szCs w:val="20"/>
                <w:color w:val="auto"/>
                <w:w w:val="99"/>
              </w:rPr>
              <w:t>337,819,680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108,077,439</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5,131</w:t>
            </w:r>
          </w:p>
        </w:tc>
        <w:tc>
          <w:tcPr>
            <w:tcW w:w="0" w:type="dxa"/>
            <w:vAlign w:val="bottom"/>
          </w:tcPr>
          <w:p>
            <w:pPr>
              <w:spacing w:after="0"/>
              <w:rPr>
                <w:sz w:val="1"/>
                <w:szCs w:val="1"/>
                <w:color w:val="auto"/>
              </w:rPr>
            </w:pPr>
          </w:p>
        </w:tc>
      </w:tr>
      <w:tr>
        <w:trPr>
          <w:trHeight w:val="263"/>
        </w:trPr>
        <w:tc>
          <w:tcPr>
            <w:tcW w:w="5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 xml:space="preserve">average common shares  </w:t>
            </w:r>
            <w:r>
              <w:rPr>
                <w:rFonts w:ascii="Times New Roman" w:cs="Times New Roman" w:eastAsia="Times New Roman" w:hAnsi="Times New Roman"/>
                <w:sz w:val="20"/>
                <w:szCs w:val="20"/>
                <w:color w:val="989898"/>
              </w:rPr>
              <w:t>...........................................................</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Basic and diluted loss per share </w:t>
            </w:r>
            <w:r>
              <w:rPr>
                <w:rFonts w:ascii="Times New Roman" w:cs="Times New Roman" w:eastAsia="Times New Roman" w:hAnsi="Times New Roman"/>
                <w:sz w:val="20"/>
                <w:szCs w:val="20"/>
                <w:color w:val="989898"/>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(2.27)</w:t>
            </w:r>
          </w:p>
        </w:tc>
        <w:tc>
          <w:tcPr>
            <w:tcW w:w="60" w:type="dxa"/>
            <w:vAlign w:val="bottom"/>
          </w:tcPr>
          <w:p>
            <w:pPr>
              <w:spacing w:after="0"/>
              <w:rPr>
                <w:sz w:val="23"/>
                <w:szCs w:val="23"/>
                <w:color w:val="auto"/>
              </w:rPr>
            </w:pPr>
          </w:p>
        </w:tc>
        <w:tc>
          <w:tcPr>
            <w:tcW w:w="3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-1037590</wp:posOffset>
            </wp:positionV>
            <wp:extent cx="5969000" cy="10445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72">
                      <a:extLst>
                        <a:ext uri="{28A0092B-C50C-407E-A947-70E740481C1C}"/>
                      </a:extLst>
                    </a:blip>
                    <a:srcRect/>
                    <a:stretch>
                      <a:fillRect/>
                    </a:stretch>
                  </pic:blipFill>
                  <pic:spPr bwMode="auto">
                    <a:xfrm>
                      <a:off x="0" y="0"/>
                      <a:ext cx="5969000" cy="1044575"/>
                    </a:xfrm>
                    <a:prstGeom prst="rect">
                      <a:avLst/>
                    </a:prstGeom>
                    <a:noFill/>
                  </pic:spPr>
                </pic:pic>
              </a:graphicData>
            </a:graphic>
          </wp:anchor>
        </w:drawing>
      </w:r>
    </w:p>
    <w:p>
      <w:pPr>
        <w:spacing w:after="0" w:line="20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As a result of the Merger, the Company has retroactively adjusted the weighted-average number of shares of common stock outstanding prior to the Merger by multiplying them by the conversion ratio of 123.8339 used to determine the number of shares of common stock into which they converted. The common stock issued as a result of the redeemable convertible preferred stock conversion upon closing of the Merger was included in the basic and diluted loss per share calculation on a prospective basis.</w:t>
      </w:r>
    </w:p>
    <w:p>
      <w:pPr>
        <w:spacing w:after="0" w:line="164"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Prior to the consummation of the Merger, the Company applied the two-class method to calculate its basic and diluted net loss per share of common stock, as there were outstanding Class B common stock and redeemable convertible preferred stock that were participating securities. The two-class method is an earnings allocation formula that treats a participating security as having rights to earnings that otherwise would have been available to common stockholders. As the securities were all converted into the Company’s Class A common stock upon consummation of the Merger, all outstanding Legacy Sema4 Class B common stock has been retroactively converted to the Company’s Class A common stock.</w:t>
      </w:r>
    </w:p>
    <w:p>
      <w:pPr>
        <w:spacing w:after="0" w:line="17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following tables summarize the outstanding shares of potentially dilutive securities that were excluded from the computation of diluted net loss per share attributable to common stockholders for the period presented because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including</w:t>
            </w:r>
          </w:p>
        </w:tc>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them</w:t>
            </w:r>
          </w:p>
        </w:tc>
        <w:tc>
          <w:tcPr>
            <w:tcW w:w="2580" w:type="dxa"/>
            <w:vAlign w:val="bottom"/>
          </w:tcPr>
          <w:p>
            <w:pPr>
              <w:jc w:val="right"/>
              <w:ind w:right="1080"/>
              <w:spacing w:after="0"/>
              <w:rPr>
                <w:sz w:val="20"/>
                <w:szCs w:val="20"/>
                <w:color w:val="auto"/>
              </w:rPr>
            </w:pPr>
            <w:r>
              <w:rPr>
                <w:rFonts w:ascii="Times New Roman" w:cs="Times New Roman" w:eastAsia="Times New Roman" w:hAnsi="Times New Roman"/>
                <w:sz w:val="20"/>
                <w:szCs w:val="20"/>
                <w:color w:val="auto"/>
              </w:rPr>
              <w:t>would</w:t>
            </w:r>
          </w:p>
        </w:tc>
        <w:tc>
          <w:tcPr>
            <w:tcW w:w="1440" w:type="dxa"/>
            <w:vAlign w:val="bottom"/>
            <w:gridSpan w:val="2"/>
          </w:tcPr>
          <w:p>
            <w:pPr>
              <w:jc w:val="right"/>
              <w:ind w:right="973"/>
              <w:spacing w:after="0"/>
              <w:rPr>
                <w:sz w:val="20"/>
                <w:szCs w:val="20"/>
                <w:color w:val="auto"/>
              </w:rPr>
            </w:pPr>
            <w:r>
              <w:rPr>
                <w:rFonts w:ascii="Times New Roman" w:cs="Times New Roman" w:eastAsia="Times New Roman" w:hAnsi="Times New Roman"/>
                <w:sz w:val="20"/>
                <w:szCs w:val="20"/>
                <w:color w:val="auto"/>
                <w:w w:val="95"/>
              </w:rPr>
              <w:t>have</w:t>
            </w:r>
          </w:p>
        </w:tc>
        <w:tc>
          <w:tcPr>
            <w:tcW w:w="60" w:type="dxa"/>
            <w:vAlign w:val="bottom"/>
          </w:tcPr>
          <w:p>
            <w:pPr>
              <w:spacing w:after="0"/>
              <w:rPr>
                <w:sz w:val="22"/>
                <w:szCs w:val="22"/>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been</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anti-dilutive:</w:t>
            </w:r>
          </w:p>
        </w:tc>
        <w:tc>
          <w:tcPr>
            <w:tcW w:w="0" w:type="dxa"/>
            <w:vAlign w:val="bottom"/>
          </w:tcPr>
          <w:p>
            <w:pPr>
              <w:spacing w:after="0"/>
              <w:rPr>
                <w:sz w:val="1"/>
                <w:szCs w:val="1"/>
                <w:color w:val="auto"/>
              </w:rPr>
            </w:pPr>
          </w:p>
        </w:tc>
      </w:tr>
      <w:tr>
        <w:trPr>
          <w:trHeight w:val="251"/>
        </w:trPr>
        <w:tc>
          <w:tcPr>
            <w:tcW w:w="1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1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3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62"/>
        </w:trPr>
        <w:tc>
          <w:tcPr>
            <w:tcW w:w="26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Outstanding options and RSUs</w:t>
            </w:r>
          </w:p>
        </w:tc>
        <w:tc>
          <w:tcPr>
            <w:tcW w:w="2580" w:type="dxa"/>
            <w:vAlign w:val="bottom"/>
          </w:tcPr>
          <w:p>
            <w:pPr>
              <w:jc w:val="right"/>
              <w:spacing w:after="0"/>
              <w:rPr>
                <w:sz w:val="20"/>
                <w:szCs w:val="20"/>
                <w:color w:val="auto"/>
              </w:rPr>
            </w:pPr>
            <w:r>
              <w:rPr>
                <w:rFonts w:ascii="Times New Roman" w:cs="Times New Roman" w:eastAsia="Times New Roman" w:hAnsi="Times New Roman"/>
                <w:sz w:val="20"/>
                <w:szCs w:val="20"/>
                <w:color w:val="989898"/>
                <w:w w:val="96"/>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54,579,805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35,519,867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32,339,971</w:t>
            </w:r>
          </w:p>
        </w:tc>
        <w:tc>
          <w:tcPr>
            <w:tcW w:w="0" w:type="dxa"/>
            <w:vAlign w:val="bottom"/>
          </w:tcPr>
          <w:p>
            <w:pPr>
              <w:spacing w:after="0"/>
              <w:rPr>
                <w:sz w:val="1"/>
                <w:szCs w:val="1"/>
                <w:color w:val="auto"/>
              </w:rPr>
            </w:pPr>
          </w:p>
        </w:tc>
      </w:tr>
      <w:tr>
        <w:trPr>
          <w:trHeight w:val="285"/>
        </w:trPr>
        <w:tc>
          <w:tcPr>
            <w:tcW w:w="17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Outstanding warrants</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989898"/>
                <w:w w:val="97"/>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21,994,972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21,994,972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7"/>
              </w:rPr>
              <w:t xml:space="preserve">Outstanding earn-out shares </w:t>
            </w:r>
            <w:r>
              <w:rPr>
                <w:rFonts w:ascii="Times New Roman" w:cs="Times New Roman" w:eastAsia="Times New Roman" w:hAnsi="Times New Roman"/>
                <w:sz w:val="20"/>
                <w:szCs w:val="20"/>
                <w:color w:val="989898"/>
                <w:w w:val="97"/>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18,228,934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16,351,897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5"/>
        </w:trPr>
        <w:tc>
          <w:tcPr>
            <w:tcW w:w="5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7"/>
              </w:rPr>
              <w:t xml:space="preserve">Outstanding earn-out RSUs </w:t>
            </w:r>
            <w:r>
              <w:rPr>
                <w:rFonts w:ascii="Times New Roman" w:cs="Times New Roman" w:eastAsia="Times New Roman" w:hAnsi="Times New Roman"/>
                <w:sz w:val="20"/>
                <w:szCs w:val="20"/>
                <w:color w:val="989898"/>
                <w:w w:val="97"/>
              </w:rPr>
              <w:t>............................................................</w:t>
            </w:r>
          </w:p>
        </w:tc>
        <w:tc>
          <w:tcPr>
            <w:tcW w:w="144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792,642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2,669,679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5"/>
        </w:trPr>
        <w:tc>
          <w:tcPr>
            <w:tcW w:w="5200" w:type="dxa"/>
            <w:vAlign w:val="bottom"/>
            <w:gridSpan w:val="3"/>
          </w:tcPr>
          <w:p>
            <w:pPr>
              <w:ind w:left="60"/>
              <w:spacing w:after="0" w:line="205" w:lineRule="exact"/>
              <w:rPr>
                <w:sz w:val="20"/>
                <w:szCs w:val="20"/>
                <w:color w:val="auto"/>
              </w:rPr>
            </w:pPr>
            <w:r>
              <w:rPr>
                <w:rFonts w:ascii="Times New Roman" w:cs="Times New Roman" w:eastAsia="Times New Roman" w:hAnsi="Times New Roman"/>
                <w:sz w:val="20"/>
                <w:szCs w:val="20"/>
                <w:color w:val="auto"/>
              </w:rPr>
              <w:t>Redeemable convertible preferred stock (on an if-converted</w:t>
            </w:r>
          </w:p>
        </w:tc>
        <w:tc>
          <w:tcPr>
            <w:tcW w:w="120" w:type="dxa"/>
            <w:vAlign w:val="bottom"/>
          </w:tcPr>
          <w:p>
            <w:pPr>
              <w:spacing w:after="0"/>
              <w:rPr>
                <w:sz w:val="17"/>
                <w:szCs w:val="17"/>
                <w:color w:val="auto"/>
              </w:rPr>
            </w:pPr>
          </w:p>
        </w:tc>
        <w:tc>
          <w:tcPr>
            <w:tcW w:w="1320" w:type="dxa"/>
            <w:vAlign w:val="bottom"/>
            <w:vMerge w:val="restart"/>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200" w:type="dxa"/>
            <w:vAlign w:val="bottom"/>
            <w:vMerge w:val="restart"/>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157,618,388</w:t>
            </w:r>
          </w:p>
        </w:tc>
        <w:tc>
          <w:tcPr>
            <w:tcW w:w="0" w:type="dxa"/>
            <w:vAlign w:val="bottom"/>
          </w:tcPr>
          <w:p>
            <w:pPr>
              <w:spacing w:after="0"/>
              <w:rPr>
                <w:sz w:val="1"/>
                <w:szCs w:val="1"/>
                <w:color w:val="auto"/>
              </w:rPr>
            </w:pPr>
          </w:p>
        </w:tc>
      </w:tr>
      <w:tr>
        <w:trPr>
          <w:trHeight w:val="268"/>
        </w:trPr>
        <w:tc>
          <w:tcPr>
            <w:tcW w:w="26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4"/>
              </w:rPr>
              <w:t>basis)</w:t>
            </w:r>
            <w:r>
              <w:rPr>
                <w:rFonts w:ascii="Times New Roman" w:cs="Times New Roman" w:eastAsia="Times New Roman" w:hAnsi="Times New Roman"/>
                <w:sz w:val="13"/>
                <w:szCs w:val="13"/>
                <w:color w:val="989898"/>
                <w:w w:val="74"/>
              </w:rPr>
              <w:t>...............................................................................................</w:t>
            </w:r>
          </w:p>
        </w:tc>
        <w:tc>
          <w:tcPr>
            <w:tcW w:w="2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780" w:type="dxa"/>
            <w:vAlign w:val="bottom"/>
          </w:tcPr>
          <w:p>
            <w:pPr>
              <w:ind w:left="60"/>
              <w:spacing w:after="0"/>
              <w:rPr>
                <w:sz w:val="20"/>
                <w:szCs w:val="20"/>
                <w:color w:val="auto"/>
              </w:rPr>
            </w:pPr>
            <w:r>
              <w:rPr>
                <w:rFonts w:ascii="Times New Roman" w:cs="Times New Roman" w:eastAsia="Times New Roman" w:hAnsi="Times New Roman"/>
                <w:sz w:val="9"/>
                <w:szCs w:val="9"/>
                <w:color w:val="auto"/>
                <w:w w:val="72"/>
              </w:rPr>
              <w:t xml:space="preserve">Total </w:t>
            </w:r>
            <w:r>
              <w:rPr>
                <w:rFonts w:ascii="Times New Roman" w:cs="Times New Roman" w:eastAsia="Times New Roman" w:hAnsi="Times New Roman"/>
                <w:sz w:val="9"/>
                <w:szCs w:val="9"/>
                <w:color w:val="989898"/>
                <w:w w:val="72"/>
              </w:rPr>
              <w:t>...............................................................................................</w:t>
            </w:r>
          </w:p>
        </w:tc>
        <w:tc>
          <w:tcPr>
            <w:tcW w:w="8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44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95,596,353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76,536,415</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189,958,359</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-1250315</wp:posOffset>
            </wp:positionV>
            <wp:extent cx="5969000" cy="12573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3">
                      <a:extLst>
                        <a:ext uri="{28A0092B-C50C-407E-A947-70E740481C1C}"/>
                      </a:extLst>
                    </a:blip>
                    <a:srcRect/>
                    <a:stretch>
                      <a:fillRect/>
                    </a:stretch>
                  </pic:blipFill>
                  <pic:spPr bwMode="auto">
                    <a:xfrm>
                      <a:off x="0" y="0"/>
                      <a:ext cx="5969000" cy="1257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15. Restructuring Costs</w:t>
      </w:r>
    </w:p>
    <w:p>
      <w:pPr>
        <w:spacing w:after="0" w:line="21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2022, the Company’s Compensation Committee of the Board of Directors approved by written consents, dated February 17, 2022, May 2, 2022 and August 11, 2022, a restructuring plan which was fully executed by management and restructuring charges were incurred and recorded in connection therewith, including an exit of the Company’s somatic tumor testing business. These costs include severance packages offered to the employees impacted by the plan, third party consulting costs, and costs related to closing</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149</w:t>
      </w:r>
    </w:p>
    <w:p>
      <w:pPr>
        <w:sectPr>
          <w:pgSz w:w="12240" w:h="15840" w:orient="portrait"/>
          <w:cols w:equalWidth="0" w:num="1">
            <w:col w:w="9360"/>
          </w:cols>
          <w:pgMar w:left="1440" w:top="1371" w:right="1440" w:bottom="0" w:gutter="0" w:footer="0" w:header="0"/>
          <w:type w:val="continuous"/>
        </w:sectPr>
      </w:pPr>
    </w:p>
    <w:bookmarkStart w:id="138" w:name="page139"/>
    <w:bookmarkEnd w:id="138"/>
    <w:p>
      <w:pPr>
        <w:jc w:val="both"/>
        <w:ind w:left="220" w:right="280"/>
        <w:spacing w:after="0" w:line="281" w:lineRule="auto"/>
        <w:rPr>
          <w:sz w:val="20"/>
          <w:szCs w:val="20"/>
          <w:color w:val="auto"/>
        </w:rPr>
      </w:pPr>
      <w:r>
        <w:rPr>
          <w:rFonts w:ascii="Times New Roman" w:cs="Times New Roman" w:eastAsia="Times New Roman" w:hAnsi="Times New Roman"/>
          <w:sz w:val="20"/>
          <w:szCs w:val="20"/>
          <w:color w:val="auto"/>
        </w:rPr>
        <w:t>the Company’s laboratory in Branford, CT. The plan resulted in the Company eliminating approximately 250 positions.</w:t>
      </w:r>
    </w:p>
    <w:p>
      <w:pPr>
        <w:spacing w:after="0" w:line="141" w:lineRule="exact"/>
        <w:rPr>
          <w:sz w:val="20"/>
          <w:szCs w:val="20"/>
          <w:color w:val="auto"/>
        </w:rPr>
      </w:pPr>
    </w:p>
    <w:p>
      <w:pPr>
        <w:jc w:val="both"/>
        <w:ind w:left="220" w:right="280" w:firstLine="360"/>
        <w:spacing w:after="0" w:line="237" w:lineRule="auto"/>
        <w:rPr>
          <w:sz w:val="20"/>
          <w:szCs w:val="20"/>
          <w:color w:val="auto"/>
        </w:rPr>
      </w:pPr>
      <w:r>
        <w:rPr>
          <w:rFonts w:ascii="Times New Roman" w:cs="Times New Roman" w:eastAsia="Times New Roman" w:hAnsi="Times New Roman"/>
          <w:sz w:val="20"/>
          <w:szCs w:val="20"/>
          <w:color w:val="auto"/>
        </w:rPr>
        <w:t>Additionally, on November 14, 2022, the Company announced its plan to pursue a new strategic direction focused on the Company’s pediatric and rare disease testing business coupled with the Company’s Centrellis data platform. The Company’s strategic realignment was unanimously approved by the board of directors on November 11, 2022 included exiting its reproductive and women’s health testing business, which included carrier screening, noninvasive prenatal, and other ancillary reproductive testing offerings. The Company ceased accepting samples for these tests on December 14, 2022 and notified its customers impacted by the decision immediately. The Company expects to exit the operations of the reproductive and women’s health testing services by the end of the first quarter of 2023. As a result of this announcement, the Company expects to eliminate approximately 500 positions, and to cease operations at its Stamford, CT laboratory. When combined with the Company’s prior reductions in force during 2022, the exit will result in the elimination of approximately 32.5% of its workforce.</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The table below provides certain information concerning restructuring activity during the year ended December</w:t>
      </w:r>
    </w:p>
    <w:p>
      <w:pPr>
        <w:spacing w:after="0" w:line="30" w:lineRule="exact"/>
        <w:rPr>
          <w:sz w:val="20"/>
          <w:szCs w:val="20"/>
          <w:color w:val="auto"/>
        </w:rPr>
      </w:pPr>
    </w:p>
    <w:tbl>
      <w:tblPr>
        <w:tblLayout w:type="fixed"/>
        <w:tblInd w:w="220" w:type="dxa"/>
        <w:tblCellMar>
          <w:top w:w="0" w:type="dxa"/>
          <w:left w:w="0" w:type="dxa"/>
          <w:bottom w:w="0" w:type="dxa"/>
          <w:right w:w="0" w:type="dxa"/>
        </w:tblCellMar>
      </w:tblPr>
      <w:tr>
        <w:trPr>
          <w:trHeight w:val="260"/>
        </w:trPr>
        <w:tc>
          <w:tcPr>
            <w:tcW w:w="1220" w:type="dxa"/>
            <w:vAlign w:val="bottom"/>
          </w:tcPr>
          <w:p>
            <w:pPr>
              <w:jc w:val="right"/>
              <w:ind w:right="860"/>
              <w:spacing w:after="0"/>
              <w:rPr>
                <w:sz w:val="20"/>
                <w:szCs w:val="20"/>
                <w:color w:val="auto"/>
              </w:rPr>
            </w:pPr>
            <w:r>
              <w:rPr>
                <w:rFonts w:ascii="Times New Roman" w:cs="Times New Roman" w:eastAsia="Times New Roman" w:hAnsi="Times New Roman"/>
                <w:sz w:val="20"/>
                <w:szCs w:val="20"/>
                <w:color w:val="auto"/>
                <w:w w:val="95"/>
              </w:rPr>
              <w:t>31,</w:t>
            </w:r>
          </w:p>
        </w:tc>
        <w:tc>
          <w:tcPr>
            <w:tcW w:w="240" w:type="dxa"/>
            <w:vAlign w:val="bottom"/>
          </w:tcPr>
          <w:p>
            <w:pPr>
              <w:spacing w:after="0"/>
              <w:rPr>
                <w:sz w:val="22"/>
                <w:szCs w:val="22"/>
                <w:color w:val="auto"/>
              </w:rPr>
            </w:pPr>
          </w:p>
        </w:tc>
        <w:tc>
          <w:tcPr>
            <w:tcW w:w="1740" w:type="dxa"/>
            <w:vAlign w:val="bottom"/>
          </w:tcPr>
          <w:p>
            <w:pPr>
              <w:ind w:left="1320"/>
              <w:spacing w:after="0"/>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tcPr>
          <w:p>
            <w:pPr>
              <w:jc w:val="right"/>
              <w:ind w:right="1264"/>
              <w:spacing w:after="0"/>
              <w:rPr>
                <w:sz w:val="20"/>
                <w:szCs w:val="20"/>
                <w:color w:val="auto"/>
              </w:rPr>
            </w:pPr>
            <w:r>
              <w:rPr>
                <w:rFonts w:ascii="Times New Roman" w:cs="Times New Roman" w:eastAsia="Times New Roman" w:hAnsi="Times New Roman"/>
                <w:sz w:val="20"/>
                <w:szCs w:val="20"/>
                <w:color w:val="auto"/>
              </w:rPr>
              <w:t>(in</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8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w w:val="97"/>
              </w:rPr>
              <w:t>thousands):</w:t>
            </w: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Reserve Balance at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Charged to Costs and</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vMerge w:val="restart"/>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Payments and Other</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Reserve Balance at</w:t>
            </w:r>
          </w:p>
        </w:tc>
        <w:tc>
          <w:tcPr>
            <w:tcW w:w="0" w:type="dxa"/>
            <w:vAlign w:val="bottom"/>
          </w:tcPr>
          <w:p>
            <w:pPr>
              <w:spacing w:after="0"/>
              <w:rPr>
                <w:sz w:val="1"/>
                <w:szCs w:val="1"/>
                <w:color w:val="auto"/>
              </w:rPr>
            </w:pPr>
          </w:p>
        </w:tc>
      </w:tr>
      <w:tr>
        <w:trPr>
          <w:trHeight w:val="128"/>
        </w:trPr>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vMerge w:val="restart"/>
          </w:tcPr>
          <w:p>
            <w:pPr>
              <w:jc w:val="right"/>
              <w:ind w:right="588"/>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83"/>
        </w:trPr>
        <w:tc>
          <w:tcPr>
            <w:tcW w:w="1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1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1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Severance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19,239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(14,469)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Others</w:t>
            </w: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4,922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(4,669)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24,161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(19,138)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-603885</wp:posOffset>
            </wp:positionV>
            <wp:extent cx="5940425" cy="6254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74">
                      <a:extLst>
                        <a:ext uri="{28A0092B-C50C-407E-A947-70E740481C1C}"/>
                      </a:extLst>
                    </a:blip>
                    <a:srcRect/>
                    <a:stretch>
                      <a:fillRect/>
                    </a:stretch>
                  </pic:blipFill>
                  <pic:spPr bwMode="auto">
                    <a:xfrm>
                      <a:off x="0" y="0"/>
                      <a:ext cx="5940425" cy="625475"/>
                    </a:xfrm>
                    <a:prstGeom prst="rect">
                      <a:avLst/>
                    </a:prstGeom>
                    <a:noFill/>
                  </pic:spPr>
                </pic:pic>
              </a:graphicData>
            </a:graphic>
          </wp:anchor>
        </w:drawing>
      </w:r>
    </w:p>
    <w:p>
      <w:pPr>
        <w:spacing w:after="0" w:line="231" w:lineRule="exact"/>
        <w:rPr>
          <w:sz w:val="20"/>
          <w:szCs w:val="20"/>
          <w:color w:val="auto"/>
        </w:rPr>
      </w:pPr>
    </w:p>
    <w:p>
      <w:pPr>
        <w:jc w:val="both"/>
        <w:ind w:left="220" w:right="280" w:firstLine="360"/>
        <w:spacing w:after="0" w:line="256" w:lineRule="auto"/>
        <w:rPr>
          <w:sz w:val="20"/>
          <w:szCs w:val="20"/>
          <w:color w:val="auto"/>
        </w:rPr>
      </w:pPr>
      <w:r>
        <w:rPr>
          <w:rFonts w:ascii="Times New Roman" w:cs="Times New Roman" w:eastAsia="Times New Roman" w:hAnsi="Times New Roman"/>
          <w:sz w:val="20"/>
          <w:szCs w:val="20"/>
          <w:color w:val="auto"/>
        </w:rPr>
        <w:t>The Company may incur additional expenses not currently contemplated due to events associated with the reduction in force. The charges that the Company expects to incur in connection with the reduction in force are estimates and subject to a number of assumptions, and actual results may differ materially.</w:t>
      </w:r>
    </w:p>
    <w:p>
      <w:pPr>
        <w:spacing w:after="0" w:line="3" w:lineRule="exact"/>
        <w:rPr>
          <w:sz w:val="20"/>
          <w:szCs w:val="20"/>
          <w:color w:val="auto"/>
        </w:rPr>
      </w:pPr>
    </w:p>
    <w:p>
      <w:pPr>
        <w:ind w:left="940" w:hanging="720"/>
        <w:spacing w:after="0"/>
        <w:tabs>
          <w:tab w:leader="none" w:pos="94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Supplemental Financial Information</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Accrued expenses consisted of the following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7"/>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20"/>
        </w:trPr>
        <w:tc>
          <w:tcPr>
            <w:tcW w:w="6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Accrued purchases </w:t>
            </w:r>
            <w:r>
              <w:rPr>
                <w:rFonts w:ascii="Times New Roman" w:cs="Times New Roman" w:eastAsia="Times New Roman" w:hAnsi="Times New Roman"/>
                <w:sz w:val="20"/>
                <w:szCs w:val="20"/>
                <w:color w:val="989898"/>
                <w:w w:val="99"/>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20,314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19,758</w:t>
            </w:r>
          </w:p>
        </w:tc>
        <w:tc>
          <w:tcPr>
            <w:tcW w:w="0" w:type="dxa"/>
            <w:vAlign w:val="bottom"/>
          </w:tcPr>
          <w:p>
            <w:pPr>
              <w:spacing w:after="0"/>
              <w:rPr>
                <w:sz w:val="1"/>
                <w:szCs w:val="1"/>
                <w:color w:val="auto"/>
              </w:rPr>
            </w:pPr>
          </w:p>
        </w:tc>
      </w:tr>
      <w:tr>
        <w:trPr>
          <w:trHeight w:val="285"/>
        </w:trPr>
        <w:tc>
          <w:tcPr>
            <w:tcW w:w="7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 xml:space="preserve">Reserves for refunds to insurance carriers </w:t>
            </w:r>
            <w:r>
              <w:rPr>
                <w:rFonts w:ascii="Times New Roman" w:cs="Times New Roman" w:eastAsia="Times New Roman" w:hAnsi="Times New Roman"/>
                <w:sz w:val="20"/>
                <w:szCs w:val="20"/>
                <w:color w:val="989898"/>
                <w:w w:val="99"/>
              </w:rPr>
              <w:t>...........................................................................</w:t>
            </w:r>
          </w:p>
        </w:tc>
        <w:tc>
          <w:tcPr>
            <w:tcW w:w="180" w:type="dxa"/>
            <w:vAlign w:val="bottom"/>
          </w:tcPr>
          <w:p>
            <w:pPr>
              <w:spacing w:after="0"/>
              <w:rPr>
                <w:sz w:val="24"/>
                <w:szCs w:val="24"/>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17,001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7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 xml:space="preserve">Other </w:t>
            </w:r>
            <w:r>
              <w:rPr>
                <w:rFonts w:ascii="Times New Roman" w:cs="Times New Roman" w:eastAsia="Times New Roman" w:hAnsi="Times New Roman"/>
                <w:sz w:val="20"/>
                <w:szCs w:val="20"/>
                <w:color w:val="989898"/>
                <w:w w:val="99"/>
              </w:rPr>
              <w: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1,546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350</w:t>
            </w:r>
          </w:p>
        </w:tc>
        <w:tc>
          <w:tcPr>
            <w:tcW w:w="0" w:type="dxa"/>
            <w:vAlign w:val="bottom"/>
          </w:tcPr>
          <w:p>
            <w:pPr>
              <w:spacing w:after="0"/>
              <w:rPr>
                <w:sz w:val="1"/>
                <w:szCs w:val="1"/>
                <w:color w:val="auto"/>
              </w:rPr>
            </w:pPr>
          </w:p>
        </w:tc>
      </w:tr>
      <w:tr>
        <w:trPr>
          <w:trHeight w:val="245"/>
        </w:trPr>
        <w:tc>
          <w:tcPr>
            <w:tcW w:w="6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Total</w:t>
            </w:r>
            <w:r>
              <w:rPr>
                <w:rFonts w:ascii="Times New Roman" w:cs="Times New Roman" w:eastAsia="Times New Roman" w:hAnsi="Times New Roman"/>
                <w:sz w:val="20"/>
                <w:szCs w:val="20"/>
                <w:color w:val="989898"/>
                <w:w w:val="99"/>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38,861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20,108</w:t>
            </w:r>
          </w:p>
        </w:tc>
        <w:tc>
          <w:tcPr>
            <w:tcW w:w="0" w:type="dxa"/>
            <w:vAlign w:val="bottom"/>
          </w:tcPr>
          <w:p>
            <w:pPr>
              <w:spacing w:after="0"/>
              <w:rPr>
                <w:sz w:val="1"/>
                <w:szCs w:val="1"/>
                <w:color w:val="auto"/>
              </w:rPr>
            </w:pPr>
          </w:p>
        </w:tc>
      </w:tr>
      <w:tr>
        <w:trPr>
          <w:trHeight w:val="20"/>
        </w:trPr>
        <w:tc>
          <w:tcPr>
            <w:tcW w:w="6920" w:type="dxa"/>
            <w:vAlign w:val="bottom"/>
            <w:vMerge w:val="restart"/>
          </w:tcPr>
          <w:p>
            <w:pPr>
              <w:jc w:val="right"/>
              <w:ind w:right="960"/>
              <w:spacing w:after="0"/>
              <w:rPr>
                <w:sz w:val="20"/>
                <w:szCs w:val="20"/>
                <w:color w:val="auto"/>
              </w:rPr>
            </w:pPr>
            <w:r>
              <w:rPr>
                <w:rFonts w:ascii="Times New Roman" w:cs="Times New Roman" w:eastAsia="Times New Roman" w:hAnsi="Times New Roman"/>
                <w:sz w:val="20"/>
                <w:szCs w:val="20"/>
                <w:color w:val="auto"/>
              </w:rPr>
              <w:t>Other current liabilities consisted of the following (in thousands):</w:t>
            </w: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6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7"/>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20"/>
        </w:trPr>
        <w:tc>
          <w:tcPr>
            <w:tcW w:w="69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Accrued bonus </w:t>
            </w:r>
            <w:r>
              <w:rPr>
                <w:rFonts w:ascii="Times New Roman" w:cs="Times New Roman" w:eastAsia="Times New Roman" w:hAnsi="Times New Roman"/>
                <w:sz w:val="20"/>
                <w:szCs w:val="20"/>
                <w:color w:val="989898"/>
              </w:rPr>
              <w: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13,561</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payroll</w:t>
            </w:r>
            <w:r>
              <w:rPr>
                <w:rFonts w:ascii="Times New Roman" w:cs="Times New Roman" w:eastAsia="Times New Roman" w:hAnsi="Times New Roman"/>
                <w:sz w:val="20"/>
                <w:szCs w:val="20"/>
                <w:color w:val="989898"/>
              </w:rPr>
              <w: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Accrued benefits </w:t>
            </w:r>
            <w:r>
              <w:rPr>
                <w:rFonts w:ascii="Times New Roman" w:cs="Times New Roman" w:eastAsia="Times New Roman" w:hAnsi="Times New Roman"/>
                <w:sz w:val="20"/>
                <w:szCs w:val="20"/>
                <w:color w:val="989898"/>
              </w:rPr>
              <w: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Accrued commissions </w:t>
            </w:r>
            <w:r>
              <w:rPr>
                <w:rFonts w:ascii="Times New Roman" w:cs="Times New Roman" w:eastAsia="Times New Roman" w:hAnsi="Times New Roman"/>
                <w:sz w:val="20"/>
                <w:szCs w:val="20"/>
                <w:color w:val="989898"/>
              </w:rPr>
              <w: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Accrued Severance </w:t>
            </w:r>
            <w:r>
              <w:rPr>
                <w:rFonts w:ascii="Times New Roman" w:cs="Times New Roman" w:eastAsia="Times New Roman" w:hAnsi="Times New Roman"/>
                <w:sz w:val="20"/>
                <w:szCs w:val="20"/>
                <w:color w:val="989898"/>
              </w:rPr>
              <w: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Current portion of long-term debt </w:t>
            </w:r>
            <w:r>
              <w:rPr>
                <w:rFonts w:ascii="Times New Roman" w:cs="Times New Roman" w:eastAsia="Times New Roman" w:hAnsi="Times New Roman"/>
                <w:sz w:val="20"/>
                <w:szCs w:val="20"/>
                <w:color w:val="989898"/>
              </w:rPr>
              <w: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Indemnification liabilities </w:t>
            </w:r>
            <w:r>
              <w:rPr>
                <w:rFonts w:ascii="Times New Roman" w:cs="Times New Roman" w:eastAsia="Times New Roman" w:hAnsi="Times New Roman"/>
                <w:sz w:val="20"/>
                <w:szCs w:val="20"/>
                <w:color w:val="989898"/>
              </w:rPr>
              <w: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13,470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Current portion of the contingent consideration liabilities </w:t>
            </w:r>
            <w:r>
              <w:rPr>
                <w:rFonts w:ascii="Times New Roman" w:cs="Times New Roman" w:eastAsia="Times New Roman" w:hAnsi="Times New Roman"/>
                <w:sz w:val="20"/>
                <w:szCs w:val="20"/>
                <w:color w:val="989898"/>
              </w:rPr>
              <w: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6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(1) </w:t>
            </w:r>
            <w:r>
              <w:rPr>
                <w:rFonts w:ascii="Times New Roman" w:cs="Times New Roman" w:eastAsia="Times New Roman" w:hAnsi="Times New Roman"/>
                <w:sz w:val="20"/>
                <w:szCs w:val="20"/>
                <w:color w:val="989898"/>
              </w:rPr>
              <w:t>................................................................................................................</w:t>
            </w: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5,137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8,930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current other liabilities </w:t>
            </w:r>
            <w:r>
              <w:rPr>
                <w:rFonts w:ascii="Times New Roman" w:cs="Times New Roman" w:eastAsia="Times New Roman" w:hAnsi="Times New Roman"/>
                <w:sz w:val="20"/>
                <w:szCs w:val="20"/>
                <w:color w:val="989898"/>
              </w:rPr>
              <w: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49,665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33,387</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-3435985</wp:posOffset>
            </wp:positionV>
            <wp:extent cx="6311900" cy="7620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5">
                      <a:extLst>
                        <a:ext uri="{28A0092B-C50C-407E-A947-70E740481C1C}"/>
                      </a:extLst>
                    </a:blip>
                    <a:srcRect/>
                    <a:stretch>
                      <a:fillRect/>
                    </a:stretch>
                  </pic:blipFill>
                  <pic:spPr bwMode="auto">
                    <a:xfrm>
                      <a:off x="0" y="0"/>
                      <a:ext cx="6311900" cy="762000"/>
                    </a:xfrm>
                    <a:prstGeom prst="rect">
                      <a:avLst/>
                    </a:prstGeom>
                    <a:noFill/>
                  </pic:spPr>
                </pic:pic>
              </a:graphicData>
            </a:graphic>
          </wp:anchor>
        </w:drawing>
        <w:drawing>
          <wp:anchor simplePos="0" relativeHeight="251657728" behindDoc="1" locked="0" layoutInCell="0" allowOverlap="1">
            <wp:simplePos x="0" y="0"/>
            <wp:positionH relativeFrom="column">
              <wp:posOffset>127000</wp:posOffset>
            </wp:positionH>
            <wp:positionV relativeFrom="paragraph">
              <wp:posOffset>-1840865</wp:posOffset>
            </wp:positionV>
            <wp:extent cx="5969000" cy="18478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76">
                      <a:extLst>
                        <a:ext uri="{28A0092B-C50C-407E-A947-70E740481C1C}"/>
                      </a:extLst>
                    </a:blip>
                    <a:srcRect/>
                    <a:stretch>
                      <a:fillRect/>
                    </a:stretch>
                  </pic:blipFill>
                  <pic:spPr bwMode="auto">
                    <a:xfrm>
                      <a:off x="0" y="0"/>
                      <a:ext cx="5969000" cy="1847850"/>
                    </a:xfrm>
                    <a:prstGeom prst="rect">
                      <a:avLst/>
                    </a:prstGeom>
                    <a:noFill/>
                  </pic:spPr>
                </pic:pic>
              </a:graphicData>
            </a:graphic>
          </wp:anchor>
        </w:drawing>
      </w:r>
    </w:p>
    <w:p>
      <w:pPr>
        <w:sectPr>
          <w:pgSz w:w="12240" w:h="15840" w:orient="portrait"/>
          <w:cols w:equalWidth="0" w:num="1">
            <w:col w:w="9860"/>
          </w:cols>
          <w:pgMar w:left="1220" w:top="137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150</w:t>
      </w:r>
    </w:p>
    <w:p>
      <w:pPr>
        <w:sectPr>
          <w:pgSz w:w="12240" w:h="15840" w:orient="portrait"/>
          <w:cols w:equalWidth="0" w:num="1">
            <w:col w:w="9860"/>
          </w:cols>
          <w:pgMar w:left="1220" w:top="1378" w:right="1160" w:bottom="0" w:gutter="0" w:footer="0" w:header="0"/>
          <w:type w:val="continuous"/>
        </w:sectPr>
      </w:pPr>
    </w:p>
    <w:bookmarkStart w:id="139" w:name="page140"/>
    <w:bookmarkEnd w:id="139"/>
    <w:p>
      <w:pPr>
        <w:ind w:left="360" w:right="640" w:hanging="360"/>
        <w:spacing w:after="0" w:line="282" w:lineRule="auto"/>
        <w:tabs>
          <w:tab w:leader="none" w:pos="22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2021 amount includes $3.4 million that was separately disclosed under current portion of capital lease obligations on the consolidated balance sheets in the prior year.</w:t>
      </w:r>
    </w:p>
    <w:p>
      <w:pPr>
        <w:spacing w:after="0" w:line="125" w:lineRule="exact"/>
        <w:rPr>
          <w:sz w:val="20"/>
          <w:szCs w:val="20"/>
          <w:color w:val="auto"/>
        </w:rPr>
      </w:pPr>
    </w:p>
    <w:p>
      <w:pPr>
        <w:ind w:left="720" w:hanging="720"/>
        <w:spacing w:after="0"/>
        <w:tabs>
          <w:tab w:leader="none" w:pos="72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Reporting</w:t>
      </w:r>
    </w:p>
    <w:p>
      <w:pPr>
        <w:spacing w:after="0" w:line="197" w:lineRule="exact"/>
        <w:rPr>
          <w:sz w:val="20"/>
          <w:szCs w:val="20"/>
          <w:color w:val="auto"/>
        </w:rPr>
      </w:pPr>
    </w:p>
    <w:p>
      <w:pPr>
        <w:jc w:val="both"/>
        <w:ind w:right="360" w:firstLine="360"/>
        <w:spacing w:after="0" w:line="253" w:lineRule="auto"/>
        <w:rPr>
          <w:sz w:val="20"/>
          <w:szCs w:val="20"/>
          <w:color w:val="auto"/>
        </w:rPr>
      </w:pPr>
      <w:r>
        <w:rPr>
          <w:rFonts w:ascii="Times New Roman" w:cs="Times New Roman" w:eastAsia="Times New Roman" w:hAnsi="Times New Roman"/>
          <w:sz w:val="20"/>
          <w:szCs w:val="20"/>
          <w:color w:val="auto"/>
        </w:rPr>
        <w:t>The Company’s business is aligned with how the chief operating decision maker ("CODM") reviews performance and makes decisions in managing the Company. As of December 31, 2022, the Company has identified two reportable segments: (i) GeneDx inclusive of Legacy GeneDx and Legacy Sema4 data revenues and associated costs and (ii) Legacy Sema4 diagnostics. The GeneDx segment primarily provides pediatric and rare disease diagnostics with a focus on whole exome and genome sequencing and, to a lesser extent data and information services. The Legacy Sema4 diagnostics segment provided reproductive and women’s health and somatic oncology diagnostic testing and screening products. Segment information is consistent with how management reviews the business, makes investing and resource allocation decisions and assesses operating performance. The CODM evaluates segment performance based on revenue and adjusted gross margin. Prior to the acquisition of Legacy GeneDx in April 2022, the Company had one segment which is characterized as “Legacy Sema4” in the table below. Prior to the date of the acquisition, consolidated results were the same as the results of this segment and therefore 2021 and 2020 have not been presented below.</w:t>
      </w:r>
    </w:p>
    <w:p>
      <w:pPr>
        <w:spacing w:after="0" w:line="250" w:lineRule="exact"/>
        <w:rPr>
          <w:sz w:val="20"/>
          <w:szCs w:val="20"/>
          <w:color w:val="auto"/>
        </w:rPr>
      </w:pPr>
    </w:p>
    <w:tbl>
      <w:tblPr>
        <w:tblLayout w:type="fixed"/>
        <w:tblInd w:w="420" w:type="dxa"/>
        <w:tblCellMar>
          <w:top w:w="0" w:type="dxa"/>
          <w:left w:w="0" w:type="dxa"/>
          <w:bottom w:w="0" w:type="dxa"/>
          <w:right w:w="0" w:type="dxa"/>
        </w:tblCellMar>
      </w:tblPr>
      <w:tr>
        <w:trPr>
          <w:trHeight w:val="267"/>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GeneDx</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Legacy Sema4</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92"/>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Fiscal Year Ended December 31, 2022:</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5"/>
        </w:trPr>
        <w:tc>
          <w:tcPr>
            <w:tcW w:w="4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Revenue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122,234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112,460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234,694</w:t>
            </w:r>
          </w:p>
        </w:tc>
      </w:tr>
      <w:tr>
        <w:trPr>
          <w:trHeight w:val="318"/>
        </w:trPr>
        <w:tc>
          <w:tcPr>
            <w:tcW w:w="4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Adjusted cost of services</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74,213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148,897</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223,110</w:t>
            </w:r>
          </w:p>
        </w:tc>
      </w:tr>
      <w:tr>
        <w:trPr>
          <w:trHeight w:val="292"/>
        </w:trPr>
        <w:tc>
          <w:tcPr>
            <w:tcW w:w="4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Adjusted gross margin (loss)</w:t>
            </w:r>
          </w:p>
        </w:tc>
        <w:tc>
          <w:tcPr>
            <w:tcW w:w="3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48,021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(36,437)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11,584</w:t>
            </w:r>
          </w:p>
        </w:tc>
      </w:tr>
      <w:tr>
        <w:trPr>
          <w:trHeight w:val="435"/>
        </w:trPr>
        <w:tc>
          <w:tcPr>
            <w:tcW w:w="40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Reconciliations:</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5"/>
        </w:trPr>
        <w:tc>
          <w:tcPr>
            <w:tcW w:w="4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28,888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31,328</w:t>
            </w:r>
          </w:p>
        </w:tc>
      </w:tr>
      <w:tr>
        <w:trPr>
          <w:trHeight w:val="315"/>
        </w:trPr>
        <w:tc>
          <w:tcPr>
            <w:tcW w:w="4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Stock-based compensation</w:t>
            </w:r>
          </w:p>
        </w:tc>
        <w:tc>
          <w:tcPr>
            <w:tcW w:w="3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5,080</w:t>
            </w:r>
          </w:p>
        </w:tc>
      </w:tr>
      <w:tr>
        <w:trPr>
          <w:trHeight w:val="318"/>
        </w:trPr>
        <w:tc>
          <w:tcPr>
            <w:tcW w:w="4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Restructuring charges</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1,797</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1,926</w:t>
            </w:r>
          </w:p>
        </w:tc>
      </w:tr>
      <w:tr>
        <w:trPr>
          <w:trHeight w:val="292"/>
        </w:trPr>
        <w:tc>
          <w:tcPr>
            <w:tcW w:w="4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Gross margin (loss)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44,772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(71,522)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-1880235</wp:posOffset>
            </wp:positionV>
            <wp:extent cx="5740400" cy="19018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7">
                      <a:extLst>
                        <a:ext uri="{28A0092B-C50C-407E-A947-70E740481C1C}"/>
                      </a:extLst>
                    </a:blip>
                    <a:srcRect/>
                    <a:stretch>
                      <a:fillRect/>
                    </a:stretch>
                  </pic:blipFill>
                  <pic:spPr bwMode="auto">
                    <a:xfrm>
                      <a:off x="0" y="0"/>
                      <a:ext cx="5740400" cy="1901825"/>
                    </a:xfrm>
                    <a:prstGeom prst="rect">
                      <a:avLst/>
                    </a:prstGeom>
                    <a:noFill/>
                  </pic:spPr>
                </pic:pic>
              </a:graphicData>
            </a:graphic>
          </wp:anchor>
        </w:drawing>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the Company’s disaggregated revenue (in thousands):</w:t>
      </w:r>
    </w:p>
    <w:p>
      <w:pPr>
        <w:spacing w:after="0" w:line="265"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7"/>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r>
      <w:tr>
        <w:trPr>
          <w:trHeight w:val="246"/>
        </w:trPr>
        <w:tc>
          <w:tcPr>
            <w:tcW w:w="5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60" w:type="dxa"/>
            <w:vAlign w:val="bottom"/>
          </w:tcPr>
          <w:p>
            <w:pPr>
              <w:spacing w:after="0"/>
              <w:rPr>
                <w:sz w:val="21"/>
                <w:szCs w:val="2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Legacy Sema4</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62"/>
        </w:trPr>
        <w:tc>
          <w:tcPr>
            <w:tcW w:w="5260" w:type="dxa"/>
            <w:vAlign w:val="bottom"/>
          </w:tcPr>
          <w:p>
            <w:pPr>
              <w:jc w:val="right"/>
              <w:ind w:right="3240"/>
              <w:spacing w:after="0"/>
              <w:rPr>
                <w:sz w:val="20"/>
                <w:szCs w:val="20"/>
                <w:color w:val="auto"/>
              </w:rPr>
            </w:pPr>
            <w:r>
              <w:rPr>
                <w:rFonts w:ascii="Times New Roman" w:cs="Times New Roman" w:eastAsia="Times New Roman" w:hAnsi="Times New Roman"/>
                <w:sz w:val="20"/>
                <w:szCs w:val="20"/>
                <w:color w:val="auto"/>
                <w:w w:val="98"/>
              </w:rPr>
              <w:t>Diagnostic test revenue:</w:t>
            </w: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5"/>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Patients with third-party insurance </w:t>
            </w:r>
            <w:r>
              <w:rPr>
                <w:rFonts w:ascii="Times New Roman" w:cs="Times New Roman" w:eastAsia="Times New Roman" w:hAnsi="Times New Roman"/>
                <w:sz w:val="20"/>
                <w:szCs w:val="20"/>
                <w:color w:val="98989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72,890</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100,734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173,624</w:t>
            </w:r>
          </w:p>
        </w:tc>
      </w:tr>
      <w:tr>
        <w:trPr>
          <w:trHeight w:val="285"/>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Institutional customers</w:t>
            </w:r>
            <w:r>
              <w:rPr>
                <w:rFonts w:ascii="Times New Roman" w:cs="Times New Roman" w:eastAsia="Times New Roman" w:hAnsi="Times New Roman"/>
                <w:sz w:val="20"/>
                <w:szCs w:val="20"/>
                <w:color w:val="989898"/>
              </w:rPr>
              <w:t>...............................................................</w:t>
            </w:r>
          </w:p>
        </w:tc>
        <w:tc>
          <w:tcPr>
            <w:tcW w:w="260" w:type="dxa"/>
            <w:vAlign w:val="bottom"/>
          </w:tcPr>
          <w:p>
            <w:pPr>
              <w:spacing w:after="0"/>
              <w:rPr>
                <w:sz w:val="24"/>
                <w:szCs w:val="24"/>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40,754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46,124</w:t>
            </w:r>
          </w:p>
        </w:tc>
      </w:tr>
      <w:tr>
        <w:trPr>
          <w:trHeight w:val="288"/>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Self-pay patients </w:t>
            </w:r>
            <w:r>
              <w:rPr>
                <w:rFonts w:ascii="Times New Roman" w:cs="Times New Roman" w:eastAsia="Times New Roman" w:hAnsi="Times New Roman"/>
                <w:sz w:val="20"/>
                <w:szCs w:val="20"/>
                <w:color w:val="989898"/>
              </w:rPr>
              <w:t>........................................................................</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1,230</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7,586</w:t>
            </w:r>
          </w:p>
        </w:tc>
      </w:tr>
      <w:tr>
        <w:trPr>
          <w:trHeight w:val="262"/>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Total diagnostic test revenue </w:t>
            </w:r>
            <w:r>
              <w:rPr>
                <w:rFonts w:ascii="Times New Roman" w:cs="Times New Roman" w:eastAsia="Times New Roman" w:hAnsi="Times New Roman"/>
                <w:sz w:val="20"/>
                <w:szCs w:val="20"/>
                <w:color w:val="989898"/>
                <w:w w:val="98"/>
              </w:rPr>
              <w:t>..........................................................</w:t>
            </w:r>
          </w:p>
        </w:tc>
        <w:tc>
          <w:tcPr>
            <w:tcW w:w="260" w:type="dxa"/>
            <w:vAlign w:val="bottom"/>
          </w:tcPr>
          <w:p>
            <w:pPr>
              <w:spacing w:after="0"/>
              <w:rPr>
                <w:sz w:val="22"/>
                <w:szCs w:val="22"/>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114,874</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112,460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227,334</w:t>
            </w:r>
          </w:p>
        </w:tc>
      </w:tr>
      <w:tr>
        <w:trPr>
          <w:trHeight w:val="288"/>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Other revenue </w:t>
            </w:r>
            <w:r>
              <w:rPr>
                <w:rFonts w:ascii="Times New Roman" w:cs="Times New Roman" w:eastAsia="Times New Roman" w:hAnsi="Times New Roman"/>
                <w:sz w:val="20"/>
                <w:szCs w:val="20"/>
                <w:color w:val="989898"/>
                <w:w w:val="98"/>
              </w:rPr>
              <w:t>.................................................................................</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7,360</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7,360</w:t>
            </w:r>
          </w:p>
        </w:tc>
      </w:tr>
      <w:tr>
        <w:trPr>
          <w:trHeight w:val="245"/>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w:t>
            </w:r>
            <w:r>
              <w:rPr>
                <w:rFonts w:ascii="Times New Roman" w:cs="Times New Roman" w:eastAsia="Times New Roman" w:hAnsi="Times New Roman"/>
                <w:sz w:val="20"/>
                <w:szCs w:val="20"/>
                <w:color w:val="989898"/>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122,234</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112,460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234,694</w:t>
            </w:r>
          </w:p>
        </w:tc>
      </w:tr>
      <w:tr>
        <w:trPr>
          <w:trHeight w:val="20"/>
        </w:trPr>
        <w:tc>
          <w:tcPr>
            <w:tcW w:w="5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-1297940</wp:posOffset>
            </wp:positionV>
            <wp:extent cx="5969000" cy="13049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78">
                      <a:extLst>
                        <a:ext uri="{28A0092B-C50C-407E-A947-70E740481C1C}"/>
                      </a:extLst>
                    </a:blip>
                    <a:srcRect/>
                    <a:stretch>
                      <a:fillRect/>
                    </a:stretch>
                  </pic:blipFill>
                  <pic:spPr bwMode="auto">
                    <a:xfrm>
                      <a:off x="0" y="0"/>
                      <a:ext cx="5969000" cy="1304925"/>
                    </a:xfrm>
                    <a:prstGeom prst="rect">
                      <a:avLst/>
                    </a:prstGeom>
                    <a:noFill/>
                  </pic:spPr>
                </pic:pic>
              </a:graphicData>
            </a:graphic>
          </wp:anchor>
        </w:drawing>
      </w:r>
    </w:p>
    <w:p>
      <w:pPr>
        <w:spacing w:after="0" w:line="168" w:lineRule="exact"/>
        <w:rPr>
          <w:sz w:val="20"/>
          <w:szCs w:val="20"/>
          <w:color w:val="auto"/>
        </w:rPr>
      </w:pPr>
    </w:p>
    <w:p>
      <w:pPr>
        <w:jc w:val="both"/>
        <w:ind w:right="360" w:firstLine="360"/>
        <w:spacing w:after="0" w:line="266" w:lineRule="auto"/>
        <w:rPr>
          <w:sz w:val="20"/>
          <w:szCs w:val="20"/>
          <w:color w:val="auto"/>
        </w:rPr>
      </w:pPr>
      <w:r>
        <w:rPr>
          <w:rFonts w:ascii="Times New Roman" w:cs="Times New Roman" w:eastAsia="Times New Roman" w:hAnsi="Times New Roman"/>
          <w:sz w:val="20"/>
          <w:szCs w:val="20"/>
          <w:color w:val="auto"/>
        </w:rPr>
        <w:t>Management manages assets on a total company basis, not by reporting segment. The CODM does not regularly review any asset information by reporting segment and, accordingly, the Company does not report asset information by reporting segment.</w:t>
      </w:r>
    </w:p>
    <w:p>
      <w:pPr>
        <w:sectPr>
          <w:pgSz w:w="12240" w:h="15840" w:orient="portrait"/>
          <w:cols w:equalWidth="0" w:num="1">
            <w:col w:w="9720"/>
          </w:cols>
          <w:pgMar w:left="1440" w:top="139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151</w:t>
      </w:r>
    </w:p>
    <w:p>
      <w:pPr>
        <w:sectPr>
          <w:pgSz w:w="12240" w:h="15840" w:orient="portrait"/>
          <w:cols w:equalWidth="0" w:num="1">
            <w:col w:w="9720"/>
          </w:cols>
          <w:pgMar w:left="1440" w:top="1390" w:right="1080" w:bottom="0" w:gutter="0" w:footer="0" w:header="0"/>
          <w:type w:val="continuous"/>
        </w:sectPr>
      </w:pPr>
    </w:p>
    <w:bookmarkStart w:id="140" w:name="page141"/>
    <w:bookmarkEnd w:id="140"/>
    <w:p>
      <w:pPr>
        <w:ind w:left="720" w:hanging="720"/>
        <w:spacing w:after="0"/>
        <w:tabs>
          <w:tab w:leader="none" w:pos="72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19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As discussed in Note 3, Business Combinations, upon the acquisition of GeneDx in April 2022, the Company recorded initial goodwill of $181.5 million through its preliminary purchase allocation. The purchase price allocation for acquired businesses may be modified for up to one year from the date of acquisition if additional facts or circumstances lead to changes in our preliminary purchase accounting estimates. The measurement period is still open as of December 31, 2022.</w:t>
      </w:r>
    </w:p>
    <w:p>
      <w:pPr>
        <w:spacing w:after="0" w:line="144" w:lineRule="exact"/>
        <w:rPr>
          <w:sz w:val="20"/>
          <w:szCs w:val="20"/>
          <w:color w:val="auto"/>
        </w:rPr>
      </w:pPr>
    </w:p>
    <w:tbl>
      <w:tblPr>
        <w:tblLayout w:type="fixed"/>
        <w:tblInd w:w="360" w:type="dxa"/>
        <w:tblCellMar>
          <w:top w:w="0" w:type="dxa"/>
          <w:left w:w="0" w:type="dxa"/>
          <w:bottom w:w="0" w:type="dxa"/>
          <w:right w:w="0" w:type="dxa"/>
        </w:tblCellMar>
      </w:tblPr>
      <w:tr>
        <w:trPr>
          <w:trHeight w:val="260"/>
        </w:trPr>
        <w:tc>
          <w:tcPr>
            <w:tcW w:w="7700" w:type="dxa"/>
            <w:vAlign w:val="bottom"/>
          </w:tcPr>
          <w:p>
            <w:pPr>
              <w:jc w:val="right"/>
              <w:ind w:right="1120"/>
              <w:spacing w:after="0"/>
              <w:rPr>
                <w:sz w:val="20"/>
                <w:szCs w:val="20"/>
                <w:color w:val="auto"/>
              </w:rPr>
            </w:pPr>
            <w:r>
              <w:rPr>
                <w:rFonts w:ascii="Times New Roman" w:cs="Times New Roman" w:eastAsia="Times New Roman" w:hAnsi="Times New Roman"/>
                <w:sz w:val="20"/>
                <w:szCs w:val="20"/>
                <w:color w:val="auto"/>
                <w:w w:val="99"/>
              </w:rPr>
              <w:t>The changes in the carrying amounts of goodwill were as follows (in thousands):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83"/>
        </w:trPr>
        <w:tc>
          <w:tcPr>
            <w:tcW w:w="770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Balance as of December 31, 2021 </w:t>
            </w:r>
            <w:r>
              <w:rPr>
                <w:rFonts w:ascii="Times New Roman" w:cs="Times New Roman" w:eastAsia="Times New Roman" w:hAnsi="Times New Roman"/>
                <w:sz w:val="20"/>
                <w:szCs w:val="20"/>
                <w:color w:val="989898"/>
                <w:w w:val="99"/>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Additions </w:t>
            </w:r>
            <w:r>
              <w:rPr>
                <w:rFonts w:ascii="Times New Roman" w:cs="Times New Roman" w:eastAsia="Times New Roman" w:hAnsi="Times New Roman"/>
                <w:sz w:val="20"/>
                <w:szCs w:val="20"/>
                <w:color w:val="989898"/>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185,871</w:t>
            </w:r>
          </w:p>
        </w:tc>
      </w:tr>
      <w:tr>
        <w:trPr>
          <w:trHeight w:val="285"/>
        </w:trPr>
        <w:tc>
          <w:tcPr>
            <w:tcW w:w="7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Measurement period adjustments </w:t>
            </w:r>
            <w:r>
              <w:rPr>
                <w:rFonts w:ascii="Times New Roman" w:cs="Times New Roman" w:eastAsia="Times New Roman" w:hAnsi="Times New Roman"/>
                <w:sz w:val="20"/>
                <w:szCs w:val="20"/>
                <w:color w:val="989898"/>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(11,412)</w:t>
            </w:r>
          </w:p>
        </w:tc>
      </w:tr>
      <w:tr>
        <w:trPr>
          <w:trHeight w:val="288"/>
        </w:trPr>
        <w:tc>
          <w:tcPr>
            <w:tcW w:w="7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Impairment charges </w:t>
            </w:r>
            <w:r>
              <w:rPr>
                <w:rFonts w:ascii="Times New Roman" w:cs="Times New Roman" w:eastAsia="Times New Roman" w:hAnsi="Times New Roman"/>
                <w:sz w:val="20"/>
                <w:szCs w:val="20"/>
                <w:color w:val="989898"/>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(174,459)</w:t>
            </w:r>
          </w:p>
        </w:tc>
      </w:tr>
      <w:tr>
        <w:trPr>
          <w:trHeight w:val="245"/>
        </w:trPr>
        <w:tc>
          <w:tcPr>
            <w:tcW w:w="7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Balance as of December 31, 2022 </w:t>
            </w:r>
            <w:r>
              <w:rPr>
                <w:rFonts w:ascii="Times New Roman" w:cs="Times New Roman" w:eastAsia="Times New Roman" w:hAnsi="Times New Roman"/>
                <w:sz w:val="20"/>
                <w:szCs w:val="20"/>
                <w:color w:val="989898"/>
                <w:w w:val="99"/>
              </w:rPr>
              <w:t>..................................................................................................</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7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-935990</wp:posOffset>
            </wp:positionV>
            <wp:extent cx="5740400" cy="9429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9">
                      <a:extLst>
                        <a:ext uri="{28A0092B-C50C-407E-A947-70E740481C1C}"/>
                      </a:extLst>
                    </a:blip>
                    <a:srcRect/>
                    <a:stretch>
                      <a:fillRect/>
                    </a:stretch>
                  </pic:blipFill>
                  <pic:spPr bwMode="auto">
                    <a:xfrm>
                      <a:off x="0" y="0"/>
                      <a:ext cx="5740400" cy="942975"/>
                    </a:xfrm>
                    <a:prstGeom prst="rect">
                      <a:avLst/>
                    </a:prstGeom>
                    <a:noFill/>
                  </pic:spPr>
                </pic:pic>
              </a:graphicData>
            </a:graphic>
          </wp:anchor>
        </w:drawing>
      </w:r>
    </w:p>
    <w:p>
      <w:pPr>
        <w:spacing w:after="0" w:line="16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During the fourth quarter of 2022, the Company identified indicators that it was more likely than not that the fair value of the GeneDx reporting unit was less than its carrying value. The factors contributing to the indicators include, but are not limited to, significant decline in the Company’s stock price coupled with lower than anticipated business financial performance of the Legacy Sema4 business.</w:t>
      </w:r>
    </w:p>
    <w:p>
      <w:pPr>
        <w:spacing w:after="0" w:line="185"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The Company performed quantitative analysis as of December 31, 2022 to determine the fair value of the GeneDx reporting unit. The fair value was determined through estimating the Company’s discounted future cash flows expected to be generated. Significant assumptions inherent in the valuation are employed and include, but are not limited to, prospective financial information, growth rates, terminal value, discount rates, and comparable multiples from publicly traded companies in our industry. Based on the analysis, the Company concluded that the reporting unit’s carrying value was greater than the fair value. Accordingly, an impairment charge totaling $174.5 million was recognized.</w:t>
      </w:r>
    </w:p>
    <w:p>
      <w:pPr>
        <w:spacing w:after="0" w:line="189"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reflects the fair values and remaining useful lives of the acquired intangible assets identified based on the Company’s preliminary purchase accounting assessments for the GeneDx acquisition (in thousands):</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Weighted-</w:t>
            </w:r>
          </w:p>
        </w:tc>
        <w:tc>
          <w:tcPr>
            <w:tcW w:w="0" w:type="dxa"/>
            <w:vAlign w:val="bottom"/>
          </w:tcPr>
          <w:p>
            <w:pPr>
              <w:spacing w:after="0"/>
              <w:rPr>
                <w:sz w:val="1"/>
                <w:szCs w:val="1"/>
                <w:color w:val="auto"/>
              </w:rPr>
            </w:pPr>
          </w:p>
        </w:tc>
      </w:tr>
      <w:tr>
        <w:trPr>
          <w:trHeight w:val="200"/>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00"/>
        </w:trPr>
        <w:tc>
          <w:tcPr>
            <w:tcW w:w="2640" w:type="dxa"/>
            <w:vAlign w:val="bottom"/>
          </w:tcPr>
          <w:p>
            <w:pPr>
              <w:spacing w:after="0"/>
              <w:rPr>
                <w:sz w:val="17"/>
                <w:szCs w:val="17"/>
                <w:color w:val="auto"/>
              </w:rPr>
            </w:pP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Gross Carrying</w:t>
            </w:r>
          </w:p>
        </w:tc>
        <w:tc>
          <w:tcPr>
            <w:tcW w:w="200" w:type="dxa"/>
            <w:vAlign w:val="bottom"/>
          </w:tcPr>
          <w:p>
            <w:pPr>
              <w:spacing w:after="0"/>
              <w:rPr>
                <w:sz w:val="17"/>
                <w:szCs w:val="17"/>
                <w:color w:val="auto"/>
              </w:rPr>
            </w:pPr>
          </w:p>
        </w:tc>
        <w:tc>
          <w:tcPr>
            <w:tcW w:w="130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Net Carrying</w:t>
            </w:r>
          </w:p>
        </w:tc>
        <w:tc>
          <w:tcPr>
            <w:tcW w:w="60" w:type="dxa"/>
            <w:vAlign w:val="bottom"/>
          </w:tcPr>
          <w:p>
            <w:pPr>
              <w:spacing w:after="0"/>
              <w:rPr>
                <w:sz w:val="17"/>
                <w:szCs w:val="17"/>
                <w:color w:val="auto"/>
              </w:rPr>
            </w:pPr>
          </w:p>
        </w:tc>
        <w:tc>
          <w:tcPr>
            <w:tcW w:w="14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Amortization</w:t>
            </w:r>
          </w:p>
        </w:tc>
        <w:tc>
          <w:tcPr>
            <w:tcW w:w="0" w:type="dxa"/>
            <w:vAlign w:val="bottom"/>
          </w:tcPr>
          <w:p>
            <w:pPr>
              <w:spacing w:after="0"/>
              <w:rPr>
                <w:sz w:val="1"/>
                <w:szCs w:val="1"/>
                <w:color w:val="auto"/>
              </w:rPr>
            </w:pPr>
          </w:p>
        </w:tc>
      </w:tr>
      <w:tr>
        <w:trPr>
          <w:trHeight w:val="200"/>
        </w:trPr>
        <w:tc>
          <w:tcPr>
            <w:tcW w:w="264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Period</w:t>
            </w:r>
          </w:p>
        </w:tc>
        <w:tc>
          <w:tcPr>
            <w:tcW w:w="0" w:type="dxa"/>
            <w:vAlign w:val="bottom"/>
          </w:tcPr>
          <w:p>
            <w:pPr>
              <w:spacing w:after="0"/>
              <w:rPr>
                <w:sz w:val="1"/>
                <w:szCs w:val="1"/>
                <w:color w:val="auto"/>
              </w:rPr>
            </w:pPr>
          </w:p>
        </w:tc>
      </w:tr>
      <w:tr>
        <w:trPr>
          <w:trHeight w:val="263"/>
        </w:trPr>
        <w:tc>
          <w:tcPr>
            <w:tcW w:w="26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9"/>
              </w:rPr>
              <w:t>Amortization</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Value</w:t>
            </w:r>
          </w:p>
        </w:tc>
        <w:tc>
          <w:tcPr>
            <w:tcW w:w="6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 years)</w:t>
            </w:r>
          </w:p>
        </w:tc>
        <w:tc>
          <w:tcPr>
            <w:tcW w:w="0" w:type="dxa"/>
            <w:vAlign w:val="bottom"/>
          </w:tcPr>
          <w:p>
            <w:pPr>
              <w:spacing w:after="0"/>
              <w:rPr>
                <w:sz w:val="1"/>
                <w:szCs w:val="1"/>
                <w:color w:val="auto"/>
              </w:rPr>
            </w:pPr>
          </w:p>
        </w:tc>
      </w:tr>
      <w:tr>
        <w:trPr>
          <w:trHeight w:val="262"/>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Tradenames and trademarks </w:t>
            </w:r>
            <w:r>
              <w:rPr>
                <w:rFonts w:ascii="Times New Roman" w:cs="Times New Roman" w:eastAsia="Times New Roman" w:hAnsi="Times New Roman"/>
                <w:sz w:val="20"/>
                <w:szCs w:val="20"/>
                <w:color w:val="989898"/>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50,000</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47,917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0" w:type="dxa"/>
            <w:vAlign w:val="bottom"/>
          </w:tcPr>
          <w:p>
            <w:pPr>
              <w:spacing w:after="0"/>
              <w:rPr>
                <w:sz w:val="1"/>
                <w:szCs w:val="1"/>
                <w:color w:val="auto"/>
              </w:rPr>
            </w:pPr>
          </w:p>
        </w:tc>
      </w:tr>
      <w:tr>
        <w:trPr>
          <w:trHeight w:val="285"/>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Developed Technology </w:t>
            </w:r>
            <w:r>
              <w:rPr>
                <w:rFonts w:ascii="Times New Roman" w:cs="Times New Roman" w:eastAsia="Times New Roman" w:hAnsi="Times New Roman"/>
                <w:sz w:val="20"/>
                <w:szCs w:val="20"/>
                <w:color w:val="989898"/>
              </w:rPr>
              <w:t>.............</w:t>
            </w:r>
          </w:p>
        </w:tc>
        <w:tc>
          <w:tcPr>
            <w:tcW w:w="280" w:type="dxa"/>
            <w:vAlign w:val="bottom"/>
          </w:tcPr>
          <w:p>
            <w:pPr>
              <w:spacing w:after="0"/>
              <w:rPr>
                <w:sz w:val="24"/>
                <w:szCs w:val="24"/>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48,000</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288"/>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Customer Relationships </w:t>
            </w:r>
            <w:r>
              <w:rPr>
                <w:rFonts w:ascii="Times New Roman" w:cs="Times New Roman" w:eastAsia="Times New Roman" w:hAnsi="Times New Roman"/>
                <w:sz w:val="20"/>
                <w:szCs w:val="20"/>
                <w:color w:val="989898"/>
              </w:rPr>
              <w:t>............</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98,000</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(3,267)</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94,733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1"/>
                <w:szCs w:val="21"/>
                <w:color w:val="auto"/>
              </w:rPr>
            </w:pP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196,000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(9,350)</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186,650</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-755015</wp:posOffset>
            </wp:positionV>
            <wp:extent cx="5740400" cy="7620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80">
                      <a:extLst>
                        <a:ext uri="{28A0092B-C50C-407E-A947-70E740481C1C}"/>
                      </a:extLst>
                    </a:blip>
                    <a:srcRect/>
                    <a:stretch>
                      <a:fillRect/>
                    </a:stretch>
                  </pic:blipFill>
                  <pic:spPr bwMode="auto">
                    <a:xfrm>
                      <a:off x="0" y="0"/>
                      <a:ext cx="5740400" cy="762000"/>
                    </a:xfrm>
                    <a:prstGeom prst="rect">
                      <a:avLst/>
                    </a:prstGeom>
                    <a:noFill/>
                  </pic:spPr>
                </pic:pic>
              </a:graphicData>
            </a:graphic>
          </wp:anchor>
        </w:drawing>
      </w:r>
    </w:p>
    <w:p>
      <w:pPr>
        <w:spacing w:after="0" w:line="16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Amortization expense for tradenames and trademarks and developed technology of $6.1 million was recorded in general and administrative for the year ended December 31, 2022 within the consolidated statements of operations and comprehensive loss. Amortization expense for customer relationships of $3.3 million was recorded in selling and marketing for the year ended December 31, 2022 within the consolidated statements of operations and comprehensive loss.</w:t>
      </w:r>
    </w:p>
    <w:p>
      <w:pPr>
        <w:spacing w:after="0" w:line="144"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Company’s estimated future amortization expense of intangible assets with finite lives as of December 31, 2022 (in thousands):</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152</w:t>
      </w:r>
    </w:p>
    <w:p>
      <w:pPr>
        <w:sectPr>
          <w:pgSz w:w="12240" w:h="15840" w:orient="portrait"/>
          <w:cols w:equalWidth="0" w:num="1">
            <w:col w:w="9360"/>
          </w:cols>
          <w:pgMar w:left="1440" w:top="1371" w:right="1440" w:bottom="0" w:gutter="0" w:footer="0" w:header="0"/>
          <w:type w:val="continuous"/>
        </w:sectPr>
      </w:pPr>
    </w:p>
    <w:bookmarkStart w:id="141" w:name="page142"/>
    <w:bookmarkEnd w:id="141"/>
    <w:p>
      <w:pPr>
        <w:spacing w:after="0" w:line="3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1130300</wp:posOffset>
            </wp:positionH>
            <wp:positionV relativeFrom="page">
              <wp:posOffset>1101725</wp:posOffset>
            </wp:positionV>
            <wp:extent cx="5740400" cy="14255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1">
                      <a:extLst>
                        <a:ext uri="{28A0092B-C50C-407E-A947-70E740481C1C}"/>
                      </a:extLst>
                    </a:blip>
                    <a:srcRect/>
                    <a:stretch>
                      <a:fillRect/>
                    </a:stretch>
                  </pic:blipFill>
                  <pic:spPr bwMode="auto">
                    <a:xfrm>
                      <a:off x="0" y="0"/>
                      <a:ext cx="5740400" cy="1425575"/>
                    </a:xfrm>
                    <a:prstGeom prst="rect">
                      <a:avLst/>
                    </a:prstGeom>
                    <a:noFill/>
                  </pic:spPr>
                </pic:pic>
              </a:graphicData>
            </a:graphic>
          </wp:anchor>
        </w:drawing>
      </w:r>
    </w:p>
    <w:tbl>
      <w:tblPr>
        <w:tblLayout w:type="fixed"/>
        <w:tblInd w:w="420" w:type="dxa"/>
        <w:tblCellMar>
          <w:top w:w="0" w:type="dxa"/>
          <w:left w:w="0" w:type="dxa"/>
          <w:bottom w:w="0" w:type="dxa"/>
          <w:right w:w="0" w:type="dxa"/>
        </w:tblCellMar>
      </w:tblPr>
      <w:tr>
        <w:trPr>
          <w:trHeight w:val="26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14,025</w:t>
            </w:r>
          </w:p>
        </w:tc>
      </w:tr>
      <w:tr>
        <w:trPr>
          <w:trHeight w:val="315"/>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6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14,025</w:t>
            </w:r>
          </w:p>
        </w:tc>
      </w:tr>
      <w:tr>
        <w:trPr>
          <w:trHeight w:val="315"/>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6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14,025</w:t>
            </w:r>
          </w:p>
        </w:tc>
      </w:tr>
      <w:tr>
        <w:trPr>
          <w:trHeight w:val="315"/>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6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14,025</w:t>
            </w:r>
          </w:p>
        </w:tc>
      </w:tr>
      <w:tr>
        <w:trPr>
          <w:trHeight w:val="315"/>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6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14,025</w:t>
            </w:r>
          </w:p>
        </w:tc>
      </w:tr>
      <w:tr>
        <w:trPr>
          <w:trHeight w:val="318"/>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6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116,525</w:t>
            </w:r>
          </w:p>
        </w:tc>
      </w:tr>
      <w:tr>
        <w:trPr>
          <w:trHeight w:val="292"/>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Total estimated future amortization expense</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186,650</w:t>
            </w:r>
          </w:p>
        </w:tc>
      </w:tr>
    </w:tbl>
    <w:p>
      <w:pPr>
        <w:spacing w:after="0" w:line="224" w:lineRule="exact"/>
        <w:rPr>
          <w:sz w:val="20"/>
          <w:szCs w:val="20"/>
          <w:color w:val="auto"/>
        </w:rPr>
      </w:pPr>
    </w:p>
    <w:p>
      <w:pPr>
        <w:ind w:left="720" w:hanging="720"/>
        <w:spacing w:after="0"/>
        <w:tabs>
          <w:tab w:leader="none" w:pos="72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Name Change</w:t>
      </w:r>
    </w:p>
    <w:p>
      <w:pPr>
        <w:spacing w:after="0" w:line="20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Effective January 2023, the Company changed its name from “Sema4 Holdings Corp.” to “GeneDx Holdings Corp.”</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Offerings</w:t>
      </w:r>
    </w:p>
    <w:p>
      <w:pPr>
        <w:spacing w:after="0" w:line="20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January 2023, the Company raised approximately $150.0 million in gross proceeds from the sale of an aggregate 328,571,429 shares of its Class A common stock in an underwritten public offering and the sale of 100,000,000 shares of its Class A common stock shares directly to institutional investors affiliated with a member of our board of directors, in a concurrent registered direct offering. Both transactions were executed at $0.35 per share. 77,663,376 shares in the direct offering were issued and the remaining 22,336,624 shares are subject to stockholder approval to satisfy Nasdaq requirements with respect to the issuance of such shares of Class A common stock. The net offering proceeds received after deducting underwriters' discounts and commissions payable by the Company were approximately $137.6 million. As part of the underwritten offering, the Company granted the underwriter a 30-day option to purchase up to an additional 49,285,714 shares of Class A common stock at the same price. On January 27, 2023, the underwriter partially exercised the option to purchase an additional 185,000 shares of Class A common stock.</w:t>
      </w:r>
    </w:p>
    <w:p>
      <w:pPr>
        <w:spacing w:after="0" w:line="153"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Additional net proceeds of $7.6 million are expected to be received during the second quarter of 2023 once the issuance of the remaining 22,336,624 shares receives stockholder approval and the Company issues such shares.</w:t>
      </w:r>
    </w:p>
    <w:p>
      <w:pPr>
        <w:sectPr>
          <w:pgSz w:w="12240" w:h="15840" w:orient="portrait"/>
          <w:cols w:equalWidth="0" w:num="1">
            <w:col w:w="936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153</w:t>
      </w:r>
    </w:p>
    <w:p>
      <w:pPr>
        <w:sectPr>
          <w:pgSz w:w="12240" w:h="15840" w:orient="portrait"/>
          <w:cols w:equalWidth="0" w:num="1">
            <w:col w:w="9360"/>
          </w:cols>
          <w:pgMar w:left="1440" w:top="1440" w:right="1440" w:bottom="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19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w:t>
      </w:r>
    </w:p>
    <w:p>
      <w:pPr>
        <w:spacing w:after="0" w:line="13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As required by Rules 13a-15 and 15d-15 under the Exchange Act, our Chief Executive Officer and Chief Financial Officer carried out an evaluation of the effectiveness of the design and operation of our disclosure controls and procedures as of December 31, 2022. Based on that evaluation, our Chief Executive Officer and Chief Financial Officer concluded that our disclosure controls and procedures were not effective as of December 31, 2022 because of the material weaknesses in internal control over financial reporting discussed below.</w:t>
      </w:r>
    </w:p>
    <w:p>
      <w:pPr>
        <w:spacing w:after="0" w:line="14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Notwithstanding the material weaknesses in internal control over financial reporting described below, our management has concluded that our consolidated financial statements included in this Annual Report on Form 10-K are fairly stated in all material respects in accordance with accounting principles generally accepted in the United States of America (“U.S. GAAP”).</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19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5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Under the supervision and with the participation of our Chief Executive Officer and our Chief Financial Officer and oversight of the board of directors, our management conducted an evaluation of the effectiveness of our internal control over financial reporting as of December 31, 2022, based on the criteria set forth in Internal Control-Integrated Framework issued by the Committee of Sponsoring Organizations of the Treadway Commission (2013 COSO framework). Based on this evaluation, due to the material weaknesses described below, management concluded that the Company’s internal control over financial reporting were not effective.</w:t>
      </w:r>
    </w:p>
    <w:p>
      <w:pPr>
        <w:spacing w:after="0" w:line="14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As discussed elsewhere in this Annual Report on Form 10-K, we completed our acquisition of Legacy GeneDx on April 29, 2022. The SEC permits companies to exclude acquisitions from their assessment of internal control over financial reporting during the first year in which the acquisition was completed, and our management has elected to exclude Legacy GeneDx from our assessment as of December 31, 2022.</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Material Weaknesses</w:t>
      </w:r>
    </w:p>
    <w:p>
      <w:pPr>
        <w:spacing w:after="0" w:line="19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35" w:lineRule="exact"/>
        <w:rPr>
          <w:sz w:val="20"/>
          <w:szCs w:val="20"/>
          <w:color w:val="auto"/>
        </w:rPr>
      </w:pPr>
    </w:p>
    <w:p>
      <w:pPr>
        <w:ind w:right="20" w:firstLine="360"/>
        <w:spacing w:after="0" w:line="257" w:lineRule="auto"/>
        <w:rPr>
          <w:sz w:val="20"/>
          <w:szCs w:val="20"/>
          <w:color w:val="auto"/>
        </w:rPr>
      </w:pPr>
      <w:r>
        <w:rPr>
          <w:rFonts w:ascii="Times New Roman" w:cs="Times New Roman" w:eastAsia="Times New Roman" w:hAnsi="Times New Roman"/>
          <w:sz w:val="20"/>
          <w:szCs w:val="20"/>
          <w:color w:val="auto"/>
        </w:rPr>
        <w:t>In connection with the preparation of Legacy Sema4's audited financial statements as of December 31, 2020, we previously identified material weaknesses in our internal controls over financial reporting. Certain of these material weaknesses remain unremediated as of December 31, 2022.</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Specifically, as of December 31, 2022, the material weaknesses that remain unremediated include the following:</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154</w:t>
      </w:r>
    </w:p>
    <w:p>
      <w:pPr>
        <w:sectPr>
          <w:pgSz w:w="12240" w:h="15840" w:orient="portrait"/>
          <w:cols w:equalWidth="0" w:num="1">
            <w:col w:w="9360"/>
          </w:cols>
          <w:pgMar w:left="1440" w:top="1371" w:right="1440" w:bottom="0" w:gutter="0" w:footer="0" w:header="0"/>
          <w:type w:val="continuous"/>
        </w:sectPr>
      </w:pPr>
    </w:p>
    <w:bookmarkStart w:id="143" w:name="page144"/>
    <w:bookmarkEnd w:id="143"/>
    <w:p>
      <w:pPr>
        <w:jc w:val="both"/>
        <w:ind w:left="720" w:hanging="360"/>
        <w:spacing w:after="0" w:line="255" w:lineRule="auto"/>
        <w:tabs>
          <w:tab w:leader="none" w:pos="720" w:val="left"/>
        </w:tabs>
        <w:numPr>
          <w:ilvl w:val="0"/>
          <w:numId w:val="71"/>
        </w:numPr>
        <w:rPr>
          <w:rFonts w:ascii="Calibri" w:cs="Calibri" w:eastAsia="Calibri" w:hAnsi="Calibri"/>
          <w:sz w:val="20"/>
          <w:szCs w:val="20"/>
          <w:b w:val="1"/>
          <w:bCs w:val="1"/>
          <w:color w:val="auto"/>
        </w:rPr>
      </w:pPr>
      <w:r>
        <w:rPr>
          <w:rFonts w:ascii="Times New Roman" w:cs="Times New Roman" w:eastAsia="Times New Roman" w:hAnsi="Times New Roman"/>
          <w:sz w:val="20"/>
          <w:szCs w:val="20"/>
          <w:color w:val="auto"/>
        </w:rPr>
        <w:t>We do not have sufficient, qualified finance and accounting staff with the appropriate U.S. GAAP technical accounting expertise to effectively maintain processes and controls that allow for the timely production of accurate financial information in accordance with internal financial reporting timelines, commensurate with our size and the nature and complexity of our operations.</w:t>
      </w:r>
    </w:p>
    <w:p>
      <w:pPr>
        <w:spacing w:after="0" w:line="87" w:lineRule="exact"/>
        <w:rPr>
          <w:rFonts w:ascii="Calibri" w:cs="Calibri" w:eastAsia="Calibri" w:hAnsi="Calibri"/>
          <w:sz w:val="20"/>
          <w:szCs w:val="20"/>
          <w:b w:val="1"/>
          <w:bCs w:val="1"/>
          <w:color w:val="auto"/>
        </w:rPr>
      </w:pPr>
    </w:p>
    <w:p>
      <w:pPr>
        <w:jc w:val="both"/>
        <w:ind w:left="720" w:hanging="360"/>
        <w:spacing w:after="0" w:line="255" w:lineRule="auto"/>
        <w:tabs>
          <w:tab w:leader="none" w:pos="720" w:val="left"/>
        </w:tabs>
        <w:numPr>
          <w:ilvl w:val="0"/>
          <w:numId w:val="71"/>
        </w:numPr>
        <w:rPr>
          <w:rFonts w:ascii="Calibri" w:cs="Calibri" w:eastAsia="Calibri" w:hAnsi="Calibri"/>
          <w:sz w:val="20"/>
          <w:szCs w:val="20"/>
          <w:b w:val="1"/>
          <w:bCs w:val="1"/>
          <w:color w:val="auto"/>
        </w:rPr>
      </w:pPr>
      <w:r>
        <w:rPr>
          <w:rFonts w:ascii="Times New Roman" w:cs="Times New Roman" w:eastAsia="Times New Roman" w:hAnsi="Times New Roman"/>
          <w:sz w:val="20"/>
          <w:szCs w:val="20"/>
          <w:color w:val="auto"/>
        </w:rPr>
        <w:t>We did not maintain formal processes and controls to achieve complete, accurate and timely financial accounting, reporting and disclosures, including controls over the preparation and review of account reconciliations, journal entries, classification of certain costs, non-recurring complex transactions and the accounting in accordance with U.S. GAAP.</w:t>
      </w:r>
    </w:p>
    <w:p>
      <w:pPr>
        <w:spacing w:after="0" w:line="76" w:lineRule="exact"/>
        <w:rPr>
          <w:rFonts w:ascii="Calibri" w:cs="Calibri" w:eastAsia="Calibri" w:hAnsi="Calibri"/>
          <w:sz w:val="20"/>
          <w:szCs w:val="20"/>
          <w:b w:val="1"/>
          <w:bCs w:val="1"/>
          <w:color w:val="auto"/>
        </w:rPr>
      </w:pPr>
    </w:p>
    <w:p>
      <w:pPr>
        <w:ind w:left="720" w:right="160" w:hanging="360"/>
        <w:spacing w:after="0" w:line="231" w:lineRule="auto"/>
        <w:tabs>
          <w:tab w:leader="none" w:pos="7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accounting and operating systems lacked controls over access, and program change management that are needed to ensure access to financial data is adequately restricted to appropriate personnel, including consideration of the appropriate segregation of duties. As a result, it is possible that the Company’s business process controls that depend on the accuracy and completeness of data or financial reports generated by the Company's information technology system could be adversely affected due to the lack of operating effectiveness of the information technology general controls (“ITGCs”).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Remediation Plan</w:t>
      </w:r>
    </w:p>
    <w:p>
      <w:pPr>
        <w:spacing w:after="0" w:line="24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Our management is actively engaged and committed to taking the steps necessary to remediate the control deficiencies that constituted the material weaknesses. The Company has continued to improve its organizational capabilities and continues to implement processes and controls to remediate the material weaknesses.</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During 2021 and 2022, we made the following enhancements to our control environment:</w:t>
      </w:r>
    </w:p>
    <w:p>
      <w:pPr>
        <w:spacing w:after="0" w:line="201" w:lineRule="exact"/>
        <w:rPr>
          <w:sz w:val="20"/>
          <w:szCs w:val="20"/>
          <w:color w:val="auto"/>
        </w:rPr>
      </w:pPr>
    </w:p>
    <w:p>
      <w:pPr>
        <w:jc w:val="both"/>
        <w:ind w:left="720" w:hanging="360"/>
        <w:spacing w:after="0" w:line="254" w:lineRule="auto"/>
        <w:tabs>
          <w:tab w:leader="none" w:pos="720" w:val="left"/>
        </w:tabs>
        <w:numPr>
          <w:ilvl w:val="0"/>
          <w:numId w:val="72"/>
        </w:numPr>
        <w:rPr>
          <w:rFonts w:ascii="Calibri" w:cs="Calibri" w:eastAsia="Calibri" w:hAnsi="Calibri"/>
          <w:sz w:val="20"/>
          <w:szCs w:val="20"/>
          <w:b w:val="1"/>
          <w:bCs w:val="1"/>
          <w:color w:val="auto"/>
        </w:rPr>
      </w:pPr>
      <w:r>
        <w:rPr>
          <w:rFonts w:ascii="Times New Roman" w:cs="Times New Roman" w:eastAsia="Times New Roman" w:hAnsi="Times New Roman"/>
          <w:sz w:val="20"/>
          <w:szCs w:val="20"/>
          <w:color w:val="auto"/>
        </w:rPr>
        <w:t>We have hired key personnel, obtained qualified accountants through the acquisition of Legacy GeneDx, and supplemented interim staffing needs with third-party consultants that have the appropriate technical accounting skills to enable us to achieve complete, accurate, and timely financial accounting and reporting. In addition, we have reallocated responsibilities across the organization to ensure that the appropriate level of knowledge and experience is applied based on risk and complexity of transactions.</w:t>
      </w:r>
    </w:p>
    <w:p>
      <w:pPr>
        <w:spacing w:after="0" w:line="196" w:lineRule="exact"/>
        <w:rPr>
          <w:rFonts w:ascii="Calibri" w:cs="Calibri" w:eastAsia="Calibri" w:hAnsi="Calibri"/>
          <w:sz w:val="20"/>
          <w:szCs w:val="20"/>
          <w:b w:val="1"/>
          <w:bCs w:val="1"/>
          <w:color w:val="auto"/>
        </w:rPr>
      </w:pPr>
    </w:p>
    <w:p>
      <w:pPr>
        <w:jc w:val="both"/>
        <w:ind w:left="720" w:hanging="360"/>
        <w:spacing w:after="0" w:line="266" w:lineRule="auto"/>
        <w:tabs>
          <w:tab w:leader="none" w:pos="7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added information technology employees with appropriate experience, certification, education and training to the organization to strengthen our IT team, to enable us to improve the ITGCs over our accounting and operating systems.</w:t>
      </w:r>
    </w:p>
    <w:p>
      <w:pPr>
        <w:spacing w:after="0" w:line="206" w:lineRule="exact"/>
        <w:rPr>
          <w:rFonts w:ascii="Times New Roman" w:cs="Times New Roman" w:eastAsia="Times New Roman" w:hAnsi="Times New Roman"/>
          <w:sz w:val="20"/>
          <w:szCs w:val="20"/>
          <w:color w:val="auto"/>
        </w:rPr>
      </w:pPr>
    </w:p>
    <w:p>
      <w:pPr>
        <w:jc w:val="both"/>
        <w:ind w:left="720" w:hanging="360"/>
        <w:spacing w:after="0" w:line="258" w:lineRule="auto"/>
        <w:tabs>
          <w:tab w:leader="none" w:pos="720" w:val="left"/>
        </w:tabs>
        <w:numPr>
          <w:ilvl w:val="0"/>
          <w:numId w:val="72"/>
        </w:numPr>
        <w:rPr>
          <w:rFonts w:ascii="Calibri" w:cs="Calibri" w:eastAsia="Calibri" w:hAnsi="Calibri"/>
          <w:sz w:val="20"/>
          <w:szCs w:val="20"/>
          <w:b w:val="1"/>
          <w:bCs w:val="1"/>
          <w:color w:val="auto"/>
        </w:rPr>
      </w:pPr>
      <w:r>
        <w:rPr>
          <w:rFonts w:ascii="Times New Roman" w:cs="Times New Roman" w:eastAsia="Times New Roman" w:hAnsi="Times New Roman"/>
          <w:sz w:val="20"/>
          <w:szCs w:val="20"/>
          <w:color w:val="auto"/>
        </w:rPr>
        <w:t>We engaged outside consultants to assist in the design, implementation, documentation, and remediation of internal controls that address the relevant risks, and to assist us in the evaluation of our relevant accounting and operating systems, to enable us to improve our processes and controls over financial reporting.</w:t>
      </w:r>
    </w:p>
    <w:p>
      <w:pPr>
        <w:spacing w:after="0" w:line="203" w:lineRule="exact"/>
        <w:rPr>
          <w:rFonts w:ascii="Calibri" w:cs="Calibri" w:eastAsia="Calibri" w:hAnsi="Calibri"/>
          <w:sz w:val="20"/>
          <w:szCs w:val="20"/>
          <w:b w:val="1"/>
          <w:bCs w:val="1"/>
          <w:color w:val="auto"/>
        </w:rPr>
      </w:pPr>
    </w:p>
    <w:p>
      <w:pPr>
        <w:ind w:left="720" w:hanging="360"/>
        <w:spacing w:after="0" w:line="267" w:lineRule="auto"/>
        <w:tabs>
          <w:tab w:leader="none" w:pos="720" w:val="left"/>
        </w:tabs>
        <w:numPr>
          <w:ilvl w:val="0"/>
          <w:numId w:val="72"/>
        </w:numPr>
        <w:rPr>
          <w:rFonts w:ascii="Calibri" w:cs="Calibri" w:eastAsia="Calibri" w:hAnsi="Calibri"/>
          <w:sz w:val="20"/>
          <w:szCs w:val="20"/>
          <w:b w:val="1"/>
          <w:bCs w:val="1"/>
          <w:color w:val="auto"/>
        </w:rPr>
      </w:pPr>
      <w:r>
        <w:rPr>
          <w:rFonts w:ascii="Times New Roman" w:cs="Times New Roman" w:eastAsia="Times New Roman" w:hAnsi="Times New Roman"/>
          <w:sz w:val="20"/>
          <w:szCs w:val="20"/>
          <w:color w:val="auto"/>
        </w:rPr>
        <w:t>We provided training to internal control performers in order to enhance their level of understanding over the appropriate design, implementation and effectiveness of controls.</w:t>
      </w:r>
    </w:p>
    <w:p>
      <w:pPr>
        <w:spacing w:after="0" w:line="192" w:lineRule="exact"/>
        <w:rPr>
          <w:rFonts w:ascii="Calibri" w:cs="Calibri" w:eastAsia="Calibri" w:hAnsi="Calibri"/>
          <w:sz w:val="20"/>
          <w:szCs w:val="20"/>
          <w:b w:val="1"/>
          <w:bCs w:val="1"/>
          <w:color w:val="auto"/>
        </w:rPr>
      </w:pPr>
    </w:p>
    <w:p>
      <w:pPr>
        <w:ind w:left="720" w:hanging="360"/>
        <w:spacing w:after="0" w:line="267" w:lineRule="auto"/>
        <w:tabs>
          <w:tab w:leader="none" w:pos="720" w:val="left"/>
        </w:tabs>
        <w:numPr>
          <w:ilvl w:val="0"/>
          <w:numId w:val="72"/>
        </w:numPr>
        <w:rPr>
          <w:rFonts w:ascii="Calibri" w:cs="Calibri" w:eastAsia="Calibri" w:hAnsi="Calibri"/>
          <w:sz w:val="20"/>
          <w:szCs w:val="20"/>
          <w:b w:val="1"/>
          <w:bCs w:val="1"/>
          <w:color w:val="auto"/>
        </w:rPr>
      </w:pPr>
      <w:r>
        <w:rPr>
          <w:rFonts w:ascii="Times New Roman" w:cs="Times New Roman" w:eastAsia="Times New Roman" w:hAnsi="Times New Roman"/>
          <w:sz w:val="20"/>
          <w:szCs w:val="20"/>
          <w:color w:val="auto"/>
        </w:rPr>
        <w:t>We have strengthened and documented our internal accounting policies and procedures and communicated the policies to relevant personnel.</w:t>
      </w:r>
    </w:p>
    <w:p>
      <w:pPr>
        <w:spacing w:after="0" w:line="192" w:lineRule="exact"/>
        <w:rPr>
          <w:rFonts w:ascii="Calibri" w:cs="Calibri" w:eastAsia="Calibri" w:hAnsi="Calibri"/>
          <w:sz w:val="20"/>
          <w:szCs w:val="20"/>
          <w:b w:val="1"/>
          <w:bCs w:val="1"/>
          <w:color w:val="auto"/>
        </w:rPr>
      </w:pPr>
    </w:p>
    <w:p>
      <w:pPr>
        <w:ind w:left="720" w:hanging="360"/>
        <w:spacing w:after="0" w:line="267" w:lineRule="auto"/>
        <w:tabs>
          <w:tab w:leader="none" w:pos="720" w:val="left"/>
        </w:tabs>
        <w:numPr>
          <w:ilvl w:val="0"/>
          <w:numId w:val="72"/>
        </w:numPr>
        <w:rPr>
          <w:rFonts w:ascii="Calibri" w:cs="Calibri" w:eastAsia="Calibri" w:hAnsi="Calibri"/>
          <w:sz w:val="20"/>
          <w:szCs w:val="20"/>
          <w:b w:val="1"/>
          <w:bCs w:val="1"/>
          <w:color w:val="auto"/>
        </w:rPr>
      </w:pPr>
      <w:r>
        <w:rPr>
          <w:rFonts w:ascii="Times New Roman" w:cs="Times New Roman" w:eastAsia="Times New Roman" w:hAnsi="Times New Roman"/>
          <w:sz w:val="20"/>
          <w:szCs w:val="20"/>
          <w:color w:val="auto"/>
        </w:rPr>
        <w:t>We have completed the design of our internal controls, and have completed detailed remediation plans at the risk and control level.</w:t>
      </w:r>
    </w:p>
    <w:p>
      <w:pPr>
        <w:spacing w:after="0" w:line="181"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Management has been actively engaged in remediation efforts to address the material weaknesses throughout 2022 and these efforts will continue into fiscal year 2023.</w:t>
      </w:r>
    </w:p>
    <w:p>
      <w:pPr>
        <w:spacing w:after="0" w:line="18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While we believe significant progress was made in 2022 to enhance and strengthen our internal control over financial reporting, material control weaknesses are not considered remediated until new internal controls have been operational for a sufficient period of time, are tested, and management concludes that these controls are operating effectively. As of December 31, 2022, there was not a sufficient period of time available to sufficiently test nor conclude that these controls are operating effectively. We will continue to monitor the effectiveness of our</w:t>
      </w:r>
    </w:p>
    <w:p>
      <w:pPr>
        <w:sectPr>
          <w:pgSz w:w="12240" w:h="15840" w:orient="portrait"/>
          <w:cols w:equalWidth="0" w:num="1">
            <w:col w:w="9360"/>
          </w:cols>
          <w:pgMar w:left="1440" w:top="138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155</w:t>
      </w:r>
    </w:p>
    <w:p>
      <w:pPr>
        <w:sectPr>
          <w:pgSz w:w="12240" w:h="15840" w:orient="portrait"/>
          <w:cols w:equalWidth="0" w:num="1">
            <w:col w:w="9360"/>
          </w:cols>
          <w:pgMar w:left="1440" w:top="1389" w:right="1440" w:bottom="0" w:gutter="0" w:footer="0" w:header="0"/>
          <w:type w:val="continuous"/>
        </w:sectPr>
      </w:pPr>
    </w:p>
    <w:bookmarkStart w:id="144" w:name="page145"/>
    <w:bookmarkEnd w:id="144"/>
    <w:p>
      <w:pPr>
        <w:jc w:val="both"/>
        <w:spacing w:after="0" w:line="266" w:lineRule="auto"/>
        <w:rPr>
          <w:sz w:val="20"/>
          <w:szCs w:val="20"/>
          <w:color w:val="auto"/>
        </w:rPr>
      </w:pPr>
      <w:r>
        <w:rPr>
          <w:rFonts w:ascii="Times New Roman" w:cs="Times New Roman" w:eastAsia="Times New Roman" w:hAnsi="Times New Roman"/>
          <w:sz w:val="20"/>
          <w:szCs w:val="20"/>
          <w:color w:val="auto"/>
        </w:rPr>
        <w:t>remediation measures in connection with our future assessments of the effectiveness of internal control over financial reporting and disclosure controls and procedures, and we will make any changes to the design of our plan and take such other actions that we deem appropriate given the circumstances.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19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Our management has evaluated, with the participation of our Chief Executive Officer and Chief Financial Officer, changes in our internal controls over financial reporting (as defined in Rule 13a-15(f) and 15d-15(f) of the Exchange Act) during the fourth quarter of 2022. Except as described above, there were no changes in the Company’s internal control over financial reporting that occurred during the quarter ended December 31, 2022 that has materially affected, or is reasonably likely to materially affect, our internal control over financial reporting, other than as described herein. We are continuing to take steps to remediate the material weakness in our internal control over financial reporting, as discussed above.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Inherent Limitation on the Effectiveness of Internal Control</w:t>
      </w:r>
    </w:p>
    <w:p>
      <w:pPr>
        <w:spacing w:after="0" w:line="19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Events</w:t>
      </w:r>
    </w:p>
    <w:p>
      <w:pPr>
        <w:spacing w:after="0" w:line="274"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As previously disclosed, we expect to call a special meeting of stockholders for the approval of the issuance of the additional 22,336,624 shares of Class A common stock in our registered direct offering for purposes of complying with Nasdaq listing rules. At the special meeting, we also intend to seek stockholder approval of a reverse stock split of our outstanding shares of Class A common stock at a ratio to be set by our board of directors within a range approved by our stockholders, an amendment to our certificate of incorporation to limit the liability of certain of our officers as permitted pursuant to recent amendments to the Delaware corporate law, and an amendment to our 2021 Equity Incentive Plan to increase the aggregate number of shares of Class A common stock authorized for issuance under the plan by 26,000,000 shares.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3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156</w:t>
      </w:r>
    </w:p>
    <w:p>
      <w:pPr>
        <w:sectPr>
          <w:pgSz w:w="12240" w:h="15840" w:orient="portrait"/>
          <w:cols w:equalWidth="0" w:num="1">
            <w:col w:w="9360"/>
          </w:cols>
          <w:pgMar w:left="1440" w:top="1378" w:right="1440" w:bottom="0" w:gutter="0" w:footer="0" w:header="0"/>
          <w:type w:val="continuous"/>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8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Except as set forth below, the information required by this Item is incorporated by reference from our definitive proxy statement for our 2023 Annual Meeting of Stockholders to be filed with the SEC within 120 days after the end of our fiscal year ended December 31, 2022.</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7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for our 2023 Annual Meeting of Stockholders to be filed with the SEC within 120 days after the end of our fiscal year ended December 31, 2022.</w:t>
      </w:r>
    </w:p>
    <w:p>
      <w:pPr>
        <w:spacing w:after="0" w:line="188"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2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for our 2023 Annual Meeting of Stockholders to be filed with the SEC within 120 days after the end of our fiscal year ended December 31, 2022.</w:t>
      </w:r>
    </w:p>
    <w:p>
      <w:pPr>
        <w:spacing w:after="0" w:line="188" w:lineRule="exact"/>
        <w:rPr>
          <w:sz w:val="20"/>
          <w:szCs w:val="20"/>
          <w:color w:val="auto"/>
        </w:rPr>
      </w:pPr>
    </w:p>
    <w:p>
      <w:pPr>
        <w:ind w:right="1060"/>
        <w:spacing w:after="0" w:line="269" w:lineRule="auto"/>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2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for our 2023 Annual Meeting of Stockholders to be filed with the SEC within 120 days after the end of our fiscal year ended December 31,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8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for our 2023 Annual Meeting of Stockholders to be filed with the SEC within 120 days after the end of our fiscal year ended December 31, 2022.</w:t>
      </w:r>
    </w:p>
    <w:p>
      <w:pPr>
        <w:sectPr>
          <w:pgSz w:w="12240" w:h="15840" w:orient="portrait"/>
          <w:cols w:equalWidth="0" w:num="1">
            <w:col w:w="936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157</w:t>
      </w:r>
    </w:p>
    <w:p>
      <w:pPr>
        <w:sectPr>
          <w:pgSz w:w="12240" w:h="15840" w:orient="portrait"/>
          <w:cols w:equalWidth="0" w:num="1">
            <w:col w:w="9360"/>
          </w:cols>
          <w:pgMar w:left="1440" w:top="1440" w:right="1440" w:bottom="0" w:gutter="0" w:footer="0" w:header="0"/>
          <w:type w:val="continuous"/>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197" w:lineRule="exact"/>
        <w:rPr>
          <w:sz w:val="20"/>
          <w:szCs w:val="20"/>
          <w:color w:val="auto"/>
        </w:rPr>
      </w:pPr>
    </w:p>
    <w:p>
      <w:pPr>
        <w:ind w:left="200" w:hanging="200"/>
        <w:spacing w:after="0"/>
        <w:tabs>
          <w:tab w:leader="none" w:pos="2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a part of this Annual Report.</w:t>
      </w:r>
    </w:p>
    <w:p>
      <w:pPr>
        <w:spacing w:after="0" w:line="174" w:lineRule="exact"/>
        <w:rPr>
          <w:rFonts w:ascii="Times New Roman" w:cs="Times New Roman" w:eastAsia="Times New Roman" w:hAnsi="Times New Roman"/>
          <w:sz w:val="20"/>
          <w:szCs w:val="20"/>
          <w:color w:val="auto"/>
        </w:rPr>
      </w:pPr>
    </w:p>
    <w:p>
      <w:pPr>
        <w:ind w:firstLine="360"/>
        <w:spacing w:after="0" w:line="281" w:lineRule="auto"/>
        <w:tabs>
          <w:tab w:leader="none" w:pos="619"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financial statements: The consolidated financial statements are set forth under “Item 8. Financial Statements and Supplementary Data” of this Annual Report on Form 10-K.</w:t>
      </w:r>
    </w:p>
    <w:p>
      <w:pPr>
        <w:spacing w:after="0" w:line="121" w:lineRule="exact"/>
        <w:rPr>
          <w:rFonts w:ascii="Times New Roman" w:cs="Times New Roman" w:eastAsia="Times New Roman" w:hAnsi="Times New Roman"/>
          <w:sz w:val="20"/>
          <w:szCs w:val="20"/>
          <w:color w:val="auto"/>
        </w:rPr>
      </w:pPr>
    </w:p>
    <w:p>
      <w:pPr>
        <w:ind w:firstLine="360"/>
        <w:spacing w:after="0" w:line="281" w:lineRule="auto"/>
        <w:tabs>
          <w:tab w:leader="none" w:pos="563"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All schedules have been omitted because they are not required, not applicable, or the required information is included in the consolidated financial statements or notes thereto.</w:t>
      </w:r>
    </w:p>
    <w:p>
      <w:pPr>
        <w:spacing w:after="0" w:line="121" w:lineRule="exact"/>
        <w:rPr>
          <w:rFonts w:ascii="Times New Roman" w:cs="Times New Roman" w:eastAsia="Times New Roman" w:hAnsi="Times New Roman"/>
          <w:sz w:val="20"/>
          <w:szCs w:val="20"/>
          <w:color w:val="auto"/>
        </w:rPr>
      </w:pPr>
    </w:p>
    <w:p>
      <w:pPr>
        <w:ind w:right="80" w:firstLine="360"/>
        <w:spacing w:after="0" w:line="245" w:lineRule="auto"/>
        <w:tabs>
          <w:tab w:leader="none" w:pos="5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The exhibits listed in the accompanying Exhibit Index are filed or incorporated by reference as part of this Annual Report on Form 10-K.</w:t>
      </w:r>
    </w:p>
    <w:tbl>
      <w:tblPr>
        <w:tblLayout w:type="fixed"/>
        <w:tblInd w:w="0" w:type="dxa"/>
        <w:tblCellMar>
          <w:top w:w="0" w:type="dxa"/>
          <w:left w:w="0" w:type="dxa"/>
          <w:bottom w:w="0" w:type="dxa"/>
          <w:right w:w="0" w:type="dxa"/>
        </w:tblCellMar>
      </w:tblPr>
      <w:tr>
        <w:trPr>
          <w:trHeight w:val="254"/>
        </w:trPr>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40" w:type="dxa"/>
            <w:vAlign w:val="bottom"/>
            <w:gridSpan w:val="4"/>
          </w:tcPr>
          <w:p>
            <w:pPr>
              <w:ind w:left="2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02"/>
        </w:trPr>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43"/>
        </w:trPr>
        <w:tc>
          <w:tcPr>
            <w:tcW w:w="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1"/>
                <w:szCs w:val="21"/>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0" w:type="dxa"/>
            <w:vAlign w:val="bottom"/>
          </w:tcPr>
          <w:p>
            <w:pPr>
              <w:spacing w:after="0"/>
              <w:rPr>
                <w:sz w:val="21"/>
                <w:szCs w:val="21"/>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189"/>
        </w:trPr>
        <w:tc>
          <w:tcPr>
            <w:tcW w:w="7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6"/>
                <w:szCs w:val="16"/>
                <w:color w:val="auto"/>
              </w:rPr>
            </w:pPr>
          </w:p>
        </w:tc>
        <w:tc>
          <w:tcPr>
            <w:tcW w:w="3660" w:type="dxa"/>
            <w:vAlign w:val="bottom"/>
            <w:tcBorders>
              <w:top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Agreement and Plan of Merger, dated February</w:t>
            </w:r>
          </w:p>
        </w:tc>
        <w:tc>
          <w:tcPr>
            <w:tcW w:w="120" w:type="dxa"/>
            <w:vAlign w:val="bottom"/>
          </w:tcPr>
          <w:p>
            <w:pPr>
              <w:spacing w:after="0"/>
              <w:rPr>
                <w:sz w:val="16"/>
                <w:szCs w:val="16"/>
                <w:color w:val="auto"/>
              </w:rPr>
            </w:pPr>
          </w:p>
        </w:tc>
        <w:tc>
          <w:tcPr>
            <w:tcW w:w="11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DEF14M</w:t>
            </w:r>
          </w:p>
        </w:tc>
        <w:tc>
          <w:tcPr>
            <w:tcW w:w="120" w:type="dxa"/>
            <w:vAlign w:val="bottom"/>
          </w:tcPr>
          <w:p>
            <w:pPr>
              <w:spacing w:after="0"/>
              <w:rPr>
                <w:sz w:val="16"/>
                <w:szCs w:val="16"/>
                <w:color w:val="auto"/>
              </w:rPr>
            </w:pPr>
          </w:p>
        </w:tc>
        <w:tc>
          <w:tcPr>
            <w:tcW w:w="11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Annex A</w:t>
            </w:r>
          </w:p>
        </w:tc>
        <w:tc>
          <w:tcPr>
            <w:tcW w:w="120" w:type="dxa"/>
            <w:vAlign w:val="bottom"/>
          </w:tcPr>
          <w:p>
            <w:pPr>
              <w:spacing w:after="0"/>
              <w:rPr>
                <w:sz w:val="16"/>
                <w:szCs w:val="16"/>
                <w:color w:val="auto"/>
              </w:rPr>
            </w:pPr>
          </w:p>
        </w:tc>
        <w:tc>
          <w:tcPr>
            <w:tcW w:w="1080" w:type="dxa"/>
            <w:vAlign w:val="bottom"/>
            <w:tcBorders>
              <w:top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07/02/2021</w:t>
            </w:r>
          </w:p>
        </w:tc>
        <w:tc>
          <w:tcPr>
            <w:tcW w:w="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02"/>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color w:val="auto"/>
              </w:rPr>
              <w:t>9, 2021, by and among CMLS, Merger Sub and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color w:val="auto"/>
              </w:rPr>
              <w:t>Legacy Sema4, as amended by Amendment to</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color w:val="auto"/>
              </w:rPr>
              <w:t>Agreement and Plan of Merger dated May 3,</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780" w:type="dxa"/>
            <w:vAlign w:val="bottom"/>
          </w:tcPr>
          <w:p>
            <w:pPr>
              <w:spacing w:after="0"/>
              <w:rPr>
                <w:sz w:val="20"/>
                <w:szCs w:val="20"/>
                <w:color w:val="auto"/>
              </w:rPr>
            </w:pPr>
          </w:p>
        </w:tc>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9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20" w:type="dxa"/>
            <w:vAlign w:val="bottom"/>
          </w:tcPr>
          <w:p>
            <w:pPr>
              <w:spacing w:after="0"/>
              <w:rPr>
                <w:sz w:val="24"/>
                <w:szCs w:val="24"/>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Agreement and Plan of Merger and</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01/18/2022</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2"/>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color w:val="auto"/>
              </w:rPr>
              <w:t>Reorganization, dated as of January 14, 2022, by</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color w:val="auto"/>
              </w:rPr>
              <w:t>and among, Orion Merger Sub I, Inc., Orion</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color w:val="auto"/>
              </w:rPr>
              <w:t>Merger Sub II, LLC, GeneDx, Inc., GeneDx</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Holding 2, Inc. and OPKO Health, Inc.</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 to Agreement and Plan of Merger</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05/02/2022</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2"/>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color w:val="auto"/>
              </w:rPr>
              <w:t>and Reorganization, dated as of April 29, 2022,</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color w:val="auto"/>
              </w:rPr>
              <w:t>by and among, Sema4 Holdings Corp., Orion</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color w:val="auto"/>
              </w:rPr>
              <w:t>Merger Sub I, Inc., Orion Merger Sub II, LLC,</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color w:val="auto"/>
              </w:rPr>
              <w:t>GeneDx, Inc., GeneDx Holding 2, Inc. and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OPKO Health, Inc.</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91"/>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Third Amended and Restated Certificate of</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07/28/2021</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Incorporation of Sema4 Holdings Corp.</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91"/>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Certificate of Amendment of Restated Certificate</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01/09/2023</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Incorporation of Sema4 Holdings Corp.</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61"/>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2"/>
                <w:szCs w:val="22"/>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Amended and Restated Bylaws of GeneDx</w:t>
            </w:r>
          </w:p>
        </w:tc>
        <w:tc>
          <w:tcPr>
            <w:tcW w:w="1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2"/>
                <w:szCs w:val="22"/>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01/09/2023</w:t>
            </w: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Holdings Corp.</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15"/>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Specimen Class A Common Stock Certificate.</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08/24/2020</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5"/>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Specimen Warrant Certificate.</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08/24/2020</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3"/>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3"/>
                <w:szCs w:val="23"/>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Warrant Agreement, dated as of September 1,</w:t>
            </w:r>
          </w:p>
        </w:tc>
        <w:tc>
          <w:tcPr>
            <w:tcW w:w="1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09/04/2020</w:t>
            </w: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02"/>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color w:val="auto"/>
              </w:rPr>
              <w:t>2020, by and between CM Life Sciences, Inc.</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color w:val="auto"/>
              </w:rPr>
              <w:t>and Continental Stock Transfer &amp; Trust</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as warrant agent.</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15"/>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Description of Securities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7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Amended and Restated Registration Rights</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07/28/2021</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2"/>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color w:val="auto"/>
              </w:rPr>
              <w:t>Agreement, dated as of July 22, 2021, by and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color w:val="auto"/>
              </w:rPr>
              <w:t>among the Company, certain equity holders of</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color w:val="auto"/>
              </w:rPr>
              <w:t>the Company named therein and certain equity</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holders of Sema4 named therein.</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6"/>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Director of and Officer Indemnification</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07/28/2021</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Agreement.</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3"/>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2021 Equity Incentive Plan.</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07/28/2021</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-5664200</wp:posOffset>
            </wp:positionV>
            <wp:extent cx="5969000" cy="5718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82">
                      <a:extLst>
                        <a:ext uri="{28A0092B-C50C-407E-A947-70E740481C1C}"/>
                      </a:extLst>
                    </a:blip>
                    <a:srcRect/>
                    <a:stretch>
                      <a:fillRect/>
                    </a:stretch>
                  </pic:blipFill>
                  <pic:spPr bwMode="auto">
                    <a:xfrm>
                      <a:off x="0" y="0"/>
                      <a:ext cx="5969000" cy="5718175"/>
                    </a:xfrm>
                    <a:prstGeom prst="rect">
                      <a:avLst/>
                    </a:prstGeom>
                    <a:noFill/>
                  </pic:spPr>
                </pic:pic>
              </a:graphicData>
            </a:graphic>
          </wp:anchor>
        </w:drawing>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158</w:t>
      </w:r>
    </w:p>
    <w:p>
      <w:pPr>
        <w:sectPr>
          <w:pgSz w:w="12240" w:h="15840" w:orient="portrait"/>
          <w:cols w:equalWidth="0" w:num="1">
            <w:col w:w="9360"/>
          </w:cols>
          <w:pgMar w:left="1440" w:top="1371" w:right="1440" w:bottom="0" w:gutter="0" w:footer="0" w:header="0"/>
          <w:type w:val="continuous"/>
        </w:sectPr>
      </w:pPr>
    </w:p>
    <w:bookmarkStart w:id="147" w:name="page148"/>
    <w:bookmarkEnd w:id="147"/>
    <w:tbl>
      <w:tblPr>
        <w:tblLayout w:type="fixed"/>
        <w:tblInd w:w="140" w:type="dxa"/>
        <w:tblCellMar>
          <w:top w:w="0" w:type="dxa"/>
          <w:left w:w="0" w:type="dxa"/>
          <w:bottom w:w="0" w:type="dxa"/>
          <w:right w:w="0" w:type="dxa"/>
        </w:tblCellMar>
      </w:tblPr>
      <w:tr>
        <w:trPr>
          <w:trHeight w:val="207"/>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10.4*</w:t>
            </w: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Stock Option Agreement under the 2021</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Incentive Plan.</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10.5*</w:t>
            </w: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RSU Agreement under the 2021 Equity</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Incentive Plan.</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10.6*</w:t>
            </w: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Earn-Out RSU Agreement.</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c>
          <w:tcPr>
            <w:tcW w:w="0" w:type="dxa"/>
            <w:vAlign w:val="bottom"/>
          </w:tcPr>
          <w:p>
            <w:pPr>
              <w:spacing w:after="0"/>
              <w:rPr>
                <w:sz w:val="1"/>
                <w:szCs w:val="1"/>
                <w:color w:val="auto"/>
              </w:rPr>
            </w:pPr>
          </w:p>
        </w:tc>
      </w:tr>
      <w:tr>
        <w:trPr>
          <w:trHeight w:val="315"/>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10.7*</w:t>
            </w: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2021 Employee Stock Purchase Plan.</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c>
          <w:tcPr>
            <w:tcW w:w="0" w:type="dxa"/>
            <w:vAlign w:val="bottom"/>
          </w:tcPr>
          <w:p>
            <w:pPr>
              <w:spacing w:after="0"/>
              <w:rPr>
                <w:sz w:val="1"/>
                <w:szCs w:val="1"/>
                <w:color w:val="auto"/>
              </w:rPr>
            </w:pPr>
          </w:p>
        </w:tc>
      </w:tr>
      <w:tr>
        <w:trPr>
          <w:trHeight w:val="282"/>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10.8*</w:t>
            </w: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Amended and Restated Employment Agreement</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10.10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Eric Schadt.</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10.9</w:t>
            </w: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Sub-Sublease, dated as of June 6, 2017, by and</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10.17</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00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between Icahn School of Medicine at Mount</w:t>
            </w: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07/28/2021</w:t>
            </w:r>
          </w:p>
        </w:tc>
        <w:tc>
          <w:tcPr>
            <w:tcW w:w="0" w:type="dxa"/>
            <w:vAlign w:val="bottom"/>
          </w:tcPr>
          <w:p>
            <w:pPr>
              <w:spacing w:after="0"/>
              <w:rPr>
                <w:sz w:val="1"/>
                <w:szCs w:val="1"/>
                <w:color w:val="auto"/>
              </w:rPr>
            </w:pPr>
          </w:p>
        </w:tc>
      </w:tr>
      <w:tr>
        <w:trPr>
          <w:trHeight w:val="136"/>
        </w:trPr>
        <w:tc>
          <w:tcPr>
            <w:tcW w:w="660" w:type="dxa"/>
            <w:vAlign w:val="bottom"/>
          </w:tcPr>
          <w:p>
            <w:pPr>
              <w:spacing w:after="0"/>
              <w:rPr>
                <w:sz w:val="11"/>
                <w:szCs w:val="11"/>
                <w:color w:val="auto"/>
              </w:rPr>
            </w:pPr>
          </w:p>
        </w:tc>
        <w:tc>
          <w:tcPr>
            <w:tcW w:w="4000" w:type="dxa"/>
            <w:vAlign w:val="bottom"/>
            <w:vMerge w:val="restart"/>
          </w:tcPr>
          <w:p>
            <w:pPr>
              <w:ind w:left="160"/>
              <w:spacing w:after="0" w:line="201" w:lineRule="exact"/>
              <w:rPr>
                <w:sz w:val="20"/>
                <w:szCs w:val="20"/>
                <w:color w:val="auto"/>
              </w:rPr>
            </w:pPr>
            <w:r>
              <w:rPr>
                <w:rFonts w:ascii="Times New Roman" w:cs="Times New Roman" w:eastAsia="Times New Roman" w:hAnsi="Times New Roman"/>
                <w:sz w:val="18"/>
                <w:szCs w:val="18"/>
                <w:color w:val="auto"/>
              </w:rPr>
              <w:t>Sinai and the Company, as amended July 31,</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400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2019.</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10.10</w:t>
            </w: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Sublease Agreement, dated as of November 8,</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10.18</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00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2019, by and between Marriott International, Inc.</w:t>
            </w: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07/28/2021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the Company.</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10.11</w:t>
            </w: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Sublease, dated as of June 1, 2017, by and</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10.19</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00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between Icahn School of Medicine at Mount</w:t>
            </w: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07/28/2021</w:t>
            </w:r>
          </w:p>
        </w:tc>
        <w:tc>
          <w:tcPr>
            <w:tcW w:w="0" w:type="dxa"/>
            <w:vAlign w:val="bottom"/>
          </w:tcPr>
          <w:p>
            <w:pPr>
              <w:spacing w:after="0"/>
              <w:rPr>
                <w:sz w:val="1"/>
                <w:szCs w:val="1"/>
                <w:color w:val="auto"/>
              </w:rPr>
            </w:pPr>
          </w:p>
        </w:tc>
      </w:tr>
      <w:tr>
        <w:trPr>
          <w:trHeight w:val="136"/>
        </w:trPr>
        <w:tc>
          <w:tcPr>
            <w:tcW w:w="660" w:type="dxa"/>
            <w:vAlign w:val="bottom"/>
          </w:tcPr>
          <w:p>
            <w:pPr>
              <w:spacing w:after="0"/>
              <w:rPr>
                <w:sz w:val="11"/>
                <w:szCs w:val="11"/>
                <w:color w:val="auto"/>
              </w:rPr>
            </w:pPr>
          </w:p>
        </w:tc>
        <w:tc>
          <w:tcPr>
            <w:tcW w:w="4000" w:type="dxa"/>
            <w:vAlign w:val="bottom"/>
            <w:vMerge w:val="restart"/>
          </w:tcPr>
          <w:p>
            <w:pPr>
              <w:ind w:left="160"/>
              <w:spacing w:after="0" w:line="201" w:lineRule="exact"/>
              <w:rPr>
                <w:sz w:val="20"/>
                <w:szCs w:val="20"/>
                <w:color w:val="auto"/>
              </w:rPr>
            </w:pPr>
            <w:r>
              <w:rPr>
                <w:rFonts w:ascii="Times New Roman" w:cs="Times New Roman" w:eastAsia="Times New Roman" w:hAnsi="Times New Roman"/>
                <w:sz w:val="18"/>
                <w:szCs w:val="18"/>
                <w:color w:val="auto"/>
              </w:rPr>
              <w:t>Sinai and the Company, as amended December</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400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22, 2017.</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10.12</w:t>
            </w: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Sublease, dated as of April 23, 2019, by and</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10.20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00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between Icahn School of Medicine at Mount</w:t>
            </w: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07/28/2021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Sinai and the Company.</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10.13</w:t>
            </w: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Agreement, dated as of January 31, 2020,</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10.21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00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by and between 1 Commercial Street Associates,</w:t>
            </w: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07/28/2021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LLC and the Company.</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10.14#</w:t>
            </w: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Master Services Agreement, dated as of April 2,</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10.22</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00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2018, by and among the Company, Icahn School</w:t>
            </w: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00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of Medicine at Mount Sinai, The Mount Sinai</w:t>
            </w: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07/28/2021</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00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Hospital, and the parties thereto, as amended</w:t>
            </w: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July 31, 2019.</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10.15#</w:t>
            </w: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Master Services Agreement, dated as of May 10,</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10.23</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00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2018, by and between the Company and Icahn</w:t>
            </w: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07/28/2021</w:t>
            </w:r>
          </w:p>
        </w:tc>
        <w:tc>
          <w:tcPr>
            <w:tcW w:w="0" w:type="dxa"/>
            <w:vAlign w:val="bottom"/>
          </w:tcPr>
          <w:p>
            <w:pPr>
              <w:spacing w:after="0"/>
              <w:rPr>
                <w:sz w:val="1"/>
                <w:szCs w:val="1"/>
                <w:color w:val="auto"/>
              </w:rPr>
            </w:pPr>
          </w:p>
        </w:tc>
      </w:tr>
      <w:tr>
        <w:trPr>
          <w:trHeight w:val="136"/>
        </w:trPr>
        <w:tc>
          <w:tcPr>
            <w:tcW w:w="660" w:type="dxa"/>
            <w:vAlign w:val="bottom"/>
          </w:tcPr>
          <w:p>
            <w:pPr>
              <w:spacing w:after="0"/>
              <w:rPr>
                <w:sz w:val="11"/>
                <w:szCs w:val="11"/>
                <w:color w:val="auto"/>
              </w:rPr>
            </w:pPr>
          </w:p>
        </w:tc>
        <w:tc>
          <w:tcPr>
            <w:tcW w:w="4000" w:type="dxa"/>
            <w:vAlign w:val="bottom"/>
            <w:vMerge w:val="restart"/>
          </w:tcPr>
          <w:p>
            <w:pPr>
              <w:ind w:left="160"/>
              <w:spacing w:after="0" w:line="201" w:lineRule="exact"/>
              <w:rPr>
                <w:sz w:val="20"/>
                <w:szCs w:val="20"/>
                <w:color w:val="auto"/>
              </w:rPr>
            </w:pPr>
            <w:r>
              <w:rPr>
                <w:rFonts w:ascii="Times New Roman" w:cs="Times New Roman" w:eastAsia="Times New Roman" w:hAnsi="Times New Roman"/>
                <w:sz w:val="18"/>
                <w:szCs w:val="18"/>
                <w:color w:val="auto"/>
              </w:rPr>
              <w:t>School of Medicine at Mount Sinai, as amended</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400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July 31, 2019.</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10.16#</w:t>
            </w: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Data Structuring and Curation Agreement, dated</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10.24</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00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as of August 1, 2019, by and between Icahn</w:t>
            </w: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07/28/2021</w:t>
            </w:r>
          </w:p>
        </w:tc>
        <w:tc>
          <w:tcPr>
            <w:tcW w:w="0" w:type="dxa"/>
            <w:vAlign w:val="bottom"/>
          </w:tcPr>
          <w:p>
            <w:pPr>
              <w:spacing w:after="0"/>
              <w:rPr>
                <w:sz w:val="1"/>
                <w:szCs w:val="1"/>
                <w:color w:val="auto"/>
              </w:rPr>
            </w:pPr>
          </w:p>
        </w:tc>
      </w:tr>
      <w:tr>
        <w:trPr>
          <w:trHeight w:val="136"/>
        </w:trPr>
        <w:tc>
          <w:tcPr>
            <w:tcW w:w="660" w:type="dxa"/>
            <w:vAlign w:val="bottom"/>
          </w:tcPr>
          <w:p>
            <w:pPr>
              <w:spacing w:after="0"/>
              <w:rPr>
                <w:sz w:val="11"/>
                <w:szCs w:val="11"/>
                <w:color w:val="auto"/>
              </w:rPr>
            </w:pPr>
          </w:p>
        </w:tc>
        <w:tc>
          <w:tcPr>
            <w:tcW w:w="4000" w:type="dxa"/>
            <w:vAlign w:val="bottom"/>
            <w:vMerge w:val="restart"/>
          </w:tcPr>
          <w:p>
            <w:pPr>
              <w:ind w:left="160"/>
              <w:spacing w:after="0" w:line="201" w:lineRule="exact"/>
              <w:rPr>
                <w:sz w:val="20"/>
                <w:szCs w:val="20"/>
                <w:color w:val="auto"/>
              </w:rPr>
            </w:pPr>
            <w:r>
              <w:rPr>
                <w:rFonts w:ascii="Times New Roman" w:cs="Times New Roman" w:eastAsia="Times New Roman" w:hAnsi="Times New Roman"/>
                <w:sz w:val="18"/>
                <w:szCs w:val="18"/>
                <w:color w:val="auto"/>
              </w:rPr>
              <w:t>School of Medicine at Mount Sinai and the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400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as amended March 11, 2020.</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10.17#</w:t>
            </w: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BioMe Biospecimen and Data Access</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10.25</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00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Agreement, dated as of July 19, 2019, by and</w:t>
            </w: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07/28/2021</w:t>
            </w:r>
          </w:p>
        </w:tc>
        <w:tc>
          <w:tcPr>
            <w:tcW w:w="0" w:type="dxa"/>
            <w:vAlign w:val="bottom"/>
          </w:tcPr>
          <w:p>
            <w:pPr>
              <w:spacing w:after="0"/>
              <w:rPr>
                <w:sz w:val="1"/>
                <w:szCs w:val="1"/>
                <w:color w:val="auto"/>
              </w:rPr>
            </w:pPr>
          </w:p>
        </w:tc>
      </w:tr>
      <w:tr>
        <w:trPr>
          <w:trHeight w:val="136"/>
        </w:trPr>
        <w:tc>
          <w:tcPr>
            <w:tcW w:w="660" w:type="dxa"/>
            <w:vAlign w:val="bottom"/>
          </w:tcPr>
          <w:p>
            <w:pPr>
              <w:spacing w:after="0"/>
              <w:rPr>
                <w:sz w:val="11"/>
                <w:szCs w:val="11"/>
                <w:color w:val="auto"/>
              </w:rPr>
            </w:pPr>
          </w:p>
        </w:tc>
        <w:tc>
          <w:tcPr>
            <w:tcW w:w="4000" w:type="dxa"/>
            <w:vAlign w:val="bottom"/>
            <w:vMerge w:val="restart"/>
          </w:tcPr>
          <w:p>
            <w:pPr>
              <w:ind w:left="160"/>
              <w:spacing w:after="0" w:line="201" w:lineRule="exact"/>
              <w:rPr>
                <w:sz w:val="20"/>
                <w:szCs w:val="20"/>
                <w:color w:val="auto"/>
              </w:rPr>
            </w:pPr>
            <w:r>
              <w:rPr>
                <w:rFonts w:ascii="Times New Roman" w:cs="Times New Roman" w:eastAsia="Times New Roman" w:hAnsi="Times New Roman"/>
                <w:sz w:val="18"/>
                <w:szCs w:val="18"/>
                <w:color w:val="auto"/>
              </w:rPr>
              <w:t>between Icahn School of Medicine at Mount</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400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Sinai and the Company.</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10.18#</w:t>
            </w: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Non-Exclusive Patent License Agreement, dated</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10.26</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00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as of June 1, 2017, by and between the Company</w:t>
            </w: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07/28/2021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Icahn School of Medicine at Mount Sinai.</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10.19#</w:t>
            </w: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Supply Agreement, dated as of June 20, 2014, by</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10.27</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00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and between the Company and Illumina, Inc.,</w:t>
            </w: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07/28/2021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amendments thereto.</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10.20*</w:t>
            </w: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Mount  Sinai  Genomics,  Inc.  2017  Equity</w:t>
            </w:r>
          </w:p>
        </w:tc>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S-8</w:t>
            </w:r>
          </w:p>
        </w:tc>
        <w:tc>
          <w:tcPr>
            <w:tcW w:w="1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99.6</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00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Incentive Plan, as amended, and forms of equity</w:t>
            </w: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09/27/2021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agreements thereunder.</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2240" w:h="15840" w:orient="portrait"/>
          <w:cols w:equalWidth="0" w:num="1">
            <w:col w:w="9360"/>
          </w:cols>
          <w:pgMar w:left="1440" w:top="1431" w:right="1440" w:bottom="0" w:gutter="0" w:footer="0" w:header="0"/>
        </w:sect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901700</wp:posOffset>
            </wp:positionV>
            <wp:extent cx="5969000" cy="78365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3">
                      <a:extLst>
                        <a:ext uri="{28A0092B-C50C-407E-A947-70E740481C1C}"/>
                      </a:extLst>
                    </a:blip>
                    <a:srcRect/>
                    <a:stretch>
                      <a:fillRect/>
                    </a:stretch>
                  </pic:blipFill>
                  <pic:spPr bwMode="auto">
                    <a:xfrm>
                      <a:off x="0" y="0"/>
                      <a:ext cx="5969000" cy="783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159</w:t>
      </w:r>
    </w:p>
    <w:p>
      <w:pPr>
        <w:sectPr>
          <w:pgSz w:w="12240" w:h="15840" w:orient="portrait"/>
          <w:cols w:equalWidth="0" w:num="1">
            <w:col w:w="9360"/>
          </w:cols>
          <w:pgMar w:left="1440" w:top="1431" w:right="1440" w:bottom="0" w:gutter="0" w:footer="0" w:header="0"/>
          <w:type w:val="continuous"/>
        </w:sectPr>
      </w:pPr>
    </w:p>
    <w:bookmarkStart w:id="148" w:name="page149"/>
    <w:bookmarkEnd w:id="148"/>
    <w:tbl>
      <w:tblPr>
        <w:tblLayout w:type="fixed"/>
        <w:tblInd w:w="140" w:type="dxa"/>
        <w:tblCellMar>
          <w:top w:w="0" w:type="dxa"/>
          <w:left w:w="0" w:type="dxa"/>
          <w:bottom w:w="0" w:type="dxa"/>
          <w:right w:w="0" w:type="dxa"/>
        </w:tblCellMar>
      </w:tblPr>
      <w:tr>
        <w:trPr>
          <w:trHeight w:val="207"/>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10.21</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  and  Security  Agreement,  dated  as  of</w:t>
            </w: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10.26</w:t>
            </w: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98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November 15, 2021, between Silicon Valley</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40" w:type="dxa"/>
            <w:vAlign w:val="bottom"/>
          </w:tcPr>
          <w:p>
            <w:pPr>
              <w:jc w:val="right"/>
              <w:ind w:right="730"/>
              <w:spacing w:after="0" w:line="201" w:lineRule="exact"/>
              <w:rPr>
                <w:sz w:val="20"/>
                <w:szCs w:val="20"/>
                <w:color w:val="auto"/>
              </w:rPr>
            </w:pPr>
            <w:r>
              <w:rPr>
                <w:rFonts w:ascii="Times New Roman" w:cs="Times New Roman" w:eastAsia="Times New Roman" w:hAnsi="Times New Roman"/>
                <w:sz w:val="18"/>
                <w:szCs w:val="18"/>
                <w:color w:val="auto"/>
              </w:rPr>
              <w:t>11/15/2021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the Company and Sema4 OpCo, Inc.</w:t>
            </w: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10.22</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Lockup Agreement, dated as of February 9,</w:t>
            </w: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98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2021, by and among the Company and the</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40" w:type="dxa"/>
            <w:vAlign w:val="bottom"/>
          </w:tcPr>
          <w:p>
            <w:pPr>
              <w:jc w:val="right"/>
              <w:ind w:right="730"/>
              <w:spacing w:after="0" w:line="201" w:lineRule="exact"/>
              <w:rPr>
                <w:sz w:val="20"/>
                <w:szCs w:val="20"/>
                <w:color w:val="auto"/>
              </w:rPr>
            </w:pPr>
            <w:r>
              <w:rPr>
                <w:rFonts w:ascii="Times New Roman" w:cs="Times New Roman" w:eastAsia="Times New Roman" w:hAnsi="Times New Roman"/>
                <w:sz w:val="18"/>
                <w:szCs w:val="18"/>
                <w:color w:val="auto"/>
              </w:rPr>
              <w:t>02/11/2021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 parties identified therein.</w:t>
            </w: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10.23</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Subscription Agreement, dated as of February 9,</w:t>
            </w: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98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2021, by and among the Company and the</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40" w:type="dxa"/>
            <w:vAlign w:val="bottom"/>
          </w:tcPr>
          <w:p>
            <w:pPr>
              <w:jc w:val="right"/>
              <w:ind w:right="730"/>
              <w:spacing w:after="0" w:line="201" w:lineRule="exact"/>
              <w:rPr>
                <w:sz w:val="20"/>
                <w:szCs w:val="20"/>
                <w:color w:val="auto"/>
              </w:rPr>
            </w:pPr>
            <w:r>
              <w:rPr>
                <w:rFonts w:ascii="Times New Roman" w:cs="Times New Roman" w:eastAsia="Times New Roman" w:hAnsi="Times New Roman"/>
                <w:sz w:val="18"/>
                <w:szCs w:val="18"/>
                <w:color w:val="auto"/>
              </w:rPr>
              <w:t>02/11/2021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subscriber parties thereto.</w:t>
            </w: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10.24</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Subscription Agreement, dated as of</w:t>
            </w: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01/18/2022</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98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January 14, 2022 by and among the Company</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the subscriber parties thereto.</w:t>
            </w: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10.25</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Shareholder Agreement, dated as of</w:t>
            </w: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94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01/18/2022</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98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January 14, 2022 by and among the Company</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the stockholder parties identified therein.</w:t>
            </w: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10.26</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Support Agreement dated as of January</w:t>
            </w: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94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01/18/2022</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98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14, 2022 by and among the Company and the</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 parties identified therein.</w:t>
            </w: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10.27</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Lock-Up Agreement, by and among the</w:t>
            </w: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10.4</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98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Company and the stockholder parties identified</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40" w:type="dxa"/>
            <w:vAlign w:val="bottom"/>
          </w:tcPr>
          <w:p>
            <w:pPr>
              <w:jc w:val="right"/>
              <w:ind w:right="730"/>
              <w:spacing w:after="0" w:line="201" w:lineRule="exact"/>
              <w:rPr>
                <w:sz w:val="20"/>
                <w:szCs w:val="20"/>
                <w:color w:val="auto"/>
              </w:rPr>
            </w:pPr>
            <w:r>
              <w:rPr>
                <w:rFonts w:ascii="Times New Roman" w:cs="Times New Roman" w:eastAsia="Times New Roman" w:hAnsi="Times New Roman"/>
                <w:sz w:val="18"/>
                <w:szCs w:val="18"/>
                <w:color w:val="auto"/>
              </w:rPr>
              <w:t>01/18/2022</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therein.</w:t>
            </w: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10.28*</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Chairman Agreement, dated as of</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98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January 17, 2022, by and between the Company</w:t>
            </w:r>
          </w:p>
        </w:tc>
        <w:tc>
          <w:tcPr>
            <w:tcW w:w="1040" w:type="dxa"/>
            <w:vAlign w:val="bottom"/>
          </w:tcPr>
          <w:p>
            <w:pPr>
              <w:jc w:val="center"/>
              <w:ind w:right="50"/>
              <w:spacing w:after="0" w:line="201"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center"/>
              <w:ind w:left="30"/>
              <w:spacing w:after="0" w:line="201" w:lineRule="exact"/>
              <w:rPr>
                <w:sz w:val="20"/>
                <w:szCs w:val="20"/>
                <w:color w:val="auto"/>
              </w:rPr>
            </w:pPr>
            <w:r>
              <w:rPr>
                <w:rFonts w:ascii="Times New Roman" w:cs="Times New Roman" w:eastAsia="Times New Roman" w:hAnsi="Times New Roman"/>
                <w:sz w:val="18"/>
                <w:szCs w:val="18"/>
                <w:color w:val="auto"/>
                <w:w w:val="98"/>
              </w:rPr>
              <w:t>10.31</w:t>
            </w:r>
          </w:p>
        </w:tc>
        <w:tc>
          <w:tcPr>
            <w:tcW w:w="1940" w:type="dxa"/>
            <w:vAlign w:val="bottom"/>
          </w:tcPr>
          <w:p>
            <w:pPr>
              <w:jc w:val="right"/>
              <w:ind w:right="730"/>
              <w:spacing w:after="0" w:line="201" w:lineRule="exact"/>
              <w:rPr>
                <w:sz w:val="20"/>
                <w:szCs w:val="20"/>
                <w:color w:val="auto"/>
              </w:rPr>
            </w:pPr>
            <w:r>
              <w:rPr>
                <w:rFonts w:ascii="Times New Roman" w:cs="Times New Roman" w:eastAsia="Times New Roman" w:hAnsi="Times New Roman"/>
                <w:sz w:val="18"/>
                <w:szCs w:val="18"/>
                <w:color w:val="auto"/>
              </w:rPr>
              <w:t>03/14/2022</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Jason Ryan.</w:t>
            </w: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10.29+</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Transition Services Agreement, dated as of April</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6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29, 2022, by and between GeneDx, Inc. and</w:t>
            </w: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05/02/2022</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OPKO Health, Inc.</w:t>
            </w: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10.30*</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Employment Agreement, dated as of January 14,</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98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2022, as amended April 29, 2022, by and</w:t>
            </w:r>
          </w:p>
        </w:tc>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94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05/02/2022</w:t>
            </w:r>
          </w:p>
        </w:tc>
        <w:tc>
          <w:tcPr>
            <w:tcW w:w="0" w:type="dxa"/>
            <w:vAlign w:val="bottom"/>
          </w:tcPr>
          <w:p>
            <w:pPr>
              <w:spacing w:after="0"/>
              <w:rPr>
                <w:sz w:val="1"/>
                <w:szCs w:val="1"/>
                <w:color w:val="auto"/>
              </w:rPr>
            </w:pPr>
          </w:p>
        </w:tc>
      </w:tr>
      <w:tr>
        <w:trPr>
          <w:trHeight w:val="128"/>
        </w:trPr>
        <w:tc>
          <w:tcPr>
            <w:tcW w:w="660" w:type="dxa"/>
            <w:vAlign w:val="bottom"/>
          </w:tcPr>
          <w:p>
            <w:pPr>
              <w:spacing w:after="0"/>
              <w:rPr>
                <w:sz w:val="11"/>
                <w:szCs w:val="11"/>
                <w:color w:val="auto"/>
              </w:rPr>
            </w:pPr>
          </w:p>
        </w:tc>
        <w:tc>
          <w:tcPr>
            <w:tcW w:w="3980" w:type="dxa"/>
            <w:vAlign w:val="bottom"/>
            <w:vMerge w:val="restart"/>
          </w:tcPr>
          <w:p>
            <w:pPr>
              <w:ind w:left="160"/>
              <w:spacing w:after="0" w:line="201" w:lineRule="exact"/>
              <w:rPr>
                <w:sz w:val="20"/>
                <w:szCs w:val="20"/>
                <w:color w:val="auto"/>
              </w:rPr>
            </w:pPr>
            <w:r>
              <w:rPr>
                <w:rFonts w:ascii="Times New Roman" w:cs="Times New Roman" w:eastAsia="Times New Roman" w:hAnsi="Times New Roman"/>
                <w:sz w:val="18"/>
                <w:szCs w:val="18"/>
                <w:color w:val="auto"/>
              </w:rPr>
              <w:t>between Sema4 Holdings Corp. and Katherine</w:t>
            </w:r>
          </w:p>
        </w:tc>
        <w:tc>
          <w:tcPr>
            <w:tcW w:w="10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66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Stueland.</w:t>
            </w: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10.31*</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 No.1 to the Amended and Restated</w:t>
            </w:r>
          </w:p>
        </w:tc>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06/14/2022</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98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Employment Agreement of Eric Schadt, dated</w:t>
            </w:r>
          </w:p>
        </w:tc>
        <w:tc>
          <w:tcPr>
            <w:tcW w:w="104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June 14, 2022</w:t>
            </w: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10.32*</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Employment Agreement of Kevin Feeley, dated</w:t>
            </w: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January 14, 2022</w:t>
            </w: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10.33*</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 No. 1 to the Employment</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98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Agreement of Kevin Feeley, dated August 25,</w:t>
            </w:r>
          </w:p>
        </w:tc>
        <w:tc>
          <w:tcPr>
            <w:tcW w:w="1040" w:type="dxa"/>
            <w:vAlign w:val="bottom"/>
          </w:tcPr>
          <w:p>
            <w:pPr>
              <w:jc w:val="center"/>
              <w:ind w:right="70"/>
              <w:spacing w:after="0" w:line="201"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30"/>
              <w:spacing w:after="0" w:line="201" w:lineRule="exact"/>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right"/>
              <w:ind w:right="730"/>
              <w:spacing w:after="0" w:line="201" w:lineRule="exact"/>
              <w:rPr>
                <w:sz w:val="20"/>
                <w:szCs w:val="20"/>
                <w:color w:val="auto"/>
              </w:rPr>
            </w:pPr>
            <w:r>
              <w:rPr>
                <w:rFonts w:ascii="Times New Roman" w:cs="Times New Roman" w:eastAsia="Times New Roman" w:hAnsi="Times New Roman"/>
                <w:sz w:val="18"/>
                <w:szCs w:val="18"/>
                <w:color w:val="auto"/>
              </w:rPr>
              <w:t>08/26/2022</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10.34#</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 No. 1 to BioMe Biospecimen and</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98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Data Access Agreement, dated as of January 19,</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3980" w:type="dxa"/>
            <w:vAlign w:val="bottom"/>
            <w:vMerge w:val="restart"/>
          </w:tcPr>
          <w:p>
            <w:pPr>
              <w:ind w:left="160"/>
              <w:spacing w:after="0" w:line="201" w:lineRule="exact"/>
              <w:rPr>
                <w:sz w:val="20"/>
                <w:szCs w:val="20"/>
                <w:color w:val="auto"/>
              </w:rPr>
            </w:pPr>
            <w:r>
              <w:rPr>
                <w:rFonts w:ascii="Times New Roman" w:cs="Times New Roman" w:eastAsia="Times New Roman" w:hAnsi="Times New Roman"/>
                <w:sz w:val="18"/>
                <w:szCs w:val="18"/>
                <w:color w:val="auto"/>
              </w:rPr>
              <w:t>2023, by and between Icahn School of Medicine</w:t>
            </w: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660" w:type="dxa"/>
            <w:vAlign w:val="bottom"/>
          </w:tcPr>
          <w:p>
            <w:pPr>
              <w:spacing w:after="0"/>
              <w:rPr>
                <w:sz w:val="3"/>
                <w:szCs w:val="3"/>
                <w:color w:val="auto"/>
              </w:rPr>
            </w:pPr>
          </w:p>
        </w:tc>
        <w:tc>
          <w:tcPr>
            <w:tcW w:w="39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Mount Sinai and Sema4 OpCo, Inc.</w:t>
            </w: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10.35</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2022 Replacement Promissory Note</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0"/>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10.36*</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Separation Agreement, dated as of August 12,</w:t>
            </w:r>
          </w:p>
        </w:tc>
        <w:tc>
          <w:tcPr>
            <w:tcW w:w="10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10.6</w:t>
            </w:r>
          </w:p>
        </w:tc>
        <w:tc>
          <w:tcPr>
            <w:tcW w:w="194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08/15/2022</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98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2022, by and between Sema4 Holdings Corp.</w:t>
            </w:r>
          </w:p>
        </w:tc>
        <w:tc>
          <w:tcPr>
            <w:tcW w:w="104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Eric Schadt</w:t>
            </w: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21.1</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Subsidiaries of the Company.</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82"/>
        </w:trPr>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23.1</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Consent of Ernst &amp; Young LLP, independent</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98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registered accounting firm for GeneDx Holdings</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w:t>
            </w: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2240" w:h="15840" w:orient="portrait"/>
          <w:cols w:equalWidth="0" w:num="1">
            <w:col w:w="9360"/>
          </w:cols>
          <w:pgMar w:left="1440" w:top="1431" w:right="1440" w:bottom="0" w:gutter="0" w:footer="0" w:header="0"/>
        </w:sect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901700</wp:posOffset>
            </wp:positionV>
            <wp:extent cx="5969000" cy="79660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84">
                      <a:extLst>
                        <a:ext uri="{28A0092B-C50C-407E-A947-70E740481C1C}"/>
                      </a:extLst>
                    </a:blip>
                    <a:srcRect/>
                    <a:stretch>
                      <a:fillRect/>
                    </a:stretch>
                  </pic:blipFill>
                  <pic:spPr bwMode="auto">
                    <a:xfrm>
                      <a:off x="0" y="0"/>
                      <a:ext cx="5969000" cy="796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160</w:t>
      </w:r>
    </w:p>
    <w:p>
      <w:pPr>
        <w:sectPr>
          <w:pgSz w:w="12240" w:h="15840" w:orient="portrait"/>
          <w:cols w:equalWidth="0" w:num="1">
            <w:col w:w="9360"/>
          </w:cols>
          <w:pgMar w:left="1440" w:top="1431" w:right="1440" w:bottom="0" w:gutter="0" w:footer="0" w:header="0"/>
          <w:type w:val="continuous"/>
        </w:sectPr>
      </w:pPr>
    </w:p>
    <w:bookmarkStart w:id="149" w:name="page150"/>
    <w:bookmarkEnd w:id="149"/>
    <w:tbl>
      <w:tblPr>
        <w:tblLayout w:type="fixed"/>
        <w:tblInd w:w="60" w:type="dxa"/>
        <w:tblCellMar>
          <w:top w:w="0" w:type="dxa"/>
          <w:left w:w="0" w:type="dxa"/>
          <w:bottom w:w="0" w:type="dxa"/>
          <w:right w:w="0" w:type="dxa"/>
        </w:tblCellMar>
      </w:tblPr>
      <w:tr>
        <w:trPr>
          <w:trHeight w:val="207"/>
        </w:trPr>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24.1</w:t>
            </w: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r>
      <w:tr>
        <w:trPr>
          <w:trHeight w:val="234"/>
        </w:trPr>
        <w:tc>
          <w:tcPr>
            <w:tcW w:w="78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 this Annual Report on Form 10-K).</w:t>
            </w:r>
          </w:p>
        </w:tc>
      </w:tr>
      <w:tr>
        <w:trPr>
          <w:trHeight w:val="291"/>
        </w:trPr>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31.1</w:t>
            </w: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Principal Executive Officer</w:t>
            </w:r>
          </w:p>
        </w:tc>
      </w:tr>
      <w:tr>
        <w:trPr>
          <w:trHeight w:val="202"/>
        </w:trPr>
        <w:tc>
          <w:tcPr>
            <w:tcW w:w="780" w:type="dxa"/>
            <w:vAlign w:val="bottom"/>
          </w:tcPr>
          <w:p>
            <w:pPr>
              <w:spacing w:after="0"/>
              <w:rPr>
                <w:sz w:val="17"/>
                <w:szCs w:val="17"/>
                <w:color w:val="auto"/>
              </w:rPr>
            </w:pPr>
          </w:p>
        </w:tc>
        <w:tc>
          <w:tcPr>
            <w:tcW w:w="360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Pursuant to Securities Exchange Act Rules</w:t>
            </w:r>
          </w:p>
        </w:tc>
      </w:tr>
      <w:tr>
        <w:trPr>
          <w:trHeight w:val="202"/>
        </w:trPr>
        <w:tc>
          <w:tcPr>
            <w:tcW w:w="780" w:type="dxa"/>
            <w:vAlign w:val="bottom"/>
          </w:tcPr>
          <w:p>
            <w:pPr>
              <w:spacing w:after="0"/>
              <w:rPr>
                <w:sz w:val="17"/>
                <w:szCs w:val="17"/>
                <w:color w:val="auto"/>
              </w:rPr>
            </w:pPr>
          </w:p>
        </w:tc>
        <w:tc>
          <w:tcPr>
            <w:tcW w:w="360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13a-14(a) and 15(d)-14(a), as adopted Pursuant</w:t>
            </w:r>
          </w:p>
        </w:tc>
      </w:tr>
      <w:tr>
        <w:trPr>
          <w:trHeight w:val="202"/>
        </w:trPr>
        <w:tc>
          <w:tcPr>
            <w:tcW w:w="780" w:type="dxa"/>
            <w:vAlign w:val="bottom"/>
          </w:tcPr>
          <w:p>
            <w:pPr>
              <w:spacing w:after="0"/>
              <w:rPr>
                <w:sz w:val="17"/>
                <w:szCs w:val="17"/>
                <w:color w:val="auto"/>
              </w:rPr>
            </w:pPr>
          </w:p>
        </w:tc>
        <w:tc>
          <w:tcPr>
            <w:tcW w:w="360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to Section 302 of the Sarbanes-Oxley Act of</w:t>
            </w:r>
          </w:p>
        </w:tc>
      </w:tr>
      <w:tr>
        <w:trPr>
          <w:trHeight w:val="234"/>
        </w:trPr>
        <w:tc>
          <w:tcPr>
            <w:tcW w:w="78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2002.</w:t>
            </w:r>
          </w:p>
        </w:tc>
      </w:tr>
      <w:tr>
        <w:trPr>
          <w:trHeight w:val="286"/>
        </w:trPr>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31.2</w:t>
            </w: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Principal Financial Officer</w:t>
            </w:r>
          </w:p>
        </w:tc>
      </w:tr>
      <w:tr>
        <w:trPr>
          <w:trHeight w:val="202"/>
        </w:trPr>
        <w:tc>
          <w:tcPr>
            <w:tcW w:w="780" w:type="dxa"/>
            <w:vAlign w:val="bottom"/>
          </w:tcPr>
          <w:p>
            <w:pPr>
              <w:spacing w:after="0"/>
              <w:rPr>
                <w:sz w:val="17"/>
                <w:szCs w:val="17"/>
                <w:color w:val="auto"/>
              </w:rPr>
            </w:pPr>
          </w:p>
        </w:tc>
        <w:tc>
          <w:tcPr>
            <w:tcW w:w="360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Pursuant to Securities Exchange Act Rules</w:t>
            </w:r>
          </w:p>
        </w:tc>
      </w:tr>
      <w:tr>
        <w:trPr>
          <w:trHeight w:val="202"/>
        </w:trPr>
        <w:tc>
          <w:tcPr>
            <w:tcW w:w="780" w:type="dxa"/>
            <w:vAlign w:val="bottom"/>
          </w:tcPr>
          <w:p>
            <w:pPr>
              <w:spacing w:after="0"/>
              <w:rPr>
                <w:sz w:val="17"/>
                <w:szCs w:val="17"/>
                <w:color w:val="auto"/>
              </w:rPr>
            </w:pPr>
          </w:p>
        </w:tc>
        <w:tc>
          <w:tcPr>
            <w:tcW w:w="360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13a-14(a) and 15(d)-14(a), as adopted Pursuant</w:t>
            </w:r>
          </w:p>
        </w:tc>
      </w:tr>
      <w:tr>
        <w:trPr>
          <w:trHeight w:val="202"/>
        </w:trPr>
        <w:tc>
          <w:tcPr>
            <w:tcW w:w="780" w:type="dxa"/>
            <w:vAlign w:val="bottom"/>
          </w:tcPr>
          <w:p>
            <w:pPr>
              <w:spacing w:after="0"/>
              <w:rPr>
                <w:sz w:val="17"/>
                <w:szCs w:val="17"/>
                <w:color w:val="auto"/>
              </w:rPr>
            </w:pPr>
          </w:p>
        </w:tc>
        <w:tc>
          <w:tcPr>
            <w:tcW w:w="360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to Section 302 of the Sarbanes-Oxley Act of</w:t>
            </w:r>
          </w:p>
        </w:tc>
      </w:tr>
      <w:tr>
        <w:trPr>
          <w:trHeight w:val="234"/>
        </w:trPr>
        <w:tc>
          <w:tcPr>
            <w:tcW w:w="78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2002.</w:t>
            </w:r>
          </w:p>
        </w:tc>
      </w:tr>
      <w:tr>
        <w:trPr>
          <w:trHeight w:val="286"/>
        </w:trPr>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32.1**</w:t>
            </w: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Principal Executive Officer</w:t>
            </w:r>
          </w:p>
        </w:tc>
      </w:tr>
      <w:tr>
        <w:trPr>
          <w:trHeight w:val="202"/>
        </w:trPr>
        <w:tc>
          <w:tcPr>
            <w:tcW w:w="780" w:type="dxa"/>
            <w:vAlign w:val="bottom"/>
          </w:tcPr>
          <w:p>
            <w:pPr>
              <w:spacing w:after="0"/>
              <w:rPr>
                <w:sz w:val="17"/>
                <w:szCs w:val="17"/>
                <w:color w:val="auto"/>
              </w:rPr>
            </w:pPr>
          </w:p>
        </w:tc>
        <w:tc>
          <w:tcPr>
            <w:tcW w:w="360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Pursuant to 18 U.S.C. Section 1350, as adopted</w:t>
            </w:r>
          </w:p>
        </w:tc>
      </w:tr>
      <w:tr>
        <w:trPr>
          <w:trHeight w:val="202"/>
        </w:trPr>
        <w:tc>
          <w:tcPr>
            <w:tcW w:w="780" w:type="dxa"/>
            <w:vAlign w:val="bottom"/>
          </w:tcPr>
          <w:p>
            <w:pPr>
              <w:spacing w:after="0"/>
              <w:rPr>
                <w:sz w:val="17"/>
                <w:szCs w:val="17"/>
                <w:color w:val="auto"/>
              </w:rPr>
            </w:pPr>
          </w:p>
        </w:tc>
        <w:tc>
          <w:tcPr>
            <w:tcW w:w="360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Pursuant to Section 906 of the Sarbanes-Oxley</w:t>
            </w:r>
          </w:p>
        </w:tc>
      </w:tr>
      <w:tr>
        <w:trPr>
          <w:trHeight w:val="234"/>
        </w:trPr>
        <w:tc>
          <w:tcPr>
            <w:tcW w:w="78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 of 2002.</w:t>
            </w:r>
          </w:p>
        </w:tc>
      </w:tr>
      <w:tr>
        <w:trPr>
          <w:trHeight w:val="277"/>
        </w:trPr>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32.2**</w:t>
            </w: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Principal Financial Officer</w:t>
            </w:r>
          </w:p>
        </w:tc>
      </w:tr>
      <w:tr>
        <w:trPr>
          <w:trHeight w:val="202"/>
        </w:trPr>
        <w:tc>
          <w:tcPr>
            <w:tcW w:w="780" w:type="dxa"/>
            <w:vAlign w:val="bottom"/>
          </w:tcPr>
          <w:p>
            <w:pPr>
              <w:spacing w:after="0"/>
              <w:rPr>
                <w:sz w:val="17"/>
                <w:szCs w:val="17"/>
                <w:color w:val="auto"/>
              </w:rPr>
            </w:pPr>
          </w:p>
        </w:tc>
        <w:tc>
          <w:tcPr>
            <w:tcW w:w="360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Pursuant to 18 U.S.C. Section 1350, as adopted</w:t>
            </w:r>
          </w:p>
        </w:tc>
      </w:tr>
      <w:tr>
        <w:trPr>
          <w:trHeight w:val="202"/>
        </w:trPr>
        <w:tc>
          <w:tcPr>
            <w:tcW w:w="780" w:type="dxa"/>
            <w:vAlign w:val="bottom"/>
          </w:tcPr>
          <w:p>
            <w:pPr>
              <w:spacing w:after="0"/>
              <w:rPr>
                <w:sz w:val="17"/>
                <w:szCs w:val="17"/>
                <w:color w:val="auto"/>
              </w:rPr>
            </w:pPr>
          </w:p>
        </w:tc>
        <w:tc>
          <w:tcPr>
            <w:tcW w:w="360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Pursuant to Section 906 of the Sarbanes-Oxley</w:t>
            </w:r>
          </w:p>
        </w:tc>
      </w:tr>
      <w:tr>
        <w:trPr>
          <w:trHeight w:val="234"/>
        </w:trPr>
        <w:tc>
          <w:tcPr>
            <w:tcW w:w="78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 of 2002.</w:t>
            </w:r>
          </w:p>
        </w:tc>
      </w:tr>
      <w:tr>
        <w:trPr>
          <w:trHeight w:val="310"/>
        </w:trPr>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101.INS</w:t>
            </w: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82"/>
        </w:trPr>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101.CAL</w:t>
            </w: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Calculation</w:t>
            </w:r>
          </w:p>
        </w:tc>
      </w:tr>
      <w:tr>
        <w:trPr>
          <w:trHeight w:val="234"/>
        </w:trPr>
        <w:tc>
          <w:tcPr>
            <w:tcW w:w="78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323"/>
        </w:trPr>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101.SCH</w:t>
            </w: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XBRL Taxonomy Extension Schema Document</w:t>
            </w:r>
          </w:p>
        </w:tc>
      </w:tr>
      <w:tr>
        <w:trPr>
          <w:trHeight w:val="282"/>
        </w:trPr>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101.DEF</w:t>
            </w: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Definition</w:t>
            </w:r>
          </w:p>
        </w:tc>
      </w:tr>
      <w:tr>
        <w:trPr>
          <w:trHeight w:val="234"/>
        </w:trPr>
        <w:tc>
          <w:tcPr>
            <w:tcW w:w="78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291"/>
        </w:trPr>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101.LAB</w:t>
            </w: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Labels Linkbase</w:t>
            </w:r>
          </w:p>
        </w:tc>
      </w:tr>
      <w:tr>
        <w:trPr>
          <w:trHeight w:val="234"/>
        </w:trPr>
        <w:tc>
          <w:tcPr>
            <w:tcW w:w="78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r>
      <w:tr>
        <w:trPr>
          <w:trHeight w:val="291"/>
        </w:trPr>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101.PRE</w:t>
            </w: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Presentation</w:t>
            </w:r>
          </w:p>
        </w:tc>
      </w:tr>
      <w:tr>
        <w:trPr>
          <w:trHeight w:val="234"/>
        </w:trPr>
        <w:tc>
          <w:tcPr>
            <w:tcW w:w="78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Linkbase Document</w:t>
            </w:r>
          </w:p>
        </w:tc>
      </w:tr>
    </w:tbl>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901700</wp:posOffset>
            </wp:positionV>
            <wp:extent cx="5969000" cy="525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5">
                      <a:extLst>
                        <a:ext uri="{28A0092B-C50C-407E-A947-70E740481C1C}"/>
                      </a:extLst>
                    </a:blip>
                    <a:srcRect/>
                    <a:stretch>
                      <a:fillRect/>
                    </a:stretch>
                  </pic:blipFill>
                  <pic:spPr bwMode="auto">
                    <a:xfrm>
                      <a:off x="0" y="0"/>
                      <a:ext cx="5969000" cy="5251450"/>
                    </a:xfrm>
                    <a:prstGeom prst="rect">
                      <a:avLst/>
                    </a:prstGeom>
                    <a:noFill/>
                  </pic:spPr>
                </pic:pic>
              </a:graphicData>
            </a:graphic>
          </wp:anchor>
        </w:drawing>
      </w:r>
    </w:p>
    <w:p>
      <w:pPr>
        <w:ind w:left="960" w:right="3700" w:hanging="705"/>
        <w:spacing w:after="0" w:line="244"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497" w:lineRule="exact"/>
        <w:rPr>
          <w:sz w:val="20"/>
          <w:szCs w:val="20"/>
          <w:color w:val="auto"/>
        </w:rPr>
      </w:pPr>
    </w:p>
    <w:p>
      <w:pPr>
        <w:sectPr>
          <w:pgSz w:w="12240" w:h="15840" w:orient="portrait"/>
          <w:cols w:equalWidth="0" w:num="2">
            <w:col w:w="8020" w:space="720"/>
            <w:col w:w="620"/>
          </w:cols>
          <w:pgMar w:left="1440" w:top="1431" w:right="1440" w:bottom="0" w:gutter="0" w:footer="0" w:header="0"/>
        </w:sectPr>
      </w:pPr>
    </w:p>
    <w:p>
      <w:pPr>
        <w:ind w:left="60" w:right="5320" w:hanging="7"/>
        <w:spacing w:after="0" w:line="313" w:lineRule="auto"/>
        <w:tabs>
          <w:tab w:leader="none" w:pos="4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 ** Furnished.</w:t>
      </w:r>
    </w:p>
    <w:p>
      <w:pPr>
        <w:ind w:left="420" w:right="1480" w:hanging="367"/>
        <w:spacing w:after="0" w:line="249" w:lineRule="auto"/>
        <w:tabs>
          <w:tab w:leader="none" w:pos="4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4" w:lineRule="exact"/>
        <w:rPr>
          <w:sz w:val="20"/>
          <w:szCs w:val="20"/>
          <w:color w:val="auto"/>
        </w:rPr>
      </w:pPr>
    </w:p>
    <w:p>
      <w:pPr>
        <w:ind w:left="420" w:hanging="367"/>
        <w:spacing w:after="0"/>
        <w:tabs>
          <w:tab w:leader="none" w:pos="4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omitted portions of the exhibit as permitted under Regulation S-K Item 601(b)(10).</w:t>
      </w:r>
    </w:p>
    <w:p>
      <w:pPr>
        <w:spacing w:after="0" w:line="11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97" w:lineRule="exact"/>
        <w:rPr>
          <w:sz w:val="20"/>
          <w:szCs w:val="20"/>
          <w:color w:val="auto"/>
        </w:rPr>
      </w:pPr>
    </w:p>
    <w:p>
      <w:pPr>
        <w:ind w:right="400" w:firstLine="360"/>
        <w:spacing w:after="0" w:line="265" w:lineRule="auto"/>
        <w:rPr>
          <w:sz w:val="20"/>
          <w:szCs w:val="20"/>
          <w:color w:val="auto"/>
        </w:rPr>
      </w:pPr>
      <w:r>
        <w:rPr>
          <w:rFonts w:ascii="Times New Roman" w:cs="Times New Roman" w:eastAsia="Times New Roman" w:hAnsi="Times New Roman"/>
          <w:sz w:val="20"/>
          <w:szCs w:val="20"/>
          <w:color w:val="auto"/>
        </w:rPr>
        <w:t>We may voluntarily include a summary of information required by Form 10-K under this Item 16. We have elected not to include such summary information.</w:t>
      </w:r>
    </w:p>
    <w:p>
      <w:pPr>
        <w:sectPr>
          <w:pgSz w:w="12240" w:h="15840" w:orient="portrait"/>
          <w:cols w:equalWidth="0" w:num="1">
            <w:col w:w="9360"/>
          </w:cols>
          <w:pgMar w:left="1440" w:top="143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161</w:t>
      </w:r>
    </w:p>
    <w:p>
      <w:pPr>
        <w:sectPr>
          <w:pgSz w:w="12240" w:h="15840" w:orient="portrait"/>
          <w:cols w:equalWidth="0" w:num="1">
            <w:col w:w="9360"/>
          </w:cols>
          <w:pgMar w:left="1440" w:top="1431" w:right="1440" w:bottom="0" w:gutter="0" w:footer="0" w:header="0"/>
          <w:type w:val="continuous"/>
        </w:sectPr>
      </w:pPr>
    </w:p>
    <w:bookmarkStart w:id="150" w:name="page151"/>
    <w:bookmarkEnd w:id="150"/>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7"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GENEDX HOLDINGS CORP.</w:t>
      </w:r>
    </w:p>
    <w:p>
      <w:pPr>
        <w:spacing w:after="0" w:line="355" w:lineRule="exact"/>
        <w:rPr>
          <w:sz w:val="20"/>
          <w:szCs w:val="20"/>
          <w:color w:val="auto"/>
        </w:rPr>
      </w:pPr>
    </w:p>
    <w:p>
      <w:pPr>
        <w:ind w:left="60"/>
        <w:spacing w:after="0"/>
        <w:tabs>
          <w:tab w:leader="none" w:pos="4460" w:val="left"/>
        </w:tabs>
        <w:rPr>
          <w:sz w:val="20"/>
          <w:szCs w:val="20"/>
          <w:color w:val="auto"/>
        </w:rPr>
      </w:pPr>
      <w:r>
        <w:rPr>
          <w:rFonts w:ascii="Times New Roman" w:cs="Times New Roman" w:eastAsia="Times New Roman" w:hAnsi="Times New Roman"/>
          <w:sz w:val="20"/>
          <w:szCs w:val="20"/>
          <w:color w:val="auto"/>
        </w:rPr>
        <w:t>Date: March 16, 2023</w:t>
      </w:r>
      <w:r>
        <w:rPr>
          <w:sz w:val="20"/>
          <w:szCs w:val="20"/>
          <w:color w:val="auto"/>
        </w:rPr>
        <w:tab/>
      </w:r>
      <w:r>
        <w:rPr>
          <w:rFonts w:ascii="Times New Roman" w:cs="Times New Roman" w:eastAsia="Times New Roman" w:hAnsi="Times New Roman"/>
          <w:sz w:val="20"/>
          <w:szCs w:val="20"/>
          <w:color w:val="auto"/>
        </w:rPr>
        <w:t>By: /s/ Katherine Stueland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3257550</wp:posOffset>
                </wp:positionH>
                <wp:positionV relativeFrom="paragraph">
                  <wp:posOffset>40640</wp:posOffset>
                </wp:positionV>
                <wp:extent cx="2686050"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860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5pt,3.2pt" to="468pt,3.2pt" o:allowincell="f" strokecolor="#000000" strokeweight="1pt"/>
            </w:pict>
          </mc:Fallback>
        </mc:AlternateContent>
      </w:r>
    </w:p>
    <w:p>
      <w:pPr>
        <w:spacing w:after="0" w:line="35" w:lineRule="exact"/>
        <w:rPr>
          <w:sz w:val="20"/>
          <w:szCs w:val="20"/>
          <w:color w:val="auto"/>
        </w:rPr>
      </w:pPr>
    </w:p>
    <w:p>
      <w:pPr>
        <w:ind w:left="4480"/>
        <w:spacing w:after="0"/>
        <w:tabs>
          <w:tab w:leader="none" w:pos="5160" w:val="left"/>
        </w:tabs>
        <w:rPr>
          <w:sz w:val="20"/>
          <w:szCs w:val="20"/>
          <w:color w:val="auto"/>
        </w:rPr>
      </w:pPr>
      <w:r>
        <w:rPr>
          <w:rFonts w:ascii="Times New Roman" w:cs="Times New Roman" w:eastAsia="Times New Roman" w:hAnsi="Times New Roman"/>
          <w:sz w:val="20"/>
          <w:szCs w:val="20"/>
          <w:color w:val="auto"/>
        </w:rPr>
        <w:t>Name:</w:t>
        <w:tab/>
        <w:t>Katherine Stueland</w:t>
      </w:r>
    </w:p>
    <w:p>
      <w:pPr>
        <w:spacing w:after="0" w:line="47" w:lineRule="exact"/>
        <w:rPr>
          <w:sz w:val="20"/>
          <w:szCs w:val="20"/>
          <w:color w:val="auto"/>
        </w:rPr>
      </w:pPr>
    </w:p>
    <w:p>
      <w:pPr>
        <w:ind w:left="4480"/>
        <w:spacing w:after="0"/>
        <w:tabs>
          <w:tab w:leader="none" w:pos="5160" w:val="left"/>
        </w:tabs>
        <w:rPr>
          <w:sz w:val="20"/>
          <w:szCs w:val="20"/>
          <w:color w:val="auto"/>
        </w:rPr>
      </w:pPr>
      <w:r>
        <w:rPr>
          <w:rFonts w:ascii="Times New Roman" w:cs="Times New Roman" w:eastAsia="Times New Roman" w:hAnsi="Times New Roman"/>
          <w:sz w:val="20"/>
          <w:szCs w:val="20"/>
          <w:color w:val="auto"/>
        </w:rPr>
        <w:t>Title:</w:t>
        <w:tab/>
        <w:t>Chief Executive Officer and Director</w:t>
      </w:r>
    </w:p>
    <w:p>
      <w:pPr>
        <w:ind w:left="518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7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Katherine Stueland, Jason Ryan and Kevin Feeley and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56"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60" w:type="dxa"/>
            <w:vAlign w:val="bottom"/>
          </w:tcPr>
          <w:p>
            <w:pPr>
              <w:spacing w:after="0"/>
              <w:rPr>
                <w:sz w:val="18"/>
                <w:szCs w:val="18"/>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340"/>
        </w:trPr>
        <w:tc>
          <w:tcPr>
            <w:tcW w:w="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color w:val="auto"/>
              </w:rPr>
              <w:t>/s/ Katherine Stueland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Executive Officer and Director</w:t>
            </w:r>
          </w:p>
        </w:tc>
        <w:tc>
          <w:tcPr>
            <w:tcW w:w="60" w:type="dxa"/>
            <w:vAlign w:val="bottom"/>
          </w:tcPr>
          <w:p>
            <w:pPr>
              <w:spacing w:after="0"/>
              <w:rPr>
                <w:sz w:val="24"/>
                <w:szCs w:val="24"/>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16, 2023</w:t>
            </w: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3560" w:type="dxa"/>
            <w:vAlign w:val="bottom"/>
            <w:vMerge w:val="restart"/>
          </w:tcPr>
          <w:p>
            <w:pPr>
              <w:jc w:val="center"/>
              <w:ind w:right="1"/>
              <w:spacing w:after="0"/>
              <w:rPr>
                <w:sz w:val="20"/>
                <w:szCs w:val="20"/>
                <w:color w:val="auto"/>
              </w:rPr>
            </w:pPr>
            <w:r>
              <w:rPr>
                <w:rFonts w:ascii="Times New Roman" w:cs="Times New Roman" w:eastAsia="Times New Roman" w:hAnsi="Times New Roman"/>
                <w:sz w:val="20"/>
                <w:szCs w:val="20"/>
                <w:color w:val="auto"/>
              </w:rPr>
              <w:t>Katherine Stueland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6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color w:val="auto"/>
                <w:w w:val="99"/>
              </w:rPr>
              <w:t>/s/ Kevin Feeley</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c>
          <w:tcPr>
            <w:tcW w:w="60" w:type="dxa"/>
            <w:vAlign w:val="bottom"/>
          </w:tcPr>
          <w:p>
            <w:pPr>
              <w:spacing w:after="0"/>
              <w:rPr>
                <w:sz w:val="24"/>
                <w:szCs w:val="24"/>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16, 2023</w:t>
            </w: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35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Kevin Feeley</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(Principal Financial Officer)</w:t>
            </w:r>
          </w:p>
        </w:tc>
        <w:tc>
          <w:tcPr>
            <w:tcW w:w="6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Jason Ryan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Executive Chairman and Director</w:t>
            </w:r>
          </w:p>
        </w:tc>
        <w:tc>
          <w:tcPr>
            <w:tcW w:w="60" w:type="dxa"/>
            <w:vAlign w:val="bottom"/>
          </w:tcPr>
          <w:p>
            <w:pPr>
              <w:spacing w:after="0"/>
              <w:rPr>
                <w:sz w:val="24"/>
                <w:szCs w:val="24"/>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16, 2023</w:t>
            </w: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35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Jason Ryan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Eli D. Casdin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4"/>
                <w:szCs w:val="24"/>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16, 2023</w:t>
            </w: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35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Eli D. Casdin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color w:val="auto"/>
              </w:rPr>
              <w:t>/s/ Dennis Charney</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4"/>
                <w:szCs w:val="24"/>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16, 2023</w:t>
            </w: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3560" w:type="dxa"/>
            <w:vAlign w:val="bottom"/>
            <w:vMerge w:val="restart"/>
          </w:tcPr>
          <w:p>
            <w:pPr>
              <w:jc w:val="center"/>
              <w:ind w:right="1"/>
              <w:spacing w:after="0"/>
              <w:rPr>
                <w:sz w:val="20"/>
                <w:szCs w:val="20"/>
                <w:color w:val="auto"/>
              </w:rPr>
            </w:pPr>
            <w:r>
              <w:rPr>
                <w:rFonts w:ascii="Times New Roman" w:cs="Times New Roman" w:eastAsia="Times New Roman" w:hAnsi="Times New Roman"/>
                <w:sz w:val="20"/>
                <w:szCs w:val="20"/>
                <w:color w:val="auto"/>
              </w:rPr>
              <w:t>Dennis Charney</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Emily Leproust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4"/>
                <w:szCs w:val="24"/>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16, 2023</w:t>
            </w: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35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Emily Leproust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color w:val="auto"/>
                <w:w w:val="99"/>
              </w:rPr>
              <w:t>/s/ Keith Meister</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4"/>
                <w:szCs w:val="24"/>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16, 2023</w:t>
            </w: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3560" w:type="dxa"/>
            <w:vAlign w:val="bottom"/>
            <w:vMerge w:val="restart"/>
          </w:tcPr>
          <w:p>
            <w:pPr>
              <w:jc w:val="center"/>
              <w:ind w:right="1"/>
              <w:spacing w:after="0"/>
              <w:rPr>
                <w:sz w:val="20"/>
                <w:szCs w:val="20"/>
                <w:color w:val="auto"/>
              </w:rPr>
            </w:pPr>
            <w:r>
              <w:rPr>
                <w:rFonts w:ascii="Times New Roman" w:cs="Times New Roman" w:eastAsia="Times New Roman" w:hAnsi="Times New Roman"/>
                <w:sz w:val="20"/>
                <w:szCs w:val="20"/>
                <w:color w:val="auto"/>
                <w:w w:val="99"/>
              </w:rPr>
              <w:t>Keith Meister</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color w:val="auto"/>
              </w:rPr>
              <w:t>/s/ Joshua Ruch</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4"/>
                <w:szCs w:val="24"/>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16, 2023</w:t>
            </w: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3560" w:type="dxa"/>
            <w:vAlign w:val="bottom"/>
            <w:vMerge w:val="restart"/>
          </w:tcPr>
          <w:p>
            <w:pPr>
              <w:jc w:val="center"/>
              <w:ind w:right="1"/>
              <w:spacing w:after="0"/>
              <w:rPr>
                <w:sz w:val="20"/>
                <w:szCs w:val="20"/>
                <w:color w:val="auto"/>
              </w:rPr>
            </w:pPr>
            <w:r>
              <w:rPr>
                <w:rFonts w:ascii="Times New Roman" w:cs="Times New Roman" w:eastAsia="Times New Roman" w:hAnsi="Times New Roman"/>
                <w:sz w:val="20"/>
                <w:szCs w:val="20"/>
                <w:color w:val="auto"/>
              </w:rPr>
              <w:t>Joshua Ruch</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color w:val="auto"/>
              </w:rPr>
              <w:t>/s/ Richard Pfenninger, Jr.</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4"/>
                <w:szCs w:val="24"/>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16, 2023</w:t>
            </w: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3560" w:type="dxa"/>
            <w:vAlign w:val="bottom"/>
            <w:vMerge w:val="restart"/>
          </w:tcPr>
          <w:p>
            <w:pPr>
              <w:jc w:val="center"/>
              <w:ind w:right="1"/>
              <w:spacing w:after="0"/>
              <w:rPr>
                <w:sz w:val="20"/>
                <w:szCs w:val="20"/>
                <w:color w:val="auto"/>
              </w:rPr>
            </w:pPr>
            <w:r>
              <w:rPr>
                <w:rFonts w:ascii="Times New Roman" w:cs="Times New Roman" w:eastAsia="Times New Roman" w:hAnsi="Times New Roman"/>
                <w:sz w:val="20"/>
                <w:szCs w:val="20"/>
                <w:color w:val="auto"/>
              </w:rPr>
              <w:t>Richard Pfenninger, Jr.</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35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80" w:type="dxa"/>
            <w:vAlign w:val="bottom"/>
          </w:tcPr>
          <w:p>
            <w:pPr>
              <w:spacing w:after="0"/>
              <w:rPr>
                <w:sz w:val="24"/>
                <w:szCs w:val="24"/>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Rachel Sherman</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60" w:type="dxa"/>
            <w:vAlign w:val="bottom"/>
            <w:vMerge w:val="restart"/>
          </w:tcPr>
          <w:p>
            <w:pPr>
              <w:ind w:left="132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2320" w:type="dxa"/>
            <w:vAlign w:val="bottom"/>
            <w:vMerge w:val="restart"/>
          </w:tcPr>
          <w:p>
            <w:pPr>
              <w:ind w:left="560"/>
              <w:spacing w:after="0"/>
              <w:rPr>
                <w:sz w:val="20"/>
                <w:szCs w:val="20"/>
                <w:color w:val="auto"/>
              </w:rPr>
            </w:pPr>
            <w:r>
              <w:rPr>
                <w:rFonts w:ascii="Times New Roman" w:cs="Times New Roman" w:eastAsia="Times New Roman" w:hAnsi="Times New Roman"/>
                <w:sz w:val="20"/>
                <w:szCs w:val="20"/>
                <w:color w:val="auto"/>
              </w:rPr>
              <w:t>March 16, 2023</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5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Rachel Sherman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3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71" w:right="1440" w:bottom="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162</w:t>
      </w:r>
    </w:p>
    <w:p>
      <w:pPr>
        <w:sectPr>
          <w:pgSz w:w="12240" w:h="15840" w:orient="portrait"/>
          <w:cols w:equalWidth="0" w:num="1">
            <w:col w:w="9360"/>
          </w:cols>
          <w:pgMar w:left="1440" w:top="1371" w:right="1440" w:bottom="0" w:gutter="0" w:footer="0" w:header="0"/>
          <w:type w:val="continuous"/>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860"/>
        <w:spacing w:after="0"/>
        <w:rPr>
          <w:sz w:val="20"/>
          <w:szCs w:val="20"/>
          <w:color w:val="auto"/>
        </w:rPr>
      </w:pPr>
      <w:r>
        <w:rPr>
          <w:rFonts w:ascii="Arial" w:cs="Arial" w:eastAsia="Arial" w:hAnsi="Arial"/>
          <w:sz w:val="15"/>
          <w:szCs w:val="15"/>
          <w:color w:val="auto"/>
        </w:rPr>
        <w:t>BR81663L-0523-10K</w:t>
      </w:r>
    </w:p>
    <w:sectPr>
      <w:pgSz w:w="12240" w:h="15840" w:orient="portrait"/>
      <w:cols w:equalWidth="0" w:num="1">
        <w:col w:w="10360"/>
      </w:cols>
      <w:pgMar w:left="1440" w:top="1440" w:right="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x"/>
      <w:numFmt w:val="bullet"/>
      <w:start w:val="1"/>
    </w:lvl>
  </w:abstractNum>
  <w:abstractNum w:abstractNumId="1">
    <w:nsid w:val="51EAD36B"/>
    <w:multiLevelType w:val="hybridMultilevel"/>
    <w:lvl w:ilvl="0">
      <w:lvlJc w:val="left"/>
      <w:lvlText w:val="o"/>
      <w:numFmt w:val="bullet"/>
      <w:start w:val="1"/>
    </w:lvl>
  </w:abstractNum>
  <w:abstractNum w:abstractNumId="2">
    <w:nsid w:val="2D517796"/>
    <w:multiLevelType w:val="hybridMultilevel"/>
    <w:lvl w:ilvl="0">
      <w:lvlJc w:val="left"/>
      <w:lvlText w:val="•"/>
      <w:numFmt w:val="bullet"/>
      <w:start w:val="1"/>
    </w:lvl>
    <w:lvl w:ilvl="1">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lvl w:ilvl="1">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1)"/>
      <w:numFmt w:val="decimal"/>
      <w:start w:val="3"/>
    </w:lvl>
  </w:abstractNum>
  <w:abstractNum w:abstractNumId="42">
    <w:nsid w:val="741226BB"/>
    <w:multiLevelType w:val="hybridMultilevel"/>
    <w:lvl w:ilvl="0">
      <w:lvlJc w:val="left"/>
      <w:lvlText w:val="(%1)"/>
      <w:numFmt w:val="decimal"/>
      <w:start w:val="1"/>
    </w:lvl>
  </w:abstractNum>
  <w:abstractNum w:abstractNumId="43">
    <w:nsid w:val="D34B6A8"/>
    <w:multiLevelType w:val="hybridMultilevel"/>
    <w:lvl w:ilvl="0">
      <w:lvlJc w:val="left"/>
      <w:lvlText w:val="%1."/>
      <w:numFmt w:val="decimal"/>
      <w:start w:val="1"/>
    </w:lvl>
  </w:abstractNum>
  <w:abstractNum w:abstractNumId="44">
    <w:nsid w:val="10233C99"/>
    <w:multiLevelType w:val="hybridMultilevel"/>
    <w:lvl w:ilvl="0">
      <w:lvlJc w:val="left"/>
      <w:lvlText w:val="(%1)"/>
      <w:numFmt w:val="lowerRoman"/>
      <w:start w:val="2"/>
    </w:lvl>
  </w:abstractNum>
  <w:abstractNum w:abstractNumId="45">
    <w:nsid w:val="3F6AB60F"/>
    <w:multiLevelType w:val="hybridMultilevel"/>
    <w:lvl w:ilvl="0">
      <w:lvlJc w:val="left"/>
      <w:lvlText w:val="%1."/>
      <w:numFmt w:val="decimal"/>
      <w:start w:val="2"/>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1)"/>
      <w:numFmt w:val="decimal"/>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1."/>
      <w:numFmt w:val="decimal"/>
      <w:start w:val="815"/>
    </w:lvl>
  </w:abstractNum>
  <w:abstractNum w:abstractNumId="51">
    <w:nsid w:val="5FF87E05"/>
    <w:multiLevelType w:val="hybridMultilevel"/>
    <w:lvl w:ilvl="0">
      <w:lvlJc w:val="left"/>
      <w:lvlText w:val="(%1)"/>
      <w:numFmt w:val="lowerLetter"/>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1)"/>
      <w:numFmt w:val="decimal"/>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1."/>
      <w:numFmt w:val="decimal"/>
      <w:start w:val="4"/>
    </w:lvl>
  </w:abstractNum>
  <w:abstractNum w:abstractNumId="56">
    <w:nsid w:val="1F48EAA1"/>
    <w:multiLevelType w:val="hybridMultilevel"/>
    <w:lvl w:ilvl="0">
      <w:lvlJc w:val="left"/>
      <w:lvlText w:val="%1."/>
      <w:numFmt w:val="decimal"/>
      <w:start w:val="5"/>
    </w:lvl>
  </w:abstractNum>
  <w:abstractNum w:abstractNumId="57">
    <w:nsid w:val="1381823A"/>
    <w:multiLevelType w:val="hybridMultilevel"/>
    <w:lvl w:ilvl="0">
      <w:lvlJc w:val="left"/>
      <w:lvlText w:val="%1."/>
      <w:numFmt w:val="decimal"/>
      <w:start w:val="7"/>
    </w:lvl>
  </w:abstractNum>
  <w:abstractNum w:abstractNumId="58">
    <w:nsid w:val="5DB70AE5"/>
    <w:multiLevelType w:val="hybridMultilevel"/>
    <w:lvl w:ilvl="0">
      <w:lvlJc w:val="left"/>
      <w:lvlText w:val="%1."/>
      <w:numFmt w:val="decimal"/>
      <w:start w:val="8"/>
    </w:lvl>
  </w:abstractNum>
  <w:abstractNum w:abstractNumId="59">
    <w:nsid w:val="100F8FCA"/>
    <w:multiLevelType w:val="hybridMultilevel"/>
    <w:lvl w:ilvl="0">
      <w:lvlJc w:val="left"/>
      <w:lvlText w:val="%1."/>
      <w:numFmt w:val="decimal"/>
      <w:start w:val="9"/>
    </w:lvl>
  </w:abstractNum>
  <w:abstractNum w:abstractNumId="60">
    <w:nsid w:val="6590700B"/>
    <w:multiLevelType w:val="hybridMultilevel"/>
    <w:lvl w:ilvl="0">
      <w:lvlJc w:val="left"/>
      <w:lvlText w:val="%1."/>
      <w:numFmt w:val="decimal"/>
      <w:start w:val="10"/>
    </w:lvl>
  </w:abstractNum>
  <w:abstractNum w:abstractNumId="61">
    <w:nsid w:val="15014ACB"/>
    <w:multiLevelType w:val="hybridMultilevel"/>
    <w:lvl w:ilvl="0">
      <w:lvlJc w:val="left"/>
      <w:lvlText w:val="%1."/>
      <w:numFmt w:val="decimal"/>
      <w:start w:val="11"/>
    </w:lvl>
  </w:abstractNum>
  <w:abstractNum w:abstractNumId="62">
    <w:nsid w:val="5F5E7FD0"/>
    <w:multiLevelType w:val="hybridMultilevel"/>
    <w:lvl w:ilvl="0">
      <w:lvlJc w:val="left"/>
      <w:lvlText w:val="%1."/>
      <w:numFmt w:val="decimal"/>
      <w:start w:val="12"/>
    </w:lvl>
  </w:abstractNum>
  <w:abstractNum w:abstractNumId="63">
    <w:nsid w:val="98A3148"/>
    <w:multiLevelType w:val="hybridMultilevel"/>
    <w:lvl w:ilvl="0">
      <w:lvlJc w:val="left"/>
      <w:lvlText w:val="%1."/>
      <w:numFmt w:val="decimal"/>
      <w:start w:val="13"/>
    </w:lvl>
  </w:abstractNum>
  <w:abstractNum w:abstractNumId="64">
    <w:nsid w:val="799D0247"/>
    <w:multiLevelType w:val="hybridMultilevel"/>
    <w:lvl w:ilvl="0">
      <w:lvlJc w:val="left"/>
      <w:lvlText w:val="%1."/>
      <w:numFmt w:val="decimal"/>
      <w:start w:val="14"/>
    </w:lvl>
  </w:abstractNum>
  <w:abstractNum w:abstractNumId="65">
    <w:nsid w:val="6B94764"/>
    <w:multiLevelType w:val="hybridMultilevel"/>
    <w:lvl w:ilvl="0">
      <w:lvlJc w:val="left"/>
      <w:lvlText w:val="%1."/>
      <w:numFmt w:val="decimal"/>
      <w:start w:val="16"/>
    </w:lvl>
  </w:abstractNum>
  <w:abstractNum w:abstractNumId="66">
    <w:nsid w:val="42C296BD"/>
    <w:multiLevelType w:val="hybridMultilevel"/>
    <w:lvl w:ilvl="0">
      <w:lvlJc w:val="left"/>
      <w:lvlText w:val="(%1)"/>
      <w:numFmt w:val="decimal"/>
      <w:start w:val="1"/>
    </w:lvl>
  </w:abstractNum>
  <w:abstractNum w:abstractNumId="67">
    <w:nsid w:val="168E121F"/>
    <w:multiLevelType w:val="hybridMultilevel"/>
    <w:lvl w:ilvl="0">
      <w:lvlJc w:val="left"/>
      <w:lvlText w:val="%1."/>
      <w:numFmt w:val="decimal"/>
      <w:start w:val="17"/>
    </w:lvl>
  </w:abstractNum>
  <w:abstractNum w:abstractNumId="68">
    <w:nsid w:val="1EBA5D23"/>
    <w:multiLevelType w:val="hybridMultilevel"/>
    <w:lvl w:ilvl="0">
      <w:lvlJc w:val="left"/>
      <w:lvlText w:val="%1."/>
      <w:numFmt w:val="decimal"/>
      <w:start w:val="18"/>
    </w:lvl>
  </w:abstractNum>
  <w:abstractNum w:abstractNumId="69">
    <w:nsid w:val="661E3F1E"/>
    <w:multiLevelType w:val="hybridMultilevel"/>
    <w:lvl w:ilvl="0">
      <w:lvlJc w:val="left"/>
      <w:lvlText w:val="%1."/>
      <w:numFmt w:val="decimal"/>
      <w:start w:val="19"/>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
      <w:numFmt w:val="bullet"/>
      <w:start w:val="1"/>
    </w:lvl>
  </w:abstractNum>
  <w:abstractNum w:abstractNumId="72">
    <w:nsid w:val="7BD3EE7B"/>
    <w:multiLevelType w:val="hybridMultilevel"/>
    <w:lvl w:ilvl="0">
      <w:lvlJc w:val="left"/>
      <w:lvlText w:val="%1)"/>
      <w:numFmt w:val="lowerLetter"/>
      <w:start w:val="1"/>
    </w:lvl>
    <w:lvl w:ilvl="1">
      <w:lvlJc w:val="left"/>
      <w:lvlText w:val="%2."/>
      <w:numFmt w:val="decimal"/>
      <w:start w:val="1"/>
    </w:lvl>
  </w:abstractNum>
  <w:abstractNum w:abstractNumId="73">
    <w:nsid w:val="51D9C564"/>
    <w:multiLevelType w:val="hybridMultilevel"/>
    <w:lvl w:ilvl="0">
      <w:lvlJc w:val="left"/>
      <w:lvlText w:val="%1"/>
      <w:numFmt w:val="decimal"/>
      <w:start w:val="104"/>
    </w:lvl>
  </w:abstractNum>
  <w:abstractNum w:abstractNumId="74">
    <w:nsid w:val="613EFDC5"/>
    <w:multiLevelType w:val="hybridMultilevel"/>
    <w:lvl w:ilvl="0">
      <w:lvlJc w:val="left"/>
      <w:lvlText w:val="*"/>
      <w:numFmt w:val="bullet"/>
      <w:start w:val="1"/>
    </w:lvl>
  </w:abstractNum>
  <w:abstractNum w:abstractNumId="75">
    <w:nsid w:val="BF72B14"/>
    <w:multiLevelType w:val="hybridMultilevel"/>
    <w:lvl w:ilvl="0">
      <w:lvlJc w:val="left"/>
      <w:lvlText w:val="+"/>
      <w:numFmt w:val="bullet"/>
      <w:start w:val="1"/>
    </w:lvl>
  </w:abstractNum>
  <w:abstractNum w:abstractNumId="76">
    <w:nsid w:val="11447B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2023-05-08T19:20:33Z</dcterms:created>
  <dcterms:modified xsi:type="dcterms:W3CDTF">2023-05-08T19:20:33Z</dcterms:modified>
</cp:coreProperties>
</file>