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May 2, 2022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47625</wp:posOffset>
            </wp:positionV>
            <wp:extent cx="182562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001-39482</w:t>
            </w:r>
          </w:p>
        </w:tc>
        <w:tc>
          <w:tcPr>
            <w:tcW w:w="80" w:type="dxa"/>
            <w:vAlign w:val="bottom"/>
          </w:tcPr>
          <w:p>
            <w:pPr>
              <w:spacing w:after="0"/>
              <w:rPr>
                <w:sz w:val="21"/>
                <w:szCs w:val="21"/>
                <w:color w:val="auto"/>
              </w:rPr>
            </w:pPr>
          </w:p>
        </w:tc>
        <w:tc>
          <w:tcPr>
            <w:tcW w:w="428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85-1966622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5"/>
                <w:szCs w:val="15"/>
                <w:color w:val="auto"/>
              </w:rPr>
            </w:pPr>
          </w:p>
        </w:tc>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(Commission File Number)</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4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 Ludlow Street, North Tower, 8th Floor</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06902</w:t>
            </w:r>
          </w:p>
        </w:tc>
        <w:tc>
          <w:tcPr>
            <w:tcW w:w="0" w:type="dxa"/>
            <w:vAlign w:val="bottom"/>
          </w:tcPr>
          <w:p>
            <w:pPr>
              <w:spacing w:after="0"/>
              <w:rPr>
                <w:sz w:val="1"/>
                <w:szCs w:val="1"/>
                <w:color w:val="auto"/>
              </w:rPr>
            </w:pPr>
          </w:p>
        </w:tc>
      </w:tr>
      <w:tr>
        <w:trPr>
          <w:trHeight w:val="228"/>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298-6470</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80" w:type="dxa"/>
            <w:vAlign w:val="bottom"/>
            <w:tcBorders>
              <w:top w:val="single" w:sz="8" w:color="CCEEFF"/>
            </w:tcBorders>
            <w:shd w:val="clear" w:color="auto" w:fill="CCEEFF"/>
          </w:tcPr>
          <w:p>
            <w:pPr>
              <w:spacing w:after="0"/>
              <w:rPr>
                <w:sz w:val="19"/>
                <w:szCs w:val="19"/>
                <w:color w:val="auto"/>
              </w:rPr>
            </w:pPr>
          </w:p>
        </w:tc>
        <w:tc>
          <w:tcPr>
            <w:tcW w:w="4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75"/>
        </w:trPr>
        <w:tc>
          <w:tcPr>
            <w:tcW w:w="20" w:type="dxa"/>
            <w:vAlign w:val="bottom"/>
          </w:tcPr>
          <w:p>
            <w:pPr>
              <w:spacing w:after="0"/>
              <w:rPr>
                <w:sz w:val="15"/>
                <w:szCs w:val="15"/>
                <w:color w:val="auto"/>
              </w:rPr>
            </w:pPr>
          </w:p>
        </w:tc>
        <w:tc>
          <w:tcPr>
            <w:tcW w:w="46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w:t>
            </w: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SMFRW</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Introductory Note</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previously announced, on January 18, 2022, Sema4 Holdings Corp. (the “Company” or “Sema4”) entered into an Agreement and Plan of Merger and Reorganization dated January 14, 2022 (as amended, the “Merger Agreement”), by and among the Company, GeneDx, Inc. (“GeneDx”), a wholly-owned subsidiary of OPKO Health, Inc. (“OPKO”), OPKO, Orion Merger Sub I, Inc. (“Merger Sub I”), a wholly-owned subsidiary of the Company, Orion Merger Sub II, LLC (“Merger Sub II” and together with Merger Sub I, “Merger Subs”), a wholly-owned subsidiary of the Company, and GeneDx Holding 2, Inc. (“Holdco”), which provided for, among other things, the Company’s acquisition of GeneDx. The transactions contemplated by the Merger Agreement, including the Mergers (as defined below), are referred to herein as the “Acquisition”. On April 29, 2022 (the “Closing Date”), following approvals by the stockholders of the Company at a special meeting held on April 27, 2022 (the “Special Meeting”), the Mergers were consummated (the “Closing”) and the Company took various other actions, as discussed further below.</w:t>
      </w:r>
    </w:p>
    <w:p>
      <w:pPr>
        <w:spacing w:after="0" w:line="13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Entry into a Material Definitive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Transition Services Agreement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Closing, GeneDx and OPKO entered into a Transition Services Agreement dated as of April 29, 2022 (the “Transition Services Agreement”) pursuant to which OPKO has agreed to provide, at cost, certain services in support of the acquisition of the GeneDx business through December 31, 2022, subject to certain limited exceptions, in order to facilitate the transactions contemplated by the Merger Agreement, including human resources, information technology support, and finance and accounting.</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foregoing description of the Transition Services Agreement and the transactions contemplated thereby is not complete and is subject to, and qualified in its entirety by reference to the Transition Services Agreement, a copy of which is included as Exhibit 10.1 to this Report.</w:t>
      </w:r>
    </w:p>
    <w:p>
      <w:pPr>
        <w:spacing w:after="0" w:line="11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2.01.</w:t>
      </w:r>
      <w:r>
        <w:rPr>
          <w:sz w:val="20"/>
          <w:szCs w:val="20"/>
          <w:color w:val="auto"/>
        </w:rPr>
        <w:tab/>
      </w:r>
      <w:r>
        <w:rPr>
          <w:rFonts w:ascii="Times New Roman" w:cs="Times New Roman" w:eastAsia="Times New Roman" w:hAnsi="Times New Roman"/>
          <w:sz w:val="19"/>
          <w:szCs w:val="19"/>
          <w:b w:val="1"/>
          <w:bCs w:val="1"/>
          <w:color w:val="auto"/>
        </w:rPr>
        <w:t>Completion of Acquisition or Disposition of Assets.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April 29, 2022, pursuant to the Merger Agreement, Merger Sub I merged with and into HoldCo (the “First Merger”), with HoldCo being the surviving entity of the First Merger and following the First Merger, HoldCo merged with and into Merger Sub II, with Merger Sub II being the surviving entity of this second merger (the “Second Merger” and, together with the First Merger, the “Mergers”).</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Pursuant to the terms of the Merger Agreement, each share of HoldCo common stock issued and outstanding immediately prior to the First Merger Effective Time (as defined in the Merger Agreement) was cancelled and automatically converted into the right to receive the following consideration (such aggregate consideration, the “Merger Consideration”), with OPKO receiving, subject to the Merger Agreement’s escrow fund provisions described above, (i) $150 million in cash, subject to adjustment at Closing pursuant to the terms of the Merger Agreement (the “Cash Consideration”) and (ii) 80 million shares of the Company’s Class A common stock (the “Stock Consideration”). OPKO will also be entitled to receive, if and only to the extent payable, up to $150 million if certain revenue-based milestones are achieved for each of the fiscal years ended December 31, 2022 and December 31, 2023 (the “Milestone Payments”). As previously disclosed, each Milestone Payment, if and to the extent earned under the terms of the Merger Agreement, will be satisfied through the payment and/or issuance of a combination of cash and shares of the Company’s Class A common stock (valued at $4.86 per share based on the average of the daily volume average weighted price of the Class A common stock over the period of 30 trading days ended January 12, 2022), with such mix to be determined in the Company’s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both"/>
        <w:spacing w:after="0" w:line="283" w:lineRule="auto"/>
        <w:rPr>
          <w:sz w:val="20"/>
          <w:szCs w:val="20"/>
          <w:color w:val="auto"/>
        </w:rPr>
      </w:pPr>
      <w:r>
        <w:rPr>
          <w:rFonts w:ascii="Times New Roman" w:cs="Times New Roman" w:eastAsia="Times New Roman" w:hAnsi="Times New Roman"/>
          <w:sz w:val="20"/>
          <w:szCs w:val="20"/>
          <w:color w:val="auto"/>
        </w:rPr>
        <w:t>The Milestone Payment in respect of the fiscal year ending December 31, 2023 is subject to acceleration on the terms described in the Merger Agreement.</w:t>
      </w:r>
    </w:p>
    <w:p>
      <w:pPr>
        <w:spacing w:after="0" w:line="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parties have also provided for an indemnification escrow consisting of a mix of cash and shares of the Company’s Class A common stock for certain indemnifiable matters pursuant to the terms of, and subject to the applicable limitations set forth in, the Merger Agreement.</w:t>
      </w:r>
    </w:p>
    <w:p>
      <w:pPr>
        <w:spacing w:after="0" w:line="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description of the Merger Agreement and related transactions (including, without limitation, the Mergers) in this Report does not purport to be complete and is subject to, and qualified in its entirety by reference to, the full text of the Merger Agreement, which is attached as Exhibit 2.1 hereto and is incorporated herein by reference.</w:t>
      </w:r>
    </w:p>
    <w:p>
      <w:pPr>
        <w:spacing w:after="0" w:line="10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3.02.</w:t>
      </w:r>
      <w:r>
        <w:rPr>
          <w:sz w:val="20"/>
          <w:szCs w:val="20"/>
          <w:color w:val="auto"/>
        </w:rPr>
        <w:tab/>
      </w:r>
      <w:r>
        <w:rPr>
          <w:rFonts w:ascii="Times New Roman" w:cs="Times New Roman" w:eastAsia="Times New Roman" w:hAnsi="Times New Roman"/>
          <w:sz w:val="19"/>
          <w:szCs w:val="19"/>
          <w:b w:val="1"/>
          <w:bCs w:val="1"/>
          <w:color w:val="auto"/>
        </w:rPr>
        <w:t>Unregistered Sales of Equity Securities.</w:t>
      </w:r>
    </w:p>
    <w:p>
      <w:pPr>
        <w:spacing w:after="0" w:line="179"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Concurrently with the Closing, , the Company issued and sold in private placements an aggregate of 50,000,000 shares of the Company’s Class A common stock to certain institutional investors (the “PIPE Investors”) at $4.00 per share (the “PIPE Investment”) pursuant to subscription agreements entered into on January 14, 2022 (collectively, the “PIPE Subscription Agreements”) as previously disclosed on the Company’s Current Report on Form 8-K filed on January 18, 2022 (the “January 18, 2022 8-K”) with the Securities and Exchange Commission (the “SEC”).</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summary is qualified in its entirety by reference to the PIPE Subscription Agreements, the form of which is attached as Exhibit 10.1 to the January 18, 2022 8-K and is incorporated herein by reference.</w:t>
      </w:r>
    </w:p>
    <w:p>
      <w:pPr>
        <w:spacing w:after="0" w:line="1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disclosure contained in Item 2.01 of this Report related to the issuance of the Stock Consideration is also incorporated herein by reference.</w:t>
      </w:r>
    </w:p>
    <w:p>
      <w:pPr>
        <w:spacing w:after="0" w:line="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Company issued the shares of Class A common stock pursuant to the Acquisition and the PIPE Investment under Section 4(a)(2) of the Securities Act of 1933, as amended (the “Securities Act”), and/or Rule 506 of Regulation D promulgated under the Securities Act, as a transaction by an issuer not involving a public offering. OPKO and the PIPE Investors represented their intentions to acquire the shares for investment only and not with a view to or for sale in connection with any distribution, and appropriate restrictive legends were affixed to the certificates representing all of the shares issued in the Acquisition and the PIPE Investment (or reflected in restricted book entry with the Company’s transfer agent). The parties also had adequate access, through business or other relationships, to information about the Company.</w:t>
      </w:r>
    </w:p>
    <w:p>
      <w:pPr>
        <w:spacing w:after="0" w:line="120"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Effective as of April 29, 2022, Nat Turner resigned from his position on the Board of Directors of the Company and all committees thereof (the “Board of Directors” or the “Board”).</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contemplated by the Merger Agreement, the Board expanded the size of the Board of Directors to eleven (11) members effective as of April 29, 2022, and in connection with the Special Meeting, Katherine Stueland and Richard P. Pfenniger were each elected to the Board of</w:t>
      </w:r>
    </w:p>
    <w:p>
      <w:pPr>
        <w:spacing w:after="0" w:line="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Directors as Class III directors effective as of April 29, 2022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serve until the 2024 annual meeting of stockholders, each until such director’s respective successor is duly elected and qualified, subject to such director’s earlier death, resignation, disqualification or removal.</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connection with the Closing, Eric Schadt was appointed President and Chief Research &amp; Development Officer of the Company and ceased serving as the Chief Executive Officer effective as of April 29, 2022. Dr. Schadt will remain as an executive officer and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in connection with the Closing and effective as of April 29, 2022, Katherine Stueland was appointed as Co-Chief Executive Officer of the Company. Ms. Stueland has entered into an employment agreement with the Company dated January 14, 2022, as amended on April 29, 2022 (the “Stueland Employment Agreement”), which provides for at-will employment and includes a base salary of $675,000, a discretionary incentive bonus opportunity with a target amount of 100% of the annual base salary, an initial grant of stock options and restricted stock units with an aggregate grant-date value of $9,000,000, and standard employee benefit plan participation.</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Pursuant to the Stueland Employment Agreement, if Ms. Stueland is terminated without “cause” or resigns for “good reason” (as such terms are defined in such employment agreement) other than in connection with a change in control, she will be entitled to receive 24 months of base salary continuation, 12 months of continued coverage under the Company’s group health plans, and accelerated vesting of a portion of her initial stock option grant, subject to her execution of a release of claims. If instead such termination occurs within the period commencing three months prior to (or the date on which the Company has commenced engagement with a change in control counterparty, if later) and ending 12 months following a change in control, Ms. Stueland will be entitled to receive 24 months of base salary continuation, a lump sum payment equal to two times her target annual bonus, 24 months of continued coverage under the Company’s group health plans, and accelerated vesting of her outstanding equity-based compensation awards, subject to her execution of a release of claims.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pursuant to the Stueland Employment Agreement, Ms. Stueland agreed that, during the nine-month period following the Closing, she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“Exchange Act”), with respect to any shares of the Company’s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 The Stueland Employment Agreement also includes restrictive covenants that would prohibit Ms. Stueland from soliciting the Company’s employees and exclusive consultants or competing with the Company during the 12-month period following her termination of employment. The summary of the Stueland Employment Agreement is qualified in its entirety by reference to the Stueland Employment Agreement, which is attached as Exhibit 10.2 hereto and is incorporated herein by reference.</w:t>
      </w:r>
    </w:p>
    <w:p>
      <w:pPr>
        <w:spacing w:after="0" w:line="1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Except as described in this Report, there is no arrangement or understanding between Dr. Schadt or Ms. Stueland and any other persons pursuant to which Dr. Schadt or Ms. Stueland was selected as a director or officer or between Mr. Pfenniger and any other persons pursuant to which Mr. Pfenniger was selected as a director, and, except as described in this Report, there are no related party transactions involving Dr. Schadt, Ms. Stueland or Mr. Pfenniger that are reportable under Item 404(a) of Regulation S-K. The Company’s transactions with Dr. Schadt are described under “Certain Relationships and Related Party Transactions—Sema4 Related Party Transactions” beginning on page 249 of the Company’s definitive proxy statement filed with the SEC on March 31, 2022 (the “Proxy Statement”), which descriptions are incorporated herein by reference. The Company’s transactions with OPKO, the former employer of Ms. Stueland and where Mr. Pfenniger serves as a director, are described under “The Acquisition—The Merger Agreement,” “The Acquisition—Support Agreements” and “The Acquisition—Shareholder Agreements” beginning on pages 106, 134 and 135, respectively, of Proxy Statement, as well as in the disclosure contained in Item 1.01 of this Report, which descriptions and disclosure are incorporated herein by reference. Further, Mr. Pfenniger is expected to receive compensation for his service on the Board consistent with the Company's standard compensation arrangements for non-employee directors. Such compensation arrangements are described under “Executive Compensation of Sema4—Director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20"/>
          <w:szCs w:val="20"/>
          <w:color w:val="auto"/>
        </w:rPr>
        <w:t>Compensation” beginning on page 226 of the Proxy Statement, which description is incorporated herein by reference. Mr. Pfenniger, as a non-employee director, was not appointed to serve on any committee of the Board of Directors.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of Ms. Stueland and Mr. Pfenniger entered into an indemnification agreement with the Company in the form previously filed as Exhibit 10.4 to the Company’s Current Report on Form 8-K filed with the SEC on July 28, 2021 (the “July 28, 2021 8-K”). The indemnification agreements provide, among other things, that the Company will indemnify the director or executive officer, as applicable, against any and all expenses incurred by that director or executive officer because of his or her status as one of the Company’s directors, executive officers, or other key employees, to the fullest extent permitted by Delaware law, the Amended and Restated Certificate of Incorporation (the “Certificate of Incorporation”) and the Company’s bylaws.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foregoing description of the form of indemnification agreement does not purport to be complete and is qualified in its entirety by reference to the full text of the form of indemnification agreement, a copy of which is attached as Exhibit 10.4 to the July 28, 2021 8-K and is incorporated herein by reference.</w:t>
      </w:r>
    </w:p>
    <w:p>
      <w:pPr>
        <w:spacing w:after="0" w:line="10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5.03</w:t>
      </w:r>
      <w:r>
        <w:rPr>
          <w:sz w:val="20"/>
          <w:szCs w:val="20"/>
          <w:color w:val="auto"/>
        </w:rPr>
        <w:tab/>
      </w:r>
      <w:r>
        <w:rPr>
          <w:rFonts w:ascii="Times New Roman" w:cs="Times New Roman" w:eastAsia="Times New Roman" w:hAnsi="Times New Roman"/>
          <w:sz w:val="19"/>
          <w:szCs w:val="19"/>
          <w:b w:val="1"/>
          <w:bCs w:val="1"/>
          <w:color w:val="auto"/>
        </w:rPr>
        <w:t>Amendments to Articles of Incorporation or Bylaws; Change in Fiscal Year.</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previously disclosed, the Company’s stockholders voted and approved, among other things, Proposal No. 4 – The Charter Amendment Proposal, which is described in greater detail in the Proxy Statement.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Certificate of Amendment (the “Certificate of Amendment”) to the Certificate of Incorporation to increase the authorized shares of Class A common stock from 380,000,000 to 1,000,000,000 shares of Class A common stock became effective immediately upon filing with the Secretary of State of the State of Delaware on April 29,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Certificate of Amendment is attached hereto as Exhibit 3.1,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May 2, 2022, the Company issued a press release announcing that it consummated the Acquisition. A copy of the press release is furnished hereto as Exhibit 99.1 to this Report. The information in this Item 7.01 and Exhibit 99.1 attached hereto shall not be deemed “filed” for purposes of Section 18 of the Exchange Act, or otherwise subject to liabilities under that section, and shall not be deemed to be incorporated by reference into the filings of the Company under the Securities Act or the Exchange Act, regardless of any general incorporation language in such filings.</w:t>
      </w:r>
    </w:p>
    <w:p>
      <w:pPr>
        <w:spacing w:after="0" w:line="13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Amendment to the Merger Agreement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April 29, 2022, the Company, Merger Subs, GeneDx, Holdco and OPKO entered into an immaterial amendment to the Merger Agreement (the “Amendment”) in connection with the Closing to provide for the Closing to be effective as of 11:59 pm Eastern Time on April 29, 2022. Other than as expressly modified by the Amendment, the Merger Agreement remains in full force and effect as originally executed on January 14, 2022.</w:t>
      </w:r>
    </w:p>
    <w:p>
      <w:pPr>
        <w:spacing w:after="0" w:line="1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foregoing description of the Amendment is not complete and is subject to, and qualified in its entirety by reference to the Amendment, a copy of which is included as Exhibit 99.2 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7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Financial Statements of Businesses Acquired</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18"/>
          <w:szCs w:val="18"/>
          <w:color w:val="auto"/>
        </w:rPr>
      </w:pPr>
    </w:p>
    <w:p>
      <w:pPr>
        <w:jc w:val="both"/>
        <w:ind w:left="660"/>
        <w:spacing w:after="0" w:line="3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audited combined carve out balance sheets of GeneDx and subsidiary as of December 31, 2021 and 2020, the related audited combined carve out statements of comprehensive loss, equity and cash flows for each of the two years in the period ended December 31, 2021, and the related notes are included in the Proxy Statement beginning on page F-41 and are incorporated herein by reference. In addition, the consent of Ernst &amp; Young, LLP, Independent Auditors for GeneDx, Inc., is attached as Exhibit 23.1 to this Report.</w:t>
      </w:r>
    </w:p>
    <w:p>
      <w:pPr>
        <w:spacing w:after="0" w:line="5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Pro Forma Financial Information</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18"/>
          <w:szCs w:val="18"/>
          <w:color w:val="auto"/>
        </w:rPr>
      </w:pPr>
    </w:p>
    <w:p>
      <w:pPr>
        <w:ind w:left="66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unaudited pro forma combined financial information of the Company giving effect to the Acquisition as of and for the year ended December 31, 2021, and the related notes are attached as Exhibit 99.3 to this Report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ind w:left="640" w:hanging="308"/>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color w:val="auto"/>
        </w:rPr>
        <w:t>Exhibits</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60" w:type="dxa"/>
            <w:vAlign w:val="bottom"/>
            <w:gridSpan w:val="15"/>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16"/>
          </w:tcPr>
          <w:p>
            <w:pPr>
              <w:spacing w:after="0" w:line="182"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Agreement and Plan of Merger and Reorganization, dated as of January 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120" w:type="dxa"/>
            <w:vAlign w:val="bottom"/>
            <w:gridSpan w:val="8"/>
            <w:vMerge w:val="restart"/>
          </w:tcPr>
          <w:p>
            <w:pPr>
              <w:spacing w:after="0" w:line="19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2022, by and among, Sema4 Holdings Corp., Orion Merger Sub I, Inc.,</w:t>
              </w:r>
            </w:hyperlink>
          </w:p>
        </w:tc>
        <w:tc>
          <w:tcPr>
            <w:tcW w:w="340" w:type="dxa"/>
            <w:vAlign w:val="bottom"/>
            <w:gridSpan w:val="9"/>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20" w:type="dxa"/>
            <w:vAlign w:val="bottom"/>
            <w:tcBorders>
              <w:bottom w:val="single" w:sz="8" w:color="0000FF"/>
            </w:tcBorders>
            <w:gridSpan w:val="8"/>
            <w:vMerge w:val="continue"/>
          </w:tcPr>
          <w:p>
            <w:pPr>
              <w:spacing w:after="0"/>
              <w:rPr>
                <w:sz w:val="10"/>
                <w:szCs w:val="10"/>
                <w:color w:val="auto"/>
              </w:rPr>
            </w:pPr>
          </w:p>
        </w:tc>
        <w:tc>
          <w:tcPr>
            <w:tcW w:w="3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17"/>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Orion Merger Sub II, LLC, GeneDx, Inc., GeneDx Holding 2, Inc. and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5">
              <w:r>
                <w:rPr>
                  <w:rFonts w:ascii="Times New Roman" w:cs="Times New Roman" w:eastAsia="Times New Roman" w:hAnsi="Times New Roman"/>
                  <w:sz w:val="18"/>
                  <w:szCs w:val="18"/>
                  <w:color w:val="0000FF"/>
                  <w:w w:val="98"/>
                </w:rPr>
                <w:t>OPKO Health, Inc.</w:t>
              </w:r>
            </w:hyperlink>
          </w:p>
        </w:tc>
        <w:tc>
          <w:tcPr>
            <w:tcW w:w="3700" w:type="dxa"/>
            <w:vAlign w:val="bottom"/>
            <w:tcBorders>
              <w:top w:val="single" w:sz="8" w:color="0000FF"/>
            </w:tcBorders>
            <w:gridSpan w:val="6"/>
          </w:tcPr>
          <w:p>
            <w:pPr>
              <w:spacing w:after="0"/>
              <w:rPr>
                <w:sz w:val="17"/>
                <w:szCs w:val="17"/>
                <w:color w:val="auto"/>
              </w:rPr>
            </w:pPr>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Certificate of Amendment to the Third Amended and Restated Certificate</w:t>
            </w: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6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of Incorporation of Sema4 Holdings Corp.</w:t>
            </w:r>
          </w:p>
        </w:tc>
        <w:tc>
          <w:tcPr>
            <w:tcW w:w="2400" w:type="dxa"/>
            <w:vAlign w:val="bottom"/>
            <w:gridSpan w:val="12"/>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60" w:type="dxa"/>
            <w:vAlign w:val="bottom"/>
            <w:tcBorders>
              <w:bottom w:val="single" w:sz="8" w:color="0000FF"/>
            </w:tcBorders>
            <w:gridSpan w:val="5"/>
            <w:vMerge w:val="continue"/>
          </w:tcPr>
          <w:p>
            <w:pPr>
              <w:spacing w:after="0"/>
              <w:rPr>
                <w:sz w:val="10"/>
                <w:szCs w:val="10"/>
                <w:color w:val="auto"/>
              </w:rPr>
            </w:pPr>
          </w:p>
        </w:tc>
        <w:tc>
          <w:tcPr>
            <w:tcW w:w="240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Transition Services Agreement, dated as of April 29, 2022, by and between</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6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GeneDx, Inc. and OPKO Health, Inc.</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6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Employment Agreement, dated as of January 14, 2022, as amended April</w:t>
            </w:r>
          </w:p>
        </w:tc>
        <w:tc>
          <w:tcPr>
            <w:tcW w:w="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320" w:type="dxa"/>
            <w:vAlign w:val="bottom"/>
            <w:gridSpan w:val="13"/>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29, 2022, by and between Sema4 Holdings Corp. and Katherine Stueland.</w:t>
            </w:r>
          </w:p>
        </w:tc>
        <w:tc>
          <w:tcPr>
            <w:tcW w:w="140" w:type="dxa"/>
            <w:vAlign w:val="bottom"/>
            <w:gridSpan w:val="4"/>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20" w:type="dxa"/>
            <w:vAlign w:val="bottom"/>
            <w:tcBorders>
              <w:bottom w:val="single" w:sz="8" w:color="0000FF"/>
            </w:tcBorders>
            <w:gridSpan w:val="13"/>
            <w:vMerge w:val="continue"/>
          </w:tcPr>
          <w:p>
            <w:pPr>
              <w:spacing w:after="0"/>
              <w:rPr>
                <w:sz w:val="10"/>
                <w:szCs w:val="10"/>
                <w:color w:val="auto"/>
              </w:rPr>
            </w:pPr>
          </w:p>
        </w:tc>
        <w:tc>
          <w:tcPr>
            <w:tcW w:w="1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Press Release issued by the Company on May 2, 2022.</w:t>
            </w:r>
          </w:p>
        </w:tc>
        <w:tc>
          <w:tcPr>
            <w:tcW w:w="1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Amendment to Agreement and Plan of Merger and Reorganization, dated</w:t>
            </w:r>
          </w:p>
        </w:tc>
        <w:tc>
          <w:tcPr>
            <w:tcW w:w="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6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as of April 29, 2022, by and among, Sema4 Holdings Corp., Orion Merger</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6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Sub I, Inc., Orion Merger Sub II, LLC, GeneDx, Inc., GeneDx Holding 2,</w:t>
            </w:r>
          </w:p>
        </w:tc>
        <w:tc>
          <w:tcPr>
            <w:tcW w:w="40" w:type="dxa"/>
            <w:vAlign w:val="bottom"/>
            <w:tcBorders>
              <w:top w:val="single" w:sz="8" w:color="0000FF"/>
            </w:tcBorders>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Inc. and OPKO Health, Inc.</w:t>
            </w:r>
          </w:p>
        </w:tc>
        <w:tc>
          <w:tcPr>
            <w:tcW w:w="3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Unaudited Pro Forma Combined Financial Information of the Company as</w:t>
            </w: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6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of and the year ended December 31, 2021.</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6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 Independent Auditors for GeneDx, Inc.</w:t>
            </w:r>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180" w:right="500" w:hanging="781"/>
        <w:spacing w:after="0" w:line="184" w:lineRule="auto"/>
        <w:tabs>
          <w:tab w:leader="none" w:pos="1180" w:val="left"/>
        </w:tabs>
        <w:numPr>
          <w:ilvl w:val="0"/>
          <w:numId w:val="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117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DateFiled Herewith</w:t>
            </w:r>
          </w:p>
        </w:tc>
      </w:tr>
      <w:tr>
        <w:trPr>
          <w:trHeight w:val="23"/>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DEFM</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Annex A</w:t>
            </w:r>
          </w:p>
        </w:tc>
        <w:tc>
          <w:tcPr>
            <w:tcW w:w="100" w:type="dxa"/>
            <w:vAlign w:val="bottom"/>
          </w:tcPr>
          <w:p>
            <w:pPr>
              <w:spacing w:after="0"/>
              <w:rPr>
                <w:sz w:val="20"/>
                <w:szCs w:val="20"/>
                <w:color w:val="auto"/>
              </w:rPr>
            </w:pPr>
          </w:p>
        </w:tc>
        <w:tc>
          <w:tcPr>
            <w:tcW w:w="2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March 31,</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724"/>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5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5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5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432"/>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972"/>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5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324"/>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X</w:t>
            </w:r>
          </w:p>
        </w:tc>
      </w:tr>
    </w:tbl>
    <w:p>
      <w:pPr>
        <w:spacing w:after="0" w:line="318" w:lineRule="exact"/>
        <w:rPr>
          <w:sz w:val="20"/>
          <w:szCs w:val="20"/>
          <w:color w:val="auto"/>
        </w:rPr>
      </w:pPr>
    </w:p>
    <w:p>
      <w:pPr>
        <w:sectPr>
          <w:pgSz w:w="11900" w:h="16838" w:orient="portrait"/>
          <w:cols w:equalWidth="0" w:num="2">
            <w:col w:w="6640" w:space="100"/>
            <w:col w:w="4500"/>
          </w:cols>
          <w:pgMar w:left="320" w:top="140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right="200" w:firstLine="8"/>
        <w:spacing w:after="0" w:line="278" w:lineRule="auto"/>
        <w:tabs>
          <w:tab w:leader="none" w:pos="24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schedules and exhibits to this exhibit have been omitted from this filing pursuant to Item 601(a)(5) of Regulation S-K. Sema4 will furnish copies of any such schedules and exhibits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tbl>
      <w:tblPr>
        <w:tblLayout w:type="fixed"/>
        <w:tblInd w:w="720" w:type="dxa"/>
        <w:tblCellMar>
          <w:top w:w="0" w:type="dxa"/>
          <w:left w:w="0" w:type="dxa"/>
          <w:bottom w:w="0" w:type="dxa"/>
          <w:right w:w="0" w:type="dxa"/>
        </w:tblCellMar>
      </w:tblPr>
      <w:tr>
        <w:trPr>
          <w:trHeight w:val="262"/>
        </w:trPr>
        <w:tc>
          <w:tcPr>
            <w:tcW w:w="3040" w:type="dxa"/>
            <w:vAlign w:val="bottom"/>
          </w:tcPr>
          <w:p>
            <w:pPr>
              <w:spacing w:after="0"/>
              <w:rPr>
                <w:sz w:val="22"/>
                <w:szCs w:val="22"/>
                <w:color w:val="auto"/>
              </w:rPr>
            </w:pPr>
          </w:p>
        </w:tc>
        <w:tc>
          <w:tcPr>
            <w:tcW w:w="7480" w:type="dxa"/>
            <w:vAlign w:val="bottom"/>
            <w:gridSpan w:val="2"/>
          </w:tcPr>
          <w:p>
            <w:pPr>
              <w:ind w:left="158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52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Date: May 2, 2022</w:t>
            </w:r>
          </w:p>
        </w:tc>
        <w:tc>
          <w:tcPr>
            <w:tcW w:w="25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47"/>
        </w:trPr>
        <w:tc>
          <w:tcPr>
            <w:tcW w:w="3040" w:type="dxa"/>
            <w:vAlign w:val="bottom"/>
          </w:tcPr>
          <w:p>
            <w:pPr>
              <w:spacing w:after="0"/>
              <w:rPr>
                <w:sz w:val="21"/>
                <w:szCs w:val="21"/>
                <w:color w:val="auto"/>
              </w:rPr>
            </w:pPr>
          </w:p>
        </w:tc>
        <w:tc>
          <w:tcPr>
            <w:tcW w:w="25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Name:</w:t>
            </w: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3040" w:type="dxa"/>
            <w:vAlign w:val="bottom"/>
          </w:tcPr>
          <w:p>
            <w:pPr>
              <w:spacing w:after="0"/>
              <w:rPr>
                <w:sz w:val="22"/>
                <w:szCs w:val="22"/>
                <w:color w:val="auto"/>
              </w:rPr>
            </w:pPr>
          </w:p>
        </w:tc>
        <w:tc>
          <w:tcPr>
            <w:tcW w:w="25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Title:</w:t>
            </w: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140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7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UNDERSIGNED</w:t>
      </w:r>
      <w:r>
        <w:rPr>
          <w:rFonts w:ascii="Times New Roman" w:cs="Times New Roman" w:eastAsia="Times New Roman" w:hAnsi="Times New Roman"/>
          <w:sz w:val="18"/>
          <w:szCs w:val="18"/>
          <w:color w:val="auto"/>
        </w:rPr>
        <w:t>, being a duly appointed officer of Sema4 Holdings Corp. (the “Corporation”), a corporation organized and existing under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virtue of the Delaware General Corporation Law of the State of Delaware (the “DGCL”), for the purpose of amending the Corporation’s Third Amended and Restated Certificate of Incorporation, as amended to the date hereof (the “Certificate of Incorporation”), hereby certifies, pursuant to Sections 242 and 103 of the DGCL, as follows: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Sema4 Holdings Corp.</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amendment to the Certificate of Incorporation set forth below was duly adopted in accordance with the provisions of Section 228 and 242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DGCL.</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Certificate of Incorporation is hereby amended by striking out Section 1 of Article IV thereof, and by substituting in lieu thereof,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new Section 1:</w:t>
      </w:r>
    </w:p>
    <w:p>
      <w:pPr>
        <w:spacing w:after="0" w:line="101" w:lineRule="exact"/>
        <w:rPr>
          <w:sz w:val="20"/>
          <w:szCs w:val="20"/>
          <w:color w:val="auto"/>
        </w:rPr>
      </w:pPr>
    </w:p>
    <w:p>
      <w:pPr>
        <w:jc w:val="both"/>
        <w:ind w:left="66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b w:val="1"/>
          <w:bCs w:val="1"/>
          <w:u w:val="single" w:color="auto"/>
          <w:color w:val="auto"/>
        </w:rPr>
        <w:t>Total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number of shares of all classes of stock that the Corporation has authority to issue is 1,001,000,000 shares, consisting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two classes: 1,000,000,000 shares of Class A Common Stock, $0.0001 par value per share (the “Common Stock”); and 1,000,000 shares of Preferred Stock, $0.0001 par value per share (“Preferred Stock”).”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made and signed this Certificate of Amendment this 29th day of April, 2022 and affirms the statements contained herein as true under penalty of perjury.</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97" w:lineRule="exact"/>
        <w:rPr>
          <w:sz w:val="20"/>
          <w:szCs w:val="20"/>
          <w:color w:val="auto"/>
        </w:rPr>
      </w:pPr>
    </w:p>
    <w:p>
      <w:pPr>
        <w:ind w:left="6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tab/>
        <w:t>/s/ Daniel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2657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Daniel Clark</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Secretary</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TRANSITION SERVICES AGREEMENT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This Transition Services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entered into and made effective as of April 29, 2022 (the “</w:t>
      </w:r>
      <w:r>
        <w:rPr>
          <w:rFonts w:ascii="Times New Roman" w:cs="Times New Roman" w:eastAsia="Times New Roman" w:hAnsi="Times New Roman"/>
          <w:sz w:val="19"/>
          <w:szCs w:val="19"/>
          <w:b w:val="1"/>
          <w:bCs w:val="1"/>
          <w:i w:val="1"/>
          <w:iCs w:val="1"/>
          <w:color w:val="auto"/>
        </w:rPr>
        <w:t>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 between OPKO Health, Inc., a Delaware corporation (“</w:t>
      </w:r>
      <w:r>
        <w:rPr>
          <w:rFonts w:ascii="Times New Roman" w:cs="Times New Roman" w:eastAsia="Times New Roman" w:hAnsi="Times New Roman"/>
          <w:sz w:val="19"/>
          <w:szCs w:val="19"/>
          <w:b w:val="1"/>
          <w:bCs w:val="1"/>
          <w:i w:val="1"/>
          <w:iCs w:val="1"/>
          <w:color w:val="auto"/>
        </w:rPr>
        <w:t>Provider</w:t>
      </w:r>
      <w:r>
        <w:rPr>
          <w:rFonts w:ascii="Times New Roman" w:cs="Times New Roman" w:eastAsia="Times New Roman" w:hAnsi="Times New Roman"/>
          <w:sz w:val="19"/>
          <w:szCs w:val="19"/>
          <w:color w:val="auto"/>
        </w:rPr>
        <w:t>”), and GeneDx LLC, a Delaware limited liability company (together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with its Affiliates, “</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Capitalized terms used but not defined herein will have the respective meanings ascribed to them in the Merger Agreement (as defined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9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WHEREAS, the parties and/or their Affiliates have entered into that certain Agreement and Plan of Merger and Reorganization dated as of January 14, 2022 (the “</w:t>
      </w:r>
      <w:r>
        <w:rPr>
          <w:rFonts w:ascii="Times New Roman" w:cs="Times New Roman" w:eastAsia="Times New Roman" w:hAnsi="Times New Roman"/>
          <w:sz w:val="20"/>
          <w:szCs w:val="20"/>
          <w:b w:val="1"/>
          <w:bCs w:val="1"/>
          <w:i w:val="1"/>
          <w:iCs w:val="1"/>
          <w:color w:val="auto"/>
        </w:rPr>
        <w:t>Merger Agreement</w:t>
      </w:r>
      <w:r>
        <w:rPr>
          <w:rFonts w:ascii="Times New Roman" w:cs="Times New Roman" w:eastAsia="Times New Roman" w:hAnsi="Times New Roman"/>
          <w:sz w:val="20"/>
          <w:szCs w:val="20"/>
          <w:color w:val="auto"/>
        </w:rPr>
        <w:t>”); and</w:t>
      </w:r>
    </w:p>
    <w:p>
      <w:pPr>
        <w:spacing w:after="0" w:line="16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WHEREAS, pursuant to the Merger Agreement, Recipient and Provider (or their respective Affiliates) agreed that Provider would provide certain Transition Services (as defined below) to Recipient pursuant to the terms and conditions set forth in this Agreement.</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NOW, THEREFORE, in consideration of the foregoing and the mutual covenants, conditions, and provisions contained herein and in the Merger Agreement, and for other good and valuable consideration, the receipt and sufficiency of which are hereby acknowledged, the parties agree as follows:</w:t>
      </w:r>
    </w:p>
    <w:p>
      <w:pPr>
        <w:spacing w:after="0" w:line="14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TRANSITION SERVICES.</w:t>
      </w:r>
    </w:p>
    <w:p>
      <w:pPr>
        <w:spacing w:after="0" w:line="192" w:lineRule="exact"/>
        <w:rPr>
          <w:rFonts w:ascii="Times New Roman" w:cs="Times New Roman" w:eastAsia="Times New Roman" w:hAnsi="Times New Roman"/>
          <w:sz w:val="20"/>
          <w:szCs w:val="20"/>
          <w:color w:val="010000"/>
        </w:rPr>
      </w:pPr>
    </w:p>
    <w:p>
      <w:pPr>
        <w:jc w:val="both"/>
        <w:ind w:firstLine="656"/>
        <w:spacing w:after="0" w:line="206" w:lineRule="auto"/>
        <w:tabs>
          <w:tab w:leader="none" w:pos="1286" w:val="left"/>
        </w:tabs>
        <w:numPr>
          <w:ilvl w:val="1"/>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Scope of Services</w:t>
      </w:r>
      <w:r>
        <w:rPr>
          <w:rFonts w:ascii="Times New Roman" w:cs="Times New Roman" w:eastAsia="Times New Roman" w:hAnsi="Times New Roman"/>
          <w:sz w:val="20"/>
          <w:szCs w:val="20"/>
          <w:color w:val="auto"/>
        </w:rPr>
        <w:t xml:space="preserve">. Provider will provide or cause its Affiliates to provide to Recipient and its Affiliates designated in writing the transition services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(each, a “</w:t>
      </w:r>
      <w:r>
        <w:rPr>
          <w:rFonts w:ascii="Times New Roman" w:cs="Times New Roman" w:eastAsia="Times New Roman" w:hAnsi="Times New Roman"/>
          <w:sz w:val="20"/>
          <w:szCs w:val="20"/>
          <w:b w:val="1"/>
          <w:bCs w:val="1"/>
          <w:i w:val="1"/>
          <w:iCs w:val="1"/>
          <w:color w:val="auto"/>
        </w:rPr>
        <w:t>Transition Service</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Transition Services</w:t>
      </w:r>
      <w:r>
        <w:rPr>
          <w:rFonts w:ascii="Times New Roman" w:cs="Times New Roman" w:eastAsia="Times New Roman" w:hAnsi="Times New Roman"/>
          <w:sz w:val="20"/>
          <w:szCs w:val="20"/>
          <w:color w:val="auto"/>
        </w:rPr>
        <w:t xml:space="preserve">”) during the applicable period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i w:val="1"/>
          <w:iCs w:val="1"/>
          <w:color w:val="auto"/>
        </w:rPr>
        <w:t>Transition Period</w:t>
      </w:r>
      <w:r>
        <w:rPr>
          <w:rFonts w:ascii="Times New Roman" w:cs="Times New Roman" w:eastAsia="Times New Roman" w:hAnsi="Times New Roman"/>
          <w:sz w:val="20"/>
          <w:szCs w:val="20"/>
          <w:color w:val="auto"/>
        </w:rPr>
        <w:t>”). To the extent that any service was provided by Provider or any of its Affiliates in connection with the operation of the Business, in each case during the twelve (12) -month period immediately preceding the Agreement Date (the “</w:t>
      </w:r>
      <w:r>
        <w:rPr>
          <w:rFonts w:ascii="Times New Roman" w:cs="Times New Roman" w:eastAsia="Times New Roman" w:hAnsi="Times New Roman"/>
          <w:sz w:val="20"/>
          <w:szCs w:val="20"/>
          <w:b w:val="1"/>
          <w:bCs w:val="1"/>
          <w:i w:val="1"/>
          <w:iCs w:val="1"/>
          <w:color w:val="auto"/>
        </w:rPr>
        <w:t>Reference Period</w:t>
      </w:r>
      <w:r>
        <w:rPr>
          <w:rFonts w:ascii="Times New Roman" w:cs="Times New Roman" w:eastAsia="Times New Roman" w:hAnsi="Times New Roman"/>
          <w:sz w:val="20"/>
          <w:szCs w:val="20"/>
          <w:color w:val="auto"/>
        </w:rPr>
        <w:t xml:space="preserve">”), and such service is not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of the date hereof (an “</w:t>
      </w:r>
      <w:r>
        <w:rPr>
          <w:rFonts w:ascii="Times New Roman" w:cs="Times New Roman" w:eastAsia="Times New Roman" w:hAnsi="Times New Roman"/>
          <w:sz w:val="20"/>
          <w:szCs w:val="20"/>
          <w:b w:val="1"/>
          <w:bCs w:val="1"/>
          <w:i w:val="1"/>
          <w:iCs w:val="1"/>
          <w:color w:val="auto"/>
        </w:rPr>
        <w:t>Omitted Service</w:t>
      </w:r>
      <w:r>
        <w:rPr>
          <w:rFonts w:ascii="Times New Roman" w:cs="Times New Roman" w:eastAsia="Times New Roman" w:hAnsi="Times New Roman"/>
          <w:sz w:val="20"/>
          <w:szCs w:val="20"/>
          <w:color w:val="auto"/>
        </w:rPr>
        <w:t>”) but is identified by Recipient during the Term, and Recipient reasonably determines in good faith that it needs such Omitted Service in connection with the operation of the Business, the parties agree that: (i) such Omitted Service shall, after prior written notice from Recipient to Provider, with a mandatory copy to Provider’s legal counsel (an “</w:t>
      </w:r>
      <w:r>
        <w:rPr>
          <w:rFonts w:ascii="Times New Roman" w:cs="Times New Roman" w:eastAsia="Times New Roman" w:hAnsi="Times New Roman"/>
          <w:sz w:val="20"/>
          <w:szCs w:val="20"/>
          <w:b w:val="1"/>
          <w:bCs w:val="1"/>
          <w:i w:val="1"/>
          <w:iCs w:val="1"/>
          <w:color w:val="auto"/>
        </w:rPr>
        <w:t>Omitted Service Notice</w:t>
      </w:r>
      <w:r>
        <w:rPr>
          <w:rFonts w:ascii="Times New Roman" w:cs="Times New Roman" w:eastAsia="Times New Roman" w:hAnsi="Times New Roman"/>
          <w:sz w:val="20"/>
          <w:szCs w:val="20"/>
          <w:color w:val="auto"/>
        </w:rPr>
        <w:t xml:space="preserve">”), be added to the Transition Services and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be amended to include such Omitted Service; and (ii) Provider shall provide or cause to be provided such Omitted Service as soon as reasonably practicable but in any event within five (5) days after receipt of the Omitted Service Notice. Any such Omitted Service shall constitute a Transition Service under this Agreement and be subject in all respects to the provisions of this Agreement, as if fully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fees for such Omitted Service shall be Provider’s actual, direct cost, without markup, with the intent that such costs are consistent with fair market value principles to comply with the applicable safe harbor regulations under the Medicare and Medicaid anti-kickback statute as set forth in 42 CFR Section 1002.952, and if applicable, consistent with the methodology used to calculate the Fees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3(a)</w:t>
      </w:r>
      <w:r>
        <w:rPr>
          <w:rFonts w:ascii="Times New Roman" w:cs="Times New Roman" w:eastAsia="Times New Roman" w:hAnsi="Times New Roman"/>
          <w:sz w:val="20"/>
          <w:szCs w:val="20"/>
          <w:color w:val="auto"/>
        </w:rPr>
        <w:t xml:space="preserve">) for similar Transition Services. The parties agree that any amendment to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add an Omitted Service shall not require a separate signed agreement of the parties; instead, the Omitted Service Notice with respect to such Omitted Service shall include a supplement to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indicating the revision, and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as so supplemented, shall be deemed to be part of this Agreement from and after the date thereof. If Provider determines in good faith that the service identified by Recipient in an Omitted Service does not qualify as an Omitted Service under the terms of this Agreement, Provider may object to the Omitted Service Notice by delivering a notice to Recipient that describes in reasonable detail the basis for Provider’s determination that such service does not qualify as an Omitted Service as defined hereunder (such notice, an “</w:t>
      </w:r>
      <w:r>
        <w:rPr>
          <w:rFonts w:ascii="Times New Roman" w:cs="Times New Roman" w:eastAsia="Times New Roman" w:hAnsi="Times New Roman"/>
          <w:sz w:val="20"/>
          <w:szCs w:val="20"/>
          <w:b w:val="1"/>
          <w:bCs w:val="1"/>
          <w:i w:val="1"/>
          <w:iCs w:val="1"/>
          <w:color w:val="auto"/>
        </w:rPr>
        <w:t>Omitted Service Objection Notice</w:t>
      </w:r>
      <w:r>
        <w:rPr>
          <w:rFonts w:ascii="Times New Roman" w:cs="Times New Roman" w:eastAsia="Times New Roman" w:hAnsi="Times New Roman"/>
          <w:sz w:val="20"/>
          <w:szCs w:val="20"/>
          <w:color w:val="auto"/>
        </w:rPr>
        <w:t>”) on or prior to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immediately following Provider’s receipt of such Omitted Service Notice. If Provider shall have timely delivered to Recipient an Omitted Service Objection Notice, then Recipient and Provider shall promptly negotiate in good faith to resolve the objection set forth in such Omitted Service Objection Notice. Recipient may designate in a writing delivered to Provider any of Recipient’s Affiliates and/or third-party contractors to receive and/or otherwise interact with Provider with respect to any one or more of the Transition Services provided by Provider. To the extent that an Affiliate of Provider is providing the applicable Transition Services, “Provider”</w:t>
      </w:r>
    </w:p>
    <w:p>
      <w:pPr>
        <w:sectPr>
          <w:pgSz w:w="11900" w:h="16838" w:orient="portrait"/>
          <w:cols w:equalWidth="0" w:num="1">
            <w:col w:w="11240"/>
          </w:cols>
          <w:pgMar w:left="320" w:top="1395" w:right="339" w:bottom="1440" w:gutter="0" w:footer="0" w:header="0"/>
        </w:sectPr>
      </w:pPr>
    </w:p>
    <w:bookmarkStart w:id="10" w:name="page11"/>
    <w:bookmarkEnd w:id="10"/>
    <w:p>
      <w:pPr>
        <w:ind w:right="20"/>
        <w:spacing w:after="0"/>
        <w:rPr>
          <w:sz w:val="20"/>
          <w:szCs w:val="20"/>
          <w:color w:val="auto"/>
        </w:rPr>
      </w:pPr>
      <w:r>
        <w:rPr>
          <w:rFonts w:ascii="Times New Roman" w:cs="Times New Roman" w:eastAsia="Times New Roman" w:hAnsi="Times New Roman"/>
          <w:sz w:val="20"/>
          <w:szCs w:val="20"/>
          <w:color w:val="auto"/>
        </w:rPr>
        <w:t>with respect to such Transition Services means the Affiliate of Provider performing the Transition Services and Provider shall cause its Affiliate to provide such Transition Services.</w:t>
      </w:r>
    </w:p>
    <w:p>
      <w:pPr>
        <w:spacing w:after="0" w:line="148" w:lineRule="exact"/>
        <w:rPr>
          <w:sz w:val="20"/>
          <w:szCs w:val="20"/>
          <w:color w:val="auto"/>
        </w:rPr>
      </w:pPr>
    </w:p>
    <w:p>
      <w:pPr>
        <w:jc w:val="both"/>
        <w:ind w:firstLine="656"/>
        <w:spacing w:after="0" w:line="230" w:lineRule="auto"/>
        <w:tabs>
          <w:tab w:leader="none" w:pos="1284"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Provider or any of its Affiliates receives payment of a receivable that should have been paid to the Company Group, Provider shall notify Recipient and deliver such payment to Recipient reasonably promptly following the receipt thereof. Recipient may direct all relevant trade debtors to make payment on such receivables to Recipient’s specified address and/or account.</w:t>
      </w:r>
    </w:p>
    <w:p>
      <w:pPr>
        <w:spacing w:after="0" w:line="148" w:lineRule="exact"/>
        <w:rPr>
          <w:rFonts w:ascii="Times New Roman" w:cs="Times New Roman" w:eastAsia="Times New Roman" w:hAnsi="Times New Roman"/>
          <w:sz w:val="20"/>
          <w:szCs w:val="20"/>
          <w:color w:val="010000"/>
        </w:rPr>
      </w:pPr>
    </w:p>
    <w:p>
      <w:pPr>
        <w:jc w:val="both"/>
        <w:ind w:firstLine="656"/>
        <w:spacing w:after="0" w:line="212" w:lineRule="auto"/>
        <w:tabs>
          <w:tab w:leader="none" w:pos="1286"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Provider shall provide, or cause to be provided, to Recipient and the Surviving Entity, as soon as reasonably practicable after written request therefor, reasonable access during normal business hours, to its and its Affiliates’ employees (without unreasonable disruption of employment) and to such books, records, documents, and files in the possession or under the control of Provider or its Affiliates that Recipient or the Surviving Entity reasonably needs (i) to comply with reporting, disclosure, filing or other similar requirements imposed on Recipient, the Surviving Entity or their respective Affiliates under applicable Laws by a Governmental Authority having jurisdiction over Recipient, the Surviving Entity or its Affiliates, (ii) for purposes of billing and payment tracking concerning the Business, or (iii) in connection with any Proceeding related to the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Provider shall not be required to provide access to or disclose information under this Section 1(c) where such access or disclosure would violate any Law or agreement, or waive any attorney client or other similar privilege, and may redact information regarding itself or its Subsidiaries or otherwise not relating to the Business, and, in the event such provision of information could reasonably be expected to violate any Law or agreement or waive any attorney client or other similar privilege, the parties shall take all reasonable measures to permit the compliance with the obligations set forth in this </w:t>
      </w:r>
      <w:r>
        <w:rPr>
          <w:rFonts w:ascii="Times New Roman" w:cs="Times New Roman" w:eastAsia="Times New Roman" w:hAnsi="Times New Roman"/>
          <w:sz w:val="20"/>
          <w:szCs w:val="20"/>
          <w:u w:val="single" w:color="auto"/>
          <w:color w:val="auto"/>
        </w:rPr>
        <w:t>Section 1(c)</w:t>
      </w:r>
      <w:r>
        <w:rPr>
          <w:rFonts w:ascii="Times New Roman" w:cs="Times New Roman" w:eastAsia="Times New Roman" w:hAnsi="Times New Roman"/>
          <w:sz w:val="20"/>
          <w:szCs w:val="20"/>
          <w:color w:val="auto"/>
        </w:rPr>
        <w:t xml:space="preserve"> in a manner that avoids any such harm or consequence.</w:t>
      </w:r>
    </w:p>
    <w:p>
      <w:pPr>
        <w:spacing w:after="0" w:line="154" w:lineRule="exact"/>
        <w:rPr>
          <w:rFonts w:ascii="Times New Roman" w:cs="Times New Roman" w:eastAsia="Times New Roman" w:hAnsi="Times New Roman"/>
          <w:sz w:val="20"/>
          <w:szCs w:val="20"/>
          <w:color w:val="010000"/>
        </w:rPr>
      </w:pPr>
    </w:p>
    <w:p>
      <w:pPr>
        <w:jc w:val="both"/>
        <w:ind w:firstLine="656"/>
        <w:spacing w:after="0" w:line="212" w:lineRule="auto"/>
        <w:tabs>
          <w:tab w:leader="none" w:pos="1284"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otherwise provided herein, Provider shall, and shall cause its Affiliates to, retain the books, records, documents, instruments, accounts, correspondence, writings, evidences of title and other papers relating to the Business, Seller Contracts, the Company Group and Transition Services (the “</w:t>
      </w:r>
      <w:r>
        <w:rPr>
          <w:rFonts w:ascii="Times New Roman" w:cs="Times New Roman" w:eastAsia="Times New Roman" w:hAnsi="Times New Roman"/>
          <w:sz w:val="20"/>
          <w:szCs w:val="20"/>
          <w:b w:val="1"/>
          <w:bCs w:val="1"/>
          <w:i w:val="1"/>
          <w:iCs w:val="1"/>
          <w:color w:val="auto"/>
        </w:rPr>
        <w:t>Books and Records</w:t>
      </w:r>
      <w:r>
        <w:rPr>
          <w:rFonts w:ascii="Times New Roman" w:cs="Times New Roman" w:eastAsia="Times New Roman" w:hAnsi="Times New Roman"/>
          <w:sz w:val="20"/>
          <w:szCs w:val="20"/>
          <w:color w:val="auto"/>
        </w:rPr>
        <w:t>”) in their respective possession or control for a reasonable period of time, as set forth in their regular document retention policies, as such may be amended from time to time, as may be required by Law, but in any event at least until the first anniversary of the expiration or termination of this Agreement and the Transition Services. Prior to any destruction or disposal of any Books and Records (i) Provider shall provide no less than thirty (30) days prior written notice to Recipient of any such proposed destruction or disposal (which notice shall specify in reasonable detail which of the Books and Records is proposed to be so destroyed or disposed of) and (ii) if Recipient shall request in writing prior to the scheduled date for such destruction or disposal that any of the information proposed to be destroyed or disposed of be delivered to Recipient, Provider shall, as promptly as practicable, arrange for the delivery of such of the Books and Records as was requested by Recipient, at Recipient’s sole expense.</w:t>
      </w:r>
    </w:p>
    <w:p>
      <w:pPr>
        <w:spacing w:after="0" w:line="169"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Provider shall, at its sole cost and expense:</w:t>
      </w:r>
    </w:p>
    <w:p>
      <w:pPr>
        <w:spacing w:after="0" w:line="188" w:lineRule="exact"/>
        <w:rPr>
          <w:rFonts w:ascii="Times New Roman" w:cs="Times New Roman" w:eastAsia="Times New Roman" w:hAnsi="Times New Roman"/>
          <w:sz w:val="20"/>
          <w:szCs w:val="20"/>
          <w:color w:val="010000"/>
        </w:rPr>
      </w:pPr>
    </w:p>
    <w:p>
      <w:pPr>
        <w:jc w:val="both"/>
        <w:ind w:left="660" w:firstLine="283"/>
        <w:spacing w:after="0" w:line="226" w:lineRule="auto"/>
        <w:tabs>
          <w:tab w:leader="none" w:pos="1206"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Company IT Assets that are owned by Seller or its Affiliates or any party other than the Company Group, transfer, on Closing Date, ownership, and within sixty (60) days following Closing Date, possession of such Company IT Assets to Recipient or its designee;</w:t>
      </w:r>
    </w:p>
    <w:p>
      <w:pPr>
        <w:spacing w:after="0" w:line="160" w:lineRule="exact"/>
        <w:rPr>
          <w:rFonts w:ascii="Times New Roman" w:cs="Times New Roman" w:eastAsia="Times New Roman" w:hAnsi="Times New Roman"/>
          <w:sz w:val="20"/>
          <w:szCs w:val="20"/>
          <w:color w:val="auto"/>
        </w:rPr>
      </w:pPr>
    </w:p>
    <w:p>
      <w:pPr>
        <w:jc w:val="both"/>
        <w:ind w:left="660" w:firstLine="200"/>
        <w:spacing w:after="0" w:line="213" w:lineRule="auto"/>
        <w:tabs>
          <w:tab w:leader="none" w:pos="1157"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Company IT Assets that are not owned by Seller, e.g., leased or licensed to Seller or its Affiliates, within ninety (90) days following Closing Date, Recipient shall provide written notice to Provider specifying for each of such Company IT Assets whether Recipient does or does not desire to continue using such Company IT Asset after the end of the Transition Period. With respect to those Company IT Assets for which Recipient provides notice that it desires to continue using such Company IT Asset after the end of the Transition Period, Provider shall use commercially reasonable efforts to either: (A) obtain the Consents, novations or amendments that are necessary under the Seller Contracts that are applicable with respect to such Company IT Assets to transfer to Recipient or its designee the portion of such Seller Contracts for such Company IT Assets, or (B) in cooperation with Recipient, obtain a separate new Contract with respect to such Company IT Assets in the name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0"/>
          <w:szCs w:val="20"/>
          <w:color w:val="auto"/>
        </w:rPr>
        <w:t>Recipient or its designee, or (C) in cooperation with Recipient, implement arrangements (including subleasing, sublicensing or</w:t>
      </w:r>
    </w:p>
    <w:p>
      <w:pPr>
        <w:ind w:left="660"/>
        <w:spacing w:after="0" w:line="215" w:lineRule="auto"/>
        <w:rPr>
          <w:sz w:val="20"/>
          <w:szCs w:val="20"/>
          <w:color w:val="auto"/>
        </w:rPr>
      </w:pPr>
      <w:r>
        <w:rPr>
          <w:rFonts w:ascii="Times New Roman" w:cs="Times New Roman" w:eastAsia="Times New Roman" w:hAnsi="Times New Roman"/>
          <w:sz w:val="19"/>
          <w:szCs w:val="19"/>
          <w:color w:val="auto"/>
        </w:rPr>
        <w:t>subcontracting) to provide to Recipient or its designee the underlying rights and benefits under the Seller Contracts pertaining to such Company IT Assets, and for Recipient or its designee to assume all obligations thereunder applicable with respect to Recipients use</w:t>
      </w: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of such Company IT Assets, in the case of each of (ii)(A), (ii)(B) and (ii)(C), on substantially similar terms as the portion of the Seller Contracts with respect thereto;</w:t>
      </w:r>
    </w:p>
    <w:p>
      <w:pPr>
        <w:spacing w:after="0" w:line="149" w:lineRule="exact"/>
        <w:rPr>
          <w:sz w:val="20"/>
          <w:szCs w:val="20"/>
          <w:color w:val="auto"/>
        </w:rPr>
      </w:pPr>
    </w:p>
    <w:p>
      <w:pPr>
        <w:jc w:val="both"/>
        <w:ind w:left="660" w:firstLine="241"/>
        <w:spacing w:after="0" w:line="230" w:lineRule="auto"/>
        <w:tabs>
          <w:tab w:leader="none" w:pos="1263"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obtain, during the Transition Period, Consents related to the change in control of the Company Group that are necessary under any Contracts that are applicable with respect to Company Licensed IP that have not been obtained prior to Closing and continue such efforts in the event such Consents have not been obtained within such period; and</w:t>
      </w:r>
    </w:p>
    <w:p>
      <w:pPr>
        <w:spacing w:after="0" w:line="148" w:lineRule="exact"/>
        <w:rPr>
          <w:rFonts w:ascii="Times New Roman" w:cs="Times New Roman" w:eastAsia="Times New Roman" w:hAnsi="Times New Roman"/>
          <w:sz w:val="20"/>
          <w:szCs w:val="20"/>
          <w:color w:val="auto"/>
        </w:rPr>
      </w:pPr>
    </w:p>
    <w:p>
      <w:pPr>
        <w:ind w:left="1180" w:hanging="326"/>
        <w:spacing w:after="0"/>
        <w:tabs>
          <w:tab w:leader="none" w:pos="11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Closing Date, transfer to Recipient or its designee all equipment listed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 xml:space="preserve">Provider represents and warrants that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sets forth a complete list of all Company IT Assets that are owned by, leased or</w:t>
      </w:r>
    </w:p>
    <w:p>
      <w:pPr>
        <w:ind w:left="660"/>
        <w:spacing w:after="0" w:line="215" w:lineRule="auto"/>
        <w:rPr>
          <w:sz w:val="20"/>
          <w:szCs w:val="20"/>
          <w:color w:val="auto"/>
        </w:rPr>
      </w:pPr>
      <w:r>
        <w:rPr>
          <w:rFonts w:ascii="Times New Roman" w:cs="Times New Roman" w:eastAsia="Times New Roman" w:hAnsi="Times New Roman"/>
          <w:sz w:val="19"/>
          <w:szCs w:val="19"/>
          <w:color w:val="auto"/>
        </w:rPr>
        <w:t>licensed to Seller or its Affiliates including all Company IT Assets that have been identified as of the Effective Date, listing for each such Company IT Asset the corresponding Contracts with respect to the Company Licensed IP that have been identified as of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Effective Date to require Consents with respect to the Transactions due to a change of control, assignment of a Contract, or</w:t>
      </w:r>
    </w:p>
    <w:p>
      <w:pPr>
        <w:ind w:left="660"/>
        <w:spacing w:after="0" w:line="215" w:lineRule="auto"/>
        <w:rPr>
          <w:sz w:val="20"/>
          <w:szCs w:val="20"/>
          <w:color w:val="auto"/>
        </w:rPr>
      </w:pPr>
      <w:r>
        <w:rPr>
          <w:rFonts w:ascii="Times New Roman" w:cs="Times New Roman" w:eastAsia="Times New Roman" w:hAnsi="Times New Roman"/>
          <w:sz w:val="19"/>
          <w:szCs w:val="19"/>
          <w:color w:val="auto"/>
        </w:rPr>
        <w:t>otherwise, such Exhibit C being subject to further supplementation during the Transition Period in the event that additional Company IT Assets or Contracts are identified after the Effective Date, it being understood that Provider shall complete such Exhibit C by the</w:t>
      </w:r>
    </w:p>
    <w:p>
      <w:pPr>
        <w:ind w:left="660"/>
        <w:spacing w:after="0" w:line="228" w:lineRule="auto"/>
        <w:rPr>
          <w:sz w:val="20"/>
          <w:szCs w:val="20"/>
          <w:color w:val="auto"/>
        </w:rPr>
      </w:pPr>
      <w:r>
        <w:rPr>
          <w:rFonts w:ascii="Times New Roman" w:cs="Times New Roman" w:eastAsia="Times New Roman" w:hAnsi="Times New Roman"/>
          <w:sz w:val="20"/>
          <w:szCs w:val="20"/>
          <w:color w:val="auto"/>
        </w:rPr>
        <w:t>end of the Transition Period. Provider shall deliver to Recipient all such Contracts within thirty (30) days following the Effective Date, and in the event of any supplementation, at least ninety (90) days prior to the end of the applicable Transition Period.</w:t>
      </w:r>
    </w:p>
    <w:p>
      <w:pPr>
        <w:spacing w:after="0" w:line="149" w:lineRule="exact"/>
        <w:rPr>
          <w:sz w:val="20"/>
          <w:szCs w:val="20"/>
          <w:color w:val="auto"/>
        </w:rPr>
      </w:pPr>
    </w:p>
    <w:p>
      <w:pPr>
        <w:jc w:val="both"/>
        <w:ind w:firstLine="656"/>
        <w:spacing w:after="0" w:line="211" w:lineRule="auto"/>
        <w:tabs>
          <w:tab w:leader="none" w:pos="1284" w:val="left"/>
        </w:tabs>
        <w:numPr>
          <w:ilvl w:val="0"/>
          <w:numId w:val="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Prior to the expiration or termination of this Agreement (or in the event a Transition Service is terminated earlier, with respect to such Transition Service, prior to the termination of such Transition Service), Provider shall transfer to Recipient or its designee (i) all data, know-how and other forms of technology owned by Seller or its Affiliates, and (ii) subject to (for Company Data and confidential information collected and Processed by the Company Group in the Business of the Company Group) obtaining any necessary Consents, substitutions, novations or amendments required under the applicable Seller Contract for same, all data, know-how and other forms of technology forming part of the Company Licensed IP, in the case of each of (i) and (ii) above, that are necessary for the conduct of the Business as conducted as of the Closing or the activities otherwise contemplated to be performed under this Agreement (“</w:t>
      </w:r>
      <w:r>
        <w:rPr>
          <w:rFonts w:ascii="Times New Roman" w:cs="Times New Roman" w:eastAsia="Times New Roman" w:hAnsi="Times New Roman"/>
          <w:sz w:val="20"/>
          <w:szCs w:val="20"/>
          <w:b w:val="1"/>
          <w:bCs w:val="1"/>
          <w:i w:val="1"/>
          <w:iCs w:val="1"/>
          <w:color w:val="auto"/>
        </w:rPr>
        <w:t>Technology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At least ninety (90) days prior to the expiration or termination of this Agreement (or in the event a Transition Service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terminated earlier, with respect to such Transition Service, at least ninety (90) days prior to the termination of such Transition Service), Provider and Recipient shall jointly prepare an exit services plan for each Transition Service, which plan shall be set forth in a separate Transitional Service Level Agreement mutually agreeable to Provider and Recipient. Fees and costs associated with such exit services, together with any out-of-pocket expenses and applicable Taxes, shall be borne by Provider.</w:t>
      </w:r>
    </w:p>
    <w:p>
      <w:pPr>
        <w:spacing w:after="0" w:line="165"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94" w:val="left"/>
        </w:tabs>
        <w:numPr>
          <w:ilvl w:val="0"/>
          <w:numId w:val="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Standard of Service</w:t>
      </w:r>
      <w:r>
        <w:rPr>
          <w:rFonts w:ascii="Times New Roman" w:cs="Times New Roman" w:eastAsia="Times New Roman" w:hAnsi="Times New Roman"/>
          <w:sz w:val="20"/>
          <w:szCs w:val="20"/>
          <w:color w:val="auto"/>
        </w:rPr>
        <w:t xml:space="preserve">. Provider shall perform or cause to be performed all Transition Services in good faith, using at least the same level of quality and degree of care as used by it in performing such services for the Business during the Reference Period, but in no event less than a reasonable level, quality and degree of care, in each case subject to any specific standards or service levels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Provider shall provide, or cause to be provided the Transition Services, and shall direct the Third Party Providers to provide the Transition Services, in all material respects in accordance with all applicable Laws (including specifically all applicable Health Care Laws and Privacy Laws), using substantially the same degree of skill, quality and care utilized by Provider in performing such activities for the Business during the Reference Period. Provider will assign sufficient resources and qualified personnel as are reasonably required to perform the Transition Services in accordance with the standards set forth in this Agreement; provided, that, Provider shall not be responsible for delays caused by Recipient’s failure to perform the functions outlined as Recipient’s responsibility under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in a timely manner, nor shall Provider have any responsibility for the failure of the Transition Services to comply with applicable Laws due to Recipient’s failure to comply with such Laws or Recipient’s failure to notify Provider of relevant facts or circumstances known to Recipient which are reasonably required for Provider in order to comply with applicable Laws in the provision of the Transition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12" w:name="page13"/>
    <w:bookmarkEnd w:id="12"/>
    <w:p>
      <w:pPr>
        <w:ind w:left="660" w:hanging="652"/>
        <w:spacing w:after="0"/>
        <w:tabs>
          <w:tab w:leader="none" w:pos="660" w:val="left"/>
        </w:tabs>
        <w:numPr>
          <w:ilvl w:val="0"/>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COOPERATION.</w:t>
      </w:r>
    </w:p>
    <w:p>
      <w:pPr>
        <w:spacing w:after="0" w:line="192" w:lineRule="exact"/>
        <w:rPr>
          <w:rFonts w:ascii="Times New Roman" w:cs="Times New Roman" w:eastAsia="Times New Roman" w:hAnsi="Times New Roman"/>
          <w:sz w:val="20"/>
          <w:szCs w:val="20"/>
          <w:color w:val="010000"/>
        </w:rPr>
      </w:pPr>
    </w:p>
    <w:p>
      <w:pPr>
        <w:jc w:val="both"/>
        <w:ind w:firstLine="656"/>
        <w:spacing w:after="0" w:line="208" w:lineRule="auto"/>
        <w:tabs>
          <w:tab w:leader="none" w:pos="1286" w:val="left"/>
        </w:tabs>
        <w:numPr>
          <w:ilvl w:val="1"/>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xml:space="preserve">. The parties will use reasonable efforts to cooperate with each other in all matters relating to the provision and receipt of the Transition Services. Subject to the terms and conditions set forth herein, such cooperation will include exchanging information and providing necessary access to people, equipment and systems, and using good faith efforts to mitigate problems with the work environment interfering with the performance of the Transition Services required hereunder. Subject to compliance with applicable Privacy Laws and other applicable Laws as well as Provider’s and/or Provider’s Affiliates’ information and physical security policies (including policies with respect to protection of proprietary information and other policies regarding the use of computing resources), confidentiality requirements, privacy policies and other published policies as in effect from time to time and, in each case as to such policies, as made available to Recipient, Provider shall provide, or cause to be provided, to Recipient access to Provider’s and/or its Affiliates’ or, subject to obtaining the required Consents listed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from the applicable Third Party Providers (provided that Provider shall use its commercially reasonable efforts to obtain such Consents) and compliance with such Third Party Provider’s information security, acceptable use and/or other requirements, any Third Party Provider’s intranet or other computer software, computer networks, hardware, technology or computer-based resources (including third-Person services, e-mail and access to computer networks, database and equipment), in each case, made available to Recipient (“</w:t>
      </w:r>
      <w:r>
        <w:rPr>
          <w:rFonts w:ascii="Times New Roman" w:cs="Times New Roman" w:eastAsia="Times New Roman" w:hAnsi="Times New Roman"/>
          <w:sz w:val="20"/>
          <w:szCs w:val="20"/>
          <w:b w:val="1"/>
          <w:bCs w:val="1"/>
          <w:i w:val="1"/>
          <w:iCs w:val="1"/>
          <w:color w:val="auto"/>
        </w:rPr>
        <w:t>Required Technology</w:t>
      </w:r>
      <w:r>
        <w:rPr>
          <w:rFonts w:ascii="Times New Roman" w:cs="Times New Roman" w:eastAsia="Times New Roman" w:hAnsi="Times New Roman"/>
          <w:sz w:val="20"/>
          <w:szCs w:val="20"/>
          <w:color w:val="auto"/>
        </w:rPr>
        <w:t xml:space="preserve">”) to the extent that access by Provider or its Affiliates was necessary for Provider’s or its Affiliates’ conduct of the Business prior to the Closing and such access by Recipient is reasonably necessary for the receipt of Transition Services hereunder, it being understood that such access shall not be required to be provided to Recipient if receipt of the Transition Services by Recipient can be reasonably accomplished through Provider’s or its Affiliates’ own access to such Required Technology in connection with providing the Transition Services. Provider represents and warrants that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sets forth the complete list of all Consents required from Third Party Providers for access to Required Technology. To the extent Provider or any Third Party Provider accesses Recipient’s Confidential Information or Personal Data through Required Technology, they shall comply with Privacy Laws and applicable Laws, Recipient’s corporate information and physical security policies (including policies with respect to protection of proprietary information and other policies regarding the use of computing resources), confidentiality requirements, privacy policies and other published policies as in effect from time to time</w:t>
      </w:r>
    </w:p>
    <w:p>
      <w:pPr>
        <w:spacing w:after="0" w:line="178"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84" w:val="left"/>
        </w:tabs>
        <w:numPr>
          <w:ilvl w:val="1"/>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Access and Confidentiality.</w:t>
      </w:r>
      <w:r>
        <w:rPr>
          <w:rFonts w:ascii="Times New Roman" w:cs="Times New Roman" w:eastAsia="Times New Roman" w:hAnsi="Times New Roman"/>
          <w:sz w:val="20"/>
          <w:szCs w:val="20"/>
          <w:color w:val="auto"/>
        </w:rPr>
        <w:t xml:space="preserve"> While accessing any data processing or communications services or facilities of Recipient, Company Group and Surviving Entity and while on the premises thereof, Provider will, and will cause its Affiliates and its subcontractors to, comply in all material respects with Recipient’s corporate information and physical security policies (including policies with respect to protection of proprietary information and other policies regarding the use of computing resources), confidentiality requirements, privacy policies and other published policies as in effect from time to time, and in each case to the extent copies of which and any amendments thereof have been delivered by Recipient to Provider prior to such access.</w:t>
      </w:r>
    </w:p>
    <w:p>
      <w:pPr>
        <w:spacing w:after="0" w:line="162"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6" w:val="left"/>
        </w:tabs>
        <w:numPr>
          <w:ilvl w:val="1"/>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Administration and Primary Points of Contact</w:t>
      </w:r>
      <w:r>
        <w:rPr>
          <w:rFonts w:ascii="Times New Roman" w:cs="Times New Roman" w:eastAsia="Times New Roman" w:hAnsi="Times New Roman"/>
          <w:sz w:val="20"/>
          <w:szCs w:val="20"/>
          <w:color w:val="auto"/>
        </w:rPr>
        <w:t>. Each of the parties will appoint a representative to serve as the main point of contact for such party for purposes of this Agreement. Each party shall appoint individuals to act as the primary points of operational contact for the administration and operation of each of the Transition Services under this Agreement, as follows:</w:t>
      </w:r>
    </w:p>
    <w:p>
      <w:pPr>
        <w:spacing w:after="0" w:line="160"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42" w:val="left"/>
        </w:tabs>
        <w:numPr>
          <w:ilvl w:val="2"/>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individual appointed by Recipient as the primary point of operational contact with respect to a given Transition Service (a “</w:t>
      </w:r>
      <w:r>
        <w:rPr>
          <w:rFonts w:ascii="Times New Roman" w:cs="Times New Roman" w:eastAsia="Times New Roman" w:hAnsi="Times New Roman"/>
          <w:sz w:val="20"/>
          <w:szCs w:val="20"/>
          <w:b w:val="1"/>
          <w:bCs w:val="1"/>
          <w:i w:val="1"/>
          <w:iCs w:val="1"/>
          <w:color w:val="auto"/>
        </w:rPr>
        <w:t>Recipient Contract Manager</w:t>
      </w:r>
      <w:r>
        <w:rPr>
          <w:rFonts w:ascii="Times New Roman" w:cs="Times New Roman" w:eastAsia="Times New Roman" w:hAnsi="Times New Roman"/>
          <w:sz w:val="20"/>
          <w:szCs w:val="20"/>
          <w:color w:val="auto"/>
        </w:rPr>
        <w:t xml:space="preserve">”) shall have overall operational responsibility for coordinating, on behalf of Recipient, all activities undertaken by Recipient and any of its designees hereunder with respect to such Transition Service, acting as a day-to-day contact with the corresponding Provider Contract Manager and making available to Provider and any applicable Third Party Provider the data, facilities, resources and other support services from Recipient required for Provider to be able to provide such Transition Service in accordance with the requirements of this Agreement. The initial Recipient Contract Manager for each Transition Service is identified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in the description of such Transition Service. Recipient may change a Recipient Contract Manager from time to time upon written notice to Provider via e-mail with receipt confirmed. Recipient shall use commercially reasonable efforts to provide at least thirty (30) days prior written notice of any such change.</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43" w:val="left"/>
        </w:tabs>
        <w:numPr>
          <w:ilvl w:val="2"/>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individual appointed by Provider as the primary point of operational contact with respect to a given Transition Service (a “</w:t>
      </w:r>
      <w:r>
        <w:rPr>
          <w:rFonts w:ascii="Times New Roman" w:cs="Times New Roman" w:eastAsia="Times New Roman" w:hAnsi="Times New Roman"/>
          <w:sz w:val="20"/>
          <w:szCs w:val="20"/>
          <w:b w:val="1"/>
          <w:bCs w:val="1"/>
          <w:i w:val="1"/>
          <w:iCs w:val="1"/>
          <w:color w:val="auto"/>
        </w:rPr>
        <w:t>Provider Contract Manager</w:t>
      </w:r>
      <w:r>
        <w:rPr>
          <w:rFonts w:ascii="Times New Roman" w:cs="Times New Roman" w:eastAsia="Times New Roman" w:hAnsi="Times New Roman"/>
          <w:sz w:val="20"/>
          <w:szCs w:val="20"/>
          <w:color w:val="auto"/>
        </w:rPr>
        <w:t>”) shall have overall operational responsibility for coordinating, on behalf of Provider, all activities undertaken by Provider and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color w:val="auto"/>
        </w:rPr>
        <w:t>Providers hereunder with respect to such Transition Service, including the performance of Provider’s obligations hereunder, the coordinating</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of the provision of such Transition Service with Recipient and acting as a day-to-day contact with the corresponding Recipient Contract Manager with respect to such Transition Service. The initial Provider Contract Manager for each Transition Service is identified in </w:t>
      </w:r>
      <w:r>
        <w:rPr>
          <w:rFonts w:ascii="Times New Roman" w:cs="Times New Roman" w:eastAsia="Times New Roman" w:hAnsi="Times New Roman"/>
          <w:sz w:val="19"/>
          <w:szCs w:val="19"/>
          <w:u w:val="single" w:color="auto"/>
          <w:color w:val="auto"/>
        </w:rPr>
        <w:t>Exhibit A</w:t>
      </w:r>
    </w:p>
    <w:p>
      <w:pPr>
        <w:spacing w:after="0" w:line="211" w:lineRule="auto"/>
        <w:rPr>
          <w:sz w:val="20"/>
          <w:szCs w:val="20"/>
          <w:color w:val="auto"/>
        </w:rPr>
      </w:pPr>
      <w:r>
        <w:rPr>
          <w:rFonts w:ascii="Times New Roman" w:cs="Times New Roman" w:eastAsia="Times New Roman" w:hAnsi="Times New Roman"/>
          <w:sz w:val="20"/>
          <w:szCs w:val="20"/>
          <w:color w:val="auto"/>
        </w:rPr>
        <w:t>in the description of such Transition Service. Provider may change a Provider Contract Manager from time to time upon written notice to</w:t>
      </w:r>
    </w:p>
    <w:p>
      <w:pPr>
        <w:spacing w:after="0" w:line="221" w:lineRule="auto"/>
        <w:rPr>
          <w:sz w:val="20"/>
          <w:szCs w:val="20"/>
          <w:color w:val="auto"/>
        </w:rPr>
      </w:pPr>
      <w:r>
        <w:rPr>
          <w:rFonts w:ascii="Times New Roman" w:cs="Times New Roman" w:eastAsia="Times New Roman" w:hAnsi="Times New Roman"/>
          <w:sz w:val="20"/>
          <w:szCs w:val="20"/>
          <w:color w:val="auto"/>
        </w:rPr>
        <w:t>Recipient via e-mail with receipt confirmed. Provider shall use commercially reasonable efforts to provide at least thirty (30) days prior written notice of any such change.</w:t>
      </w:r>
    </w:p>
    <w:p>
      <w:pPr>
        <w:spacing w:after="0" w:line="162" w:lineRule="exact"/>
        <w:rPr>
          <w:sz w:val="20"/>
          <w:szCs w:val="20"/>
          <w:color w:val="auto"/>
        </w:rPr>
      </w:pPr>
    </w:p>
    <w:p>
      <w:pPr>
        <w:jc w:val="both"/>
        <w:ind w:firstLine="1304"/>
        <w:spacing w:after="0" w:line="226" w:lineRule="auto"/>
        <w:tabs>
          <w:tab w:leader="none" w:pos="1944" w:val="left"/>
        </w:tabs>
        <w:numPr>
          <w:ilvl w:val="2"/>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Recipient and Provider shall ensure that the applicable Recipient Contract Managers and Provider Contract Managers shall meet in person or telephonically as frequently as necessary or advisable for the performance of the parties’ obligations hereunder.</w:t>
      </w:r>
    </w:p>
    <w:p>
      <w:pPr>
        <w:spacing w:after="0" w:line="156" w:lineRule="exact"/>
        <w:rPr>
          <w:rFonts w:ascii="Times New Roman" w:cs="Times New Roman" w:eastAsia="Times New Roman" w:hAnsi="Times New Roman"/>
          <w:sz w:val="20"/>
          <w:szCs w:val="20"/>
          <w:color w:val="010000"/>
        </w:rPr>
      </w:pPr>
    </w:p>
    <w:p>
      <w:pPr>
        <w:ind w:left="660" w:hanging="652"/>
        <w:spacing w:after="0"/>
        <w:tabs>
          <w:tab w:leader="none" w:pos="660"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FEES AND PAYMENT.</w:t>
      </w:r>
    </w:p>
    <w:p>
      <w:pPr>
        <w:spacing w:after="0" w:line="192"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6" w:val="left"/>
        </w:tabs>
        <w:numPr>
          <w:ilvl w:val="1"/>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As consideration for providing the Transition Services, Recipient will pay to Provider the amount set forth on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for each Transition Service (“</w:t>
      </w:r>
      <w:r>
        <w:rPr>
          <w:rFonts w:ascii="Times New Roman" w:cs="Times New Roman" w:eastAsia="Times New Roman" w:hAnsi="Times New Roman"/>
          <w:sz w:val="20"/>
          <w:szCs w:val="20"/>
          <w:b w:val="1"/>
          <w:bCs w:val="1"/>
          <w:i w:val="1"/>
          <w:iCs w:val="1"/>
          <w:color w:val="auto"/>
        </w:rPr>
        <w:t>Fees</w:t>
      </w:r>
      <w:r>
        <w:rPr>
          <w:rFonts w:ascii="Times New Roman" w:cs="Times New Roman" w:eastAsia="Times New Roman" w:hAnsi="Times New Roman"/>
          <w:sz w:val="20"/>
          <w:szCs w:val="20"/>
          <w:color w:val="auto"/>
        </w:rPr>
        <w:t xml:space="preserve">”) in accordance with the invoicing procedures in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Provider and Recipient acknowledge that Technology Transfer may require incremental resourcing and costs not covered under Fees. Fees for such incremental amounts shall be negotiated in good faith within three (3) months following Closing at Provider’s actual, direct cost, without markup with the intent that such costs are consistent with fair market value principles to comply with the applicable safe harbor regulations under the Medicare and Medicaid anti-kickback statute as set forth in 42 CFR Section 1002.952, and if applicable, consistent with the methodology used to calculate the Fees for similar Transition Services.</w:t>
      </w:r>
    </w:p>
    <w:p>
      <w:pPr>
        <w:spacing w:after="0" w:line="150"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1"/>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Invoicing; Payment</w:t>
      </w:r>
      <w:r>
        <w:rPr>
          <w:rFonts w:ascii="Times New Roman" w:cs="Times New Roman" w:eastAsia="Times New Roman" w:hAnsi="Times New Roman"/>
          <w:sz w:val="20"/>
          <w:szCs w:val="20"/>
          <w:color w:val="auto"/>
        </w:rPr>
        <w:t>. Provider will provide Recipient with accurate monthly invoices that set forth in reasonable detail amounts payable under this Agreement during the applicable calendar month, with such supporting documentation as Recipient may reasonably request. All undisputed Fees will be payable to Provider on a monthly basis within thirty (30) days following Recipient’s receipt of Provider’s accurate monthly invoice. All payments hereunder will be paid in U.S. Dollars and made by wire transfer of immediately available funds to a bank account specified by Provider.</w:t>
      </w:r>
    </w:p>
    <w:p>
      <w:pPr>
        <w:spacing w:after="0" w:line="147" w:lineRule="exact"/>
        <w:rPr>
          <w:rFonts w:ascii="Times New Roman" w:cs="Times New Roman" w:eastAsia="Times New Roman" w:hAnsi="Times New Roman"/>
          <w:sz w:val="20"/>
          <w:szCs w:val="20"/>
          <w:color w:val="010000"/>
        </w:rPr>
      </w:pPr>
    </w:p>
    <w:p>
      <w:pPr>
        <w:jc w:val="both"/>
        <w:ind w:firstLine="656"/>
        <w:spacing w:after="0" w:line="212" w:lineRule="auto"/>
        <w:tabs>
          <w:tab w:leader="none" w:pos="1286" w:val="left"/>
        </w:tabs>
        <w:numPr>
          <w:ilvl w:val="1"/>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Fees are inclusive of any sales, use, value added, services, consumption, excise and other transaction-based taxes assessed in respect of the Transition Services or the associated Fees. Recipient shall not be liable for any of the Taxes that arise in connection with the Transition Services provided under this Agreement and all such Taxes shall be the financial responsibility of Provider, except taxes of Recipient or its Affiliates measured by net income. For the avoidance of doubt, Provider shall be liable for any sales, use or value added Taxes that are owed by any person, including Recipient, in connection with the sale of goods and/or services under this Agreement. In respect of any such sales, use or value added Taxes, Provider shall issue correct invoices to Recipient that comply with local value added Tax, use Tax and sales Tax requirements if and when applicable. Recipient may provide Provider a valid exemption certificate in which case Provider shall not collect the Taxes covered by such certificate. If any Taxes are required to be withheld on any amounts payable by Recipient to Provider, Recipient may deduct such Taxes from the amounts otherwise owing to Provider and pay them to the appropriate taxing authority and such withheld amounts shall be treated for all purposes of this Agreement as having been paid to Provider. Recipient shall use commercially reasonable efforts to cooperate with and assist Provider in obtaining tax certificates or other appropriate documentation evidencing such payment, provided that the responsibility for such documentation shall remain with Provider.</w:t>
      </w:r>
    </w:p>
    <w:p>
      <w:pPr>
        <w:spacing w:after="0" w:line="154"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1"/>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Responsibility for Wages and Fees</w:t>
      </w:r>
      <w:r>
        <w:rPr>
          <w:rFonts w:ascii="Times New Roman" w:cs="Times New Roman" w:eastAsia="Times New Roman" w:hAnsi="Times New Roman"/>
          <w:sz w:val="20"/>
          <w:szCs w:val="20"/>
          <w:color w:val="auto"/>
        </w:rPr>
        <w:t>. For such time as any employees of Provider or any of its Affiliates are providing Transition Services to Recipient under this Agreement, (i) such employees will be employees of Provider (or, as applicable, its Affiliate), and shall not be deemed to be employees of Recipient for any purpose; and (ii) Provider (or, as applicable, its Affiliate) shall be solely responsible for the payment and provision of all wages, bonuses, and commissions, employee benefits, including severance and worker’s compensation, and the withholding and payment of applicable taxes relating to such employment.</w:t>
      </w:r>
    </w:p>
    <w:p>
      <w:pPr>
        <w:spacing w:after="0" w:line="160"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Audit</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42" w:val="left"/>
        </w:tabs>
        <w:numPr>
          <w:ilvl w:val="2"/>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Books and Records. During the Term (as defined below) and for a period of one (1) year thereafter, Provider will maintain complete and accurate books and records with respect to the invoices generated pursuant to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Recipient will have the right, upon no less than thirty (30) days prior written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Provider, to audit these records during Provider’s normal business hours, to verify the invoices. If, upon performing such audit, it is</w:t>
      </w:r>
    </w:p>
    <w:p>
      <w:pPr>
        <w:spacing w:after="0" w:line="204" w:lineRule="auto"/>
        <w:rPr>
          <w:sz w:val="20"/>
          <w:szCs w:val="20"/>
          <w:color w:val="auto"/>
        </w:rPr>
      </w:pPr>
      <w:r>
        <w:rPr>
          <w:rFonts w:ascii="Times New Roman" w:cs="Times New Roman" w:eastAsia="Times New Roman" w:hAnsi="Times New Roman"/>
          <w:sz w:val="20"/>
          <w:szCs w:val="20"/>
          <w:color w:val="auto"/>
        </w:rPr>
        <w:t>determined that Provider has overcharged Recipient by an amount greater than five percent (5%) of the payments due to Provider under this Agreement in the period being audited, then Provider will reimburse Recipient for all reasonable out-of-pocket expenses and costs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audit in addition to its obligation to make full payment under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1304"/>
        <w:spacing w:after="0" w:line="226" w:lineRule="auto"/>
        <w:tabs>
          <w:tab w:leader="none" w:pos="1943"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 Systems. During the Term and for a period of twelve (12) months thereafter, the Provider shall allow access to Recipient, third party service providers, external auditors, or independent external inspectors engaged by Recipient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after consultation with Recipient to agree on a time and date (but in any case within fifteen (15) days from Recipient’s request for such audit), to:</w:t>
      </w:r>
    </w:p>
    <w:p>
      <w:pPr>
        <w:spacing w:after="0" w:line="160" w:lineRule="exact"/>
        <w:rPr>
          <w:rFonts w:ascii="Times New Roman" w:cs="Times New Roman" w:eastAsia="Times New Roman" w:hAnsi="Times New Roman"/>
          <w:sz w:val="20"/>
          <w:szCs w:val="20"/>
          <w:color w:val="010000"/>
        </w:rPr>
      </w:pPr>
    </w:p>
    <w:p>
      <w:pPr>
        <w:ind w:right="20" w:firstLine="1952"/>
        <w:spacing w:after="0" w:line="233" w:lineRule="auto"/>
        <w:tabs>
          <w:tab w:leader="none" w:pos="2580" w:val="left"/>
        </w:tabs>
        <w:numPr>
          <w:ilvl w:val="1"/>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systems and facilities or part thereof at which or from where Recipient is receiving the IT &amp; Cybersecurity services described in Exhibit A (“</w:t>
      </w:r>
      <w:r>
        <w:rPr>
          <w:rFonts w:ascii="Times New Roman" w:cs="Times New Roman" w:eastAsia="Times New Roman" w:hAnsi="Times New Roman"/>
          <w:sz w:val="20"/>
          <w:szCs w:val="20"/>
          <w:b w:val="1"/>
          <w:bCs w:val="1"/>
          <w:i w:val="1"/>
          <w:iCs w:val="1"/>
          <w:color w:val="auto"/>
        </w:rPr>
        <w:t>IT Services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ind w:left="2580" w:hanging="628"/>
        <w:spacing w:after="0"/>
        <w:tabs>
          <w:tab w:leader="none" w:pos="2580" w:val="left"/>
        </w:tabs>
        <w:numPr>
          <w:ilvl w:val="1"/>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interview personnel;</w:t>
      </w:r>
    </w:p>
    <w:p>
      <w:pPr>
        <w:spacing w:after="0" w:line="188" w:lineRule="exact"/>
        <w:rPr>
          <w:rFonts w:ascii="Times New Roman" w:cs="Times New Roman" w:eastAsia="Times New Roman" w:hAnsi="Times New Roman"/>
          <w:sz w:val="20"/>
          <w:szCs w:val="20"/>
          <w:color w:val="010000"/>
        </w:rPr>
      </w:pPr>
    </w:p>
    <w:p>
      <w:pPr>
        <w:ind w:left="2580" w:hanging="628"/>
        <w:spacing w:after="0"/>
        <w:tabs>
          <w:tab w:leader="none" w:pos="2580" w:val="left"/>
        </w:tabs>
        <w:numPr>
          <w:ilvl w:val="1"/>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policies, procedures, processes and controls; and</w:t>
      </w:r>
    </w:p>
    <w:p>
      <w:pPr>
        <w:spacing w:after="0" w:line="175" w:lineRule="exact"/>
        <w:rPr>
          <w:rFonts w:ascii="Times New Roman" w:cs="Times New Roman" w:eastAsia="Times New Roman" w:hAnsi="Times New Roman"/>
          <w:sz w:val="20"/>
          <w:szCs w:val="20"/>
          <w:color w:val="010000"/>
        </w:rPr>
      </w:pPr>
    </w:p>
    <w:p>
      <w:pPr>
        <w:ind w:left="2580" w:hanging="628"/>
        <w:spacing w:after="0"/>
        <w:tabs>
          <w:tab w:leader="none" w:pos="2580" w:val="left"/>
        </w:tabs>
        <w:numPr>
          <w:ilvl w:val="1"/>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data and records;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relating to the IT Services (including any Omitted Service that is an IT Service) for the purpose of performing audits and inspections to verify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examine compliance with the terms of this Agreement; and the cause of any breach of this Agreement (including obligations relating to security); provided that any external auditor and inspectors will comply with Provider’s reasonable requirements regarding security and</w:t>
      </w:r>
    </w:p>
    <w:p>
      <w:pPr>
        <w:spacing w:after="0" w:line="211" w:lineRule="auto"/>
        <w:rPr>
          <w:sz w:val="20"/>
          <w:szCs w:val="20"/>
          <w:color w:val="auto"/>
        </w:rPr>
      </w:pPr>
      <w:r>
        <w:rPr>
          <w:rFonts w:ascii="Times New Roman" w:cs="Times New Roman" w:eastAsia="Times New Roman" w:hAnsi="Times New Roman"/>
          <w:sz w:val="20"/>
          <w:szCs w:val="20"/>
          <w:color w:val="auto"/>
        </w:rPr>
        <w:t>confidentiality and that such activities will not materially disturb or hinder Provider’s business and activities. The costs and expenses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Recipient incurred in the audit shall be for the account of Provider in the event the audit reveals that Provider has not complied with any material obligation under this Agreement. Promptly after the issuance of any audit report or findings, Provider shall upon Recipient’s request</w:t>
      </w:r>
    </w:p>
    <w:p>
      <w:pPr>
        <w:spacing w:after="0" w:line="204" w:lineRule="auto"/>
        <w:rPr>
          <w:sz w:val="20"/>
          <w:szCs w:val="20"/>
          <w:color w:val="auto"/>
        </w:rPr>
      </w:pPr>
      <w:r>
        <w:rPr>
          <w:rFonts w:ascii="Times New Roman" w:cs="Times New Roman" w:eastAsia="Times New Roman" w:hAnsi="Times New Roman"/>
          <w:sz w:val="20"/>
          <w:szCs w:val="20"/>
          <w:color w:val="auto"/>
        </w:rPr>
        <w:t>meet with Recipient to review the audit report and findings. Provider shall undertake reasonable remedial action to promptly address and resolve any deficiencies, concerns and/or recommendations arising out of any audit or inspection. Such action shall be at Provider’s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extent the need for remedial action is attributable to Provider.</w:t>
      </w:r>
    </w:p>
    <w:p>
      <w:pPr>
        <w:spacing w:after="0" w:line="163"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TERM AND TERMINATION.</w:t>
      </w:r>
    </w:p>
    <w:p>
      <w:pPr>
        <w:spacing w:after="0" w:line="179" w:lineRule="exact"/>
        <w:rPr>
          <w:rFonts w:ascii="Times New Roman" w:cs="Times New Roman" w:eastAsia="Times New Roman" w:hAnsi="Times New Roman"/>
          <w:sz w:val="20"/>
          <w:szCs w:val="20"/>
          <w:color w:val="010000"/>
        </w:rPr>
      </w:pPr>
    </w:p>
    <w:p>
      <w:pPr>
        <w:ind w:firstLine="656"/>
        <w:spacing w:after="0"/>
        <w:tabs>
          <w:tab w:leader="none" w:pos="1286" w:val="left"/>
        </w:tabs>
        <w:numPr>
          <w:ilvl w:val="1"/>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Unless earlier terminated, this Agreement is effective beginning on the Effective Date and will remain in effect until termination or expiration of the last to expire Transition Period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1"/>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Termination for Convenience</w:t>
      </w:r>
      <w:r>
        <w:rPr>
          <w:rFonts w:ascii="Times New Roman" w:cs="Times New Roman" w:eastAsia="Times New Roman" w:hAnsi="Times New Roman"/>
          <w:sz w:val="20"/>
          <w:szCs w:val="20"/>
          <w:color w:val="auto"/>
        </w:rPr>
        <w:t xml:space="preserve">. Unless otherwise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Recipient may terminate any or all Transition Service(s), or portion thereof, upon ten (10) days’ written notice to Provider, without further liability or cost to Provider, except that Recipient shall pay, as provided under Section 3, the fees and expenses incurred prior to the effective date of such termination in accordance with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6" w:val="left"/>
        </w:tabs>
        <w:numPr>
          <w:ilvl w:val="1"/>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Either party may terminate this Agreement in the event that the other party materially breaches this Agreement and such material breach remains uncured for thirty (30) days following receipt of written notice of such breach by the non-breaching party.</w:t>
      </w:r>
    </w:p>
    <w:p>
      <w:pPr>
        <w:spacing w:after="0" w:line="144" w:lineRule="exact"/>
        <w:rPr>
          <w:rFonts w:ascii="Times New Roman" w:cs="Times New Roman" w:eastAsia="Times New Roman" w:hAnsi="Times New Roman"/>
          <w:sz w:val="20"/>
          <w:szCs w:val="20"/>
          <w:color w:val="010000"/>
        </w:rPr>
      </w:pPr>
    </w:p>
    <w:p>
      <w:pPr>
        <w:jc w:val="both"/>
        <w:ind w:firstLine="656"/>
        <w:spacing w:after="0" w:line="232" w:lineRule="auto"/>
        <w:tabs>
          <w:tab w:leader="none" w:pos="1284" w:val="left"/>
        </w:tabs>
        <w:numPr>
          <w:ilvl w:val="1"/>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Termination of Services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 respect to any Transition Service, Recipient may terminate or reduce the frequency or amount of such Transition Service, in whole or in part, for any reason or no reason upon providing at least ten (10) days’ prior, written notice to Provider, with no further liability.</w:t>
      </w:r>
    </w:p>
    <w:p>
      <w:pPr>
        <w:spacing w:after="0" w:line="147"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286" w:val="left"/>
        </w:tabs>
        <w:numPr>
          <w:ilvl w:val="1"/>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Extension of Transition Services</w:t>
      </w:r>
      <w:r>
        <w:rPr>
          <w:rFonts w:ascii="Times New Roman" w:cs="Times New Roman" w:eastAsia="Times New Roman" w:hAnsi="Times New Roman"/>
          <w:sz w:val="20"/>
          <w:szCs w:val="20"/>
          <w:color w:val="auto"/>
        </w:rPr>
        <w:t xml:space="preserve">. Upon expiration of the applicable Transition Period, this Agreement will automatically renew for the additional period specified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 the applicable Transition Services or an additional three (3) month period, whichever is greater, with respect to the service subject to such Transition Period, unless Recipient gives notice to Provider of its intent not to extend at least ten (10) days before the expiration of that Transition Period. The Transition Services so performed by Provider after the original Transition Period shall continue to constitute Transition Services under this Agreement and be subject in all respects to the provisions of this Agreement for the duration of the agreed-upon extension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4" w:right="339" w:bottom="1440" w:gutter="0" w:footer="0" w:header="0"/>
        </w:sectPr>
      </w:pPr>
    </w:p>
    <w:bookmarkStart w:id="15" w:name="page16"/>
    <w:bookmarkEnd w:id="15"/>
    <w:p>
      <w:pPr>
        <w:jc w:val="both"/>
        <w:ind w:firstLine="656"/>
        <w:spacing w:after="0" w:line="226" w:lineRule="auto"/>
        <w:tabs>
          <w:tab w:leader="none" w:pos="1291" w:val="left"/>
        </w:tabs>
        <w:numPr>
          <w:ilvl w:val="1"/>
          <w:numId w:val="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1(b)-1(f), 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6(a)</w:t>
      </w:r>
      <w:r>
        <w:rPr>
          <w:rFonts w:ascii="Times New Roman" w:cs="Times New Roman" w:eastAsia="Times New Roman" w:hAnsi="Times New Roman"/>
          <w:sz w:val="20"/>
          <w:szCs w:val="20"/>
          <w:color w:val="auto"/>
        </w:rPr>
        <w:t xml:space="preserve">, 6(c),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will survive any expiration or termination of this Agreement. In connection with the termination of any Transition Service, the provisions of this Agreement not relating solely to such terminated Transition Service shall survive any such termination in accordance with the terms hereof.</w:t>
      </w:r>
    </w:p>
    <w:p>
      <w:pPr>
        <w:spacing w:after="0" w:line="156" w:lineRule="exact"/>
        <w:rPr>
          <w:rFonts w:ascii="Times New Roman" w:cs="Times New Roman" w:eastAsia="Times New Roman" w:hAnsi="Times New Roman"/>
          <w:sz w:val="20"/>
          <w:szCs w:val="20"/>
          <w:color w:val="010000"/>
        </w:rPr>
      </w:pPr>
    </w:p>
    <w:p>
      <w:pPr>
        <w:ind w:left="660" w:hanging="652"/>
        <w:spacing w:after="0"/>
        <w:tabs>
          <w:tab w:leader="none" w:pos="660"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COMPLIANCE.</w:t>
      </w:r>
    </w:p>
    <w:p>
      <w:pPr>
        <w:spacing w:after="0" w:line="192"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286" w:val="left"/>
        </w:tabs>
        <w:numPr>
          <w:ilvl w:val="1"/>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Legal Restrictions</w:t>
      </w:r>
      <w:r>
        <w:rPr>
          <w:rFonts w:ascii="Times New Roman" w:cs="Times New Roman" w:eastAsia="Times New Roman" w:hAnsi="Times New Roman"/>
          <w:sz w:val="20"/>
          <w:szCs w:val="20"/>
          <w:color w:val="auto"/>
        </w:rPr>
        <w:t>. Provider and Recipient will comply in all material respects with all applicable Laws, including but not limited to Privacy Laws, that govern the performance of their respective obligations under this Agreement. Provider and Recipient will maintain commercially reasonable administrative, physical and technical safeguards designed to protect the security, confidentiality and integrity of Protected Health Information and Personal Data and protect Protected Health Information and Personal Data against accidental or unlawful destruction or accidental loss, alteration, unauthorized disclosure or access.</w:t>
      </w:r>
    </w:p>
    <w:p>
      <w:pPr>
        <w:spacing w:after="0" w:line="161"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84" w:val="left"/>
        </w:tabs>
        <w:numPr>
          <w:ilvl w:val="1"/>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Provider and Recipient acknowledges that, in carrying out its obligations under this Agreement, it and its respective employees, affiliates, agents or representatives may access electronic media records and individually identifiable health information maintained by the other party or its patients or customers (the “</w:t>
      </w:r>
      <w:r>
        <w:rPr>
          <w:rFonts w:ascii="Times New Roman" w:cs="Times New Roman" w:eastAsia="Times New Roman" w:hAnsi="Times New Roman"/>
          <w:sz w:val="20"/>
          <w:szCs w:val="20"/>
          <w:b w:val="1"/>
          <w:bCs w:val="1"/>
          <w:i w:val="1"/>
          <w:iCs w:val="1"/>
          <w:color w:val="auto"/>
        </w:rPr>
        <w:t>Protected Health Information</w:t>
      </w:r>
      <w:r>
        <w:rPr>
          <w:rFonts w:ascii="Times New Roman" w:cs="Times New Roman" w:eastAsia="Times New Roman" w:hAnsi="Times New Roman"/>
          <w:sz w:val="20"/>
          <w:szCs w:val="20"/>
          <w:color w:val="auto"/>
        </w:rPr>
        <w:t xml:space="preserve">”). The parties further acknowledge each party will comply with HIPAA and that each party’s access of the other party’s Protected Health Information may necessitate that the parties enter into a “business associate contract” </w:t>
      </w:r>
      <w:r>
        <w:rPr>
          <w:rFonts w:ascii="Times New Roman" w:cs="Times New Roman" w:eastAsia="Times New Roman" w:hAnsi="Times New Roman"/>
          <w:sz w:val="21"/>
          <w:szCs w:val="21"/>
          <w:color w:val="auto"/>
        </w:rPr>
        <w:t>(as described in</w:t>
      </w:r>
      <w:r>
        <w:rPr>
          <w:rFonts w:ascii="Times New Roman" w:cs="Times New Roman" w:eastAsia="Times New Roman" w:hAnsi="Times New Roman"/>
          <w:sz w:val="20"/>
          <w:szCs w:val="20"/>
          <w:color w:val="auto"/>
        </w:rPr>
        <w:t xml:space="preserve"> 45 C.F.R. § 164.504(e)) as required pursuant to HIPAA (whether as a business associate or as a sub-contractor to a business associate). In such event, the parties agree that such business associate contracts will be in substantially the forms attached as Exhibits F and G to this Agreement. Unless addressed separately in such business associate contract(s), each party agrees to promptly notify the other party in the event of any destruction, loss, alteration, unauthorized disclosure or unauthorized access to Protected Health Information of patients of such other party, and the parties will work cooperatively and in good faith to mitigate any damages, claims or liability arising from such an incident. Except for services that are provided under the applicable business associate contract, no employee, agent or representative of a party will be permitted to have access to any electronic system of the other party that stores Protected Health Information.</w:t>
      </w:r>
    </w:p>
    <w:p>
      <w:pPr>
        <w:spacing w:after="0" w:line="165" w:lineRule="exact"/>
        <w:rPr>
          <w:rFonts w:ascii="Times New Roman" w:cs="Times New Roman" w:eastAsia="Times New Roman" w:hAnsi="Times New Roman"/>
          <w:sz w:val="20"/>
          <w:szCs w:val="20"/>
          <w:color w:val="010000"/>
        </w:rPr>
      </w:pPr>
    </w:p>
    <w:p>
      <w:pPr>
        <w:ind w:left="660" w:hanging="652"/>
        <w:spacing w:after="0"/>
        <w:tabs>
          <w:tab w:leader="none" w:pos="660"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INTELLECTUAL PROPERTY.</w:t>
      </w:r>
    </w:p>
    <w:p>
      <w:pPr>
        <w:spacing w:after="0" w:line="192"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6" w:val="left"/>
        </w:tabs>
        <w:numPr>
          <w:ilvl w:val="1"/>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Transfer</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6(b)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6(c)</w:t>
      </w:r>
      <w:r>
        <w:rPr>
          <w:rFonts w:ascii="Times New Roman" w:cs="Times New Roman" w:eastAsia="Times New Roman" w:hAnsi="Times New Roman"/>
          <w:sz w:val="20"/>
          <w:szCs w:val="20"/>
          <w:color w:val="auto"/>
        </w:rPr>
        <w:t xml:space="preserve">, this Agreement and the performance of the Transition Services hereunder will not affect, or result in the transfer of, any rights in or to or the ownership of any Intellectual Property or other rights of either party. Neither party will gain any rights of ownership of any Intellectual Property or other property owned by the other party by virtue of this Agreement or the provision of the Transition Services hereunder, by implication, estoppel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assets, rights, records or other work product created or conveyed in connection with, or pursuant to, the Transition Services or based on Recipient Confidential Information, and all Intellectual Property therein and thereto shall, as between Provider and Recipient, be the sole and exclusive property of Recipient and not Provider.</w:t>
      </w:r>
    </w:p>
    <w:p>
      <w:pPr>
        <w:spacing w:after="0" w:line="150"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4" w:val="left"/>
        </w:tabs>
        <w:numPr>
          <w:ilvl w:val="1"/>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Recipient License</w:t>
      </w:r>
      <w:r>
        <w:rPr>
          <w:rFonts w:ascii="Times New Roman" w:cs="Times New Roman" w:eastAsia="Times New Roman" w:hAnsi="Times New Roman"/>
          <w:sz w:val="20"/>
          <w:szCs w:val="20"/>
          <w:color w:val="auto"/>
        </w:rPr>
        <w:t>. Recipient hereby grants to Provider, during the Term, a non-exclusive, worldwide, non-transferable, fully paid-up, royalty-free license, under all Intellectual Property owned or controlled by Recipient, solely for the purpose of Provider providing the Transition Services in accordance with the terms of this Agreement.</w:t>
      </w:r>
    </w:p>
    <w:p>
      <w:pPr>
        <w:spacing w:after="0" w:line="148" w:lineRule="exact"/>
        <w:rPr>
          <w:rFonts w:ascii="Times New Roman" w:cs="Times New Roman" w:eastAsia="Times New Roman" w:hAnsi="Times New Roman"/>
          <w:sz w:val="20"/>
          <w:szCs w:val="20"/>
          <w:color w:val="010000"/>
        </w:rPr>
      </w:pPr>
    </w:p>
    <w:p>
      <w:pPr>
        <w:jc w:val="both"/>
        <w:ind w:firstLine="656"/>
        <w:spacing w:after="0" w:line="214" w:lineRule="auto"/>
        <w:tabs>
          <w:tab w:leader="none" w:pos="1286" w:val="left"/>
        </w:tabs>
        <w:numPr>
          <w:ilvl w:val="1"/>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Provider License</w:t>
      </w:r>
      <w:r>
        <w:rPr>
          <w:rFonts w:ascii="Times New Roman" w:cs="Times New Roman" w:eastAsia="Times New Roman" w:hAnsi="Times New Roman"/>
          <w:sz w:val="20"/>
          <w:szCs w:val="20"/>
          <w:color w:val="auto"/>
        </w:rPr>
        <w:t xml:space="preserve">. The parties shall as soon as reasonably practicable and within sixty (60) days after the Effective Date or such additional period as may be agreed to by the parties, determine what Intellectual Property owned by Provider or its Affiliates, and what Intellectual Property licensed to Provider or its Affiliates is required to receive and use the Transition Services. Notwithstanding the forgoing, Provider, on behalf of itself and its Affiliates, hereby grants and shall grant to Recipient, during the Term, a non-exclusive, worldwide, non-transferable, fully paid-up and royalty-free license under all Intellectual Property owned by Provider and/or its Affiliates, and, subject to obtaining any necessary Consents listed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that are required under the Contracts applicable with respect to same (provided that Provider shall use its commercially reasonable efforts to obtain such Consents), all Intellectual Property licensed to Provider and/or its Affiliates, to the extent required to receive and use the Transition Services during the Transition Period. In the event that the provision of the Transition Services will include creation and provision by Provider to Recipient of any software, deliverable or other work of authorship (each, a “Deliverable”) that includes any Intellectual Property owned by or licensed to Provider or its Affiliates for continued use by Recipient after the Transition Period, the parties shall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color w:val="auto"/>
        </w:rPr>
        <w:t>determine by mutual written agreement the scope and duration of the license granted to Recipient with respect to such Intellectual Property</w:t>
      </w:r>
    </w:p>
    <w:p>
      <w:pPr>
        <w:spacing w:after="0" w:line="215" w:lineRule="auto"/>
        <w:rPr>
          <w:sz w:val="20"/>
          <w:szCs w:val="20"/>
          <w:color w:val="auto"/>
        </w:rPr>
      </w:pPr>
      <w:r>
        <w:rPr>
          <w:rFonts w:ascii="Times New Roman" w:cs="Times New Roman" w:eastAsia="Times New Roman" w:hAnsi="Times New Roman"/>
          <w:sz w:val="19"/>
          <w:szCs w:val="19"/>
          <w:color w:val="auto"/>
        </w:rPr>
        <w:t>for use of such Deliverable and Provider shall identify and use its commercially reasonable efforts to obtain any required third party consents or approvals required with respect to any such Intellectual Property licensed to Provider or its Affiliates for use of such Deliverable. Provider</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represents and warrants that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sets forth the complete list of all Consents required under the Contracts applicable with respect to such</w:t>
      </w:r>
    </w:p>
    <w:p>
      <w:pPr>
        <w:spacing w:after="0" w:line="215" w:lineRule="auto"/>
        <w:rPr>
          <w:sz w:val="20"/>
          <w:szCs w:val="20"/>
          <w:color w:val="auto"/>
        </w:rPr>
      </w:pPr>
      <w:r>
        <w:rPr>
          <w:rFonts w:ascii="Times New Roman" w:cs="Times New Roman" w:eastAsia="Times New Roman" w:hAnsi="Times New Roman"/>
          <w:sz w:val="19"/>
          <w:szCs w:val="19"/>
          <w:color w:val="auto"/>
        </w:rPr>
        <w:t>Intellectual Property licensed to the Provider that is described in this Section 6(c) that have been identified as of the Effective Date, subject to supplementation during the applicable Transition Period, including with respect to licenses needed for the continued use of Deliverables, it</w:t>
      </w:r>
    </w:p>
    <w:p>
      <w:pPr>
        <w:spacing w:after="0"/>
        <w:rPr>
          <w:sz w:val="20"/>
          <w:szCs w:val="20"/>
          <w:color w:val="auto"/>
        </w:rPr>
      </w:pPr>
      <w:r>
        <w:rPr>
          <w:rFonts w:ascii="Times New Roman" w:cs="Times New Roman" w:eastAsia="Times New Roman" w:hAnsi="Times New Roman"/>
          <w:sz w:val="20"/>
          <w:szCs w:val="20"/>
          <w:color w:val="auto"/>
        </w:rPr>
        <w:t xml:space="preserve">being understood that Provider shall complete such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by the end of the Transition Period.</w:t>
      </w:r>
    </w:p>
    <w:p>
      <w:pPr>
        <w:spacing w:after="0" w:line="163"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CONFIDENTIALITY.</w:t>
      </w:r>
    </w:p>
    <w:p>
      <w:pPr>
        <w:spacing w:after="0" w:line="179" w:lineRule="exact"/>
        <w:rPr>
          <w:rFonts w:ascii="Times New Roman" w:cs="Times New Roman" w:eastAsia="Times New Roman" w:hAnsi="Times New Roman"/>
          <w:sz w:val="20"/>
          <w:szCs w:val="20"/>
          <w:b w:val="1"/>
          <w:bCs w:val="1"/>
          <w:color w:val="010000"/>
        </w:rPr>
      </w:pPr>
    </w:p>
    <w:p>
      <w:pPr>
        <w:jc w:val="both"/>
        <w:ind w:firstLine="656"/>
        <w:spacing w:after="0" w:line="209" w:lineRule="auto"/>
        <w:tabs>
          <w:tab w:leader="none" w:pos="1286" w:val="left"/>
        </w:tabs>
        <w:numPr>
          <w:ilvl w:val="1"/>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 shall, and shall cause their respective employees, contractors and representatives to maintain in strict confidence, treat as confidential, and shall not disclose to any third party the other party’s Confidential Information and shall safeguard such Confidential Information by using the same degree of care it uses or used to prevent the unauthorized use, dissemination or disclosure of such Confidential Information or information, knowledge and data of similar significance, but no less than a reasonable standard of care. “</w:t>
      </w:r>
      <w:r>
        <w:rPr>
          <w:rFonts w:ascii="Times New Roman" w:cs="Times New Roman" w:eastAsia="Times New Roman" w:hAnsi="Times New Roman"/>
          <w:sz w:val="20"/>
          <w:szCs w:val="20"/>
          <w:b w:val="1"/>
          <w:bCs w:val="1"/>
          <w:i w:val="1"/>
          <w:iCs w:val="1"/>
          <w:color w:val="auto"/>
        </w:rPr>
        <w:t>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means any and all information (including information regarding the other party’s and its Affiliates’ business, employees,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plans, programs, documentation, techniques, customer lists, supplier lists, trade secrets, designs, product formulations, product specifications, systems, know-how or any other proprietary or confidential information, however recorded or preserved, whether written or oral) obtained from the other party or its Affiliates in connection with or pursuant to this Agreement or, in the case of Recipient’s information, relating to the Business, Company Products, Company Group, Surviving Entity or Recipient. Confidential Information obtained from a party or its Affiliates in connection with or pursuant to this Agreement shall be such party’s Confidential Information, provided that Confidential Information relating to the Business, Company Products, Company Group, Surviving Entity or Recipient shall, as between Provider and its Affiliates and any subcontractors performing hereunder and Recipient, be Recipient’s Confidential Information. Each party shall use Confidential Information of the other party only for the purposes of fulfilling its obligations under this Agreement, and in the case of Recipient, for purposes of receiving the benefit of and exercising its rights hereunder, and for no other purpose (the “</w:t>
      </w:r>
      <w:r>
        <w:rPr>
          <w:rFonts w:ascii="Times New Roman" w:cs="Times New Roman" w:eastAsia="Times New Roman" w:hAnsi="Times New Roman"/>
          <w:sz w:val="20"/>
          <w:szCs w:val="20"/>
          <w:b w:val="1"/>
          <w:bCs w:val="1"/>
          <w:i w:val="1"/>
          <w:iCs w:val="1"/>
          <w:color w:val="auto"/>
        </w:rPr>
        <w:t>Purpose</w:t>
      </w:r>
      <w:r>
        <w:rPr>
          <w:rFonts w:ascii="Times New Roman" w:cs="Times New Roman" w:eastAsia="Times New Roman" w:hAnsi="Times New Roman"/>
          <w:sz w:val="20"/>
          <w:szCs w:val="20"/>
          <w:color w:val="auto"/>
        </w:rPr>
        <w:t xml:space="preserve">”). Neither party shall disclose any of the other party’s Confidential Information to any third party other than employees and contractors who have a bona fide need to receive such Confidential Information for the Purpose and are bound by written confidentiality agreements no less protective of the other party’s Confidential Information than this Agreement. Each of the parties hereto shall instruct its authorized representatives having access to such information of the obligations in this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010000"/>
        </w:rPr>
      </w:pPr>
    </w:p>
    <w:p>
      <w:pPr>
        <w:jc w:val="both"/>
        <w:ind w:firstLine="656"/>
        <w:spacing w:after="0" w:line="212" w:lineRule="auto"/>
        <w:tabs>
          <w:tab w:leader="none" w:pos="1284" w:val="left"/>
        </w:tabs>
        <w:numPr>
          <w:ilvl w:val="1"/>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foregoing requirements of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shall not apply to information to the extent that (i) any such information is or becomes generally available to the public other than through an act of any other party or any of its representatives; or (ii) any such information that is obtained by a party hereto from a third party that is not known by such party to be subject to confidentiality obligations in favor of the other party. In the event that any such information (including any report, statement, testimony or other submission to a Governmental Authority) is required by applicable Law, Governmental Authority or an Order of a Governmental Authority to be disclosed, the party required to disclose such information shall provide notice to the other party to the extent such notice is not prohibited by applicable Law, and the party required to disclose such information may then disclose such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party shall (A) use commercially reasonable efforts to obtain, at the request and expense of the party whose Confidential Information is affected, a protective order or other assurance that confidential treatment will be accorded to such information required to be disclosed and (B) disclose only such portion of the Confidential Information as is strictly required by Law.</w:t>
      </w:r>
    </w:p>
    <w:p>
      <w:pPr>
        <w:spacing w:after="0" w:line="169"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6" w:val="left"/>
        </w:tabs>
        <w:numPr>
          <w:ilvl w:val="1"/>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 agrees, upon written request therefor to promptly return or destroy (at its option) all Confidential Information of the requesting party and to certify to the requesting party completion of such return or destruction, as applicable, in writing, except that each party may retain a copy of the other party’s Confidential Information if necessary for its record-keeping purposes or compliance with applicable Law, subject to continued compliance with the confidentiality and non-use obligations of this Agreement. Notwithstanding the foregoing, upon the termination of this Agreement, the parties shall cooperate, and Provider shall use commercially reasonable efforts to cause any Third-Party Providers and representatives to cooperate, to support any transfer (to the extent not previously transferred) to Recipient of any Confidential Information relating to the Business or Company Products not previously transferred to Recipient through the Transition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4" w:right="339" w:bottom="1440" w:gutter="0" w:footer="0" w:header="0"/>
        </w:sectPr>
      </w:pPr>
    </w:p>
    <w:bookmarkStart w:id="17" w:name="page18"/>
    <w:bookmarkEnd w:id="17"/>
    <w:p>
      <w:pPr>
        <w:ind w:left="660" w:hanging="652"/>
        <w:spacing w:after="0"/>
        <w:tabs>
          <w:tab w:leader="none" w:pos="660"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REPRESENTATIONS AND WARRANTIES; INDEMNIFICATION.</w:t>
      </w:r>
    </w:p>
    <w:p>
      <w:pPr>
        <w:spacing w:after="0" w:line="192"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42" w:val="left"/>
        </w:tabs>
        <w:numPr>
          <w:ilvl w:val="2"/>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 represents and warrants to the other party that it has the power and authority to enter into and perform its obligations under this Agreement and has taken all actions necessary to execute and deliver this Agreement, to consummate the transactions contemplated hereby and to perform its obligations hereunder.</w:t>
      </w:r>
    </w:p>
    <w:p>
      <w:pPr>
        <w:spacing w:after="0" w:line="148" w:lineRule="exact"/>
        <w:rPr>
          <w:rFonts w:ascii="Times New Roman" w:cs="Times New Roman" w:eastAsia="Times New Roman" w:hAnsi="Times New Roman"/>
          <w:sz w:val="20"/>
          <w:szCs w:val="20"/>
          <w:color w:val="010000"/>
        </w:rPr>
      </w:pPr>
    </w:p>
    <w:p>
      <w:pPr>
        <w:jc w:val="both"/>
        <w:ind w:firstLine="1304"/>
        <w:spacing w:after="0" w:line="225" w:lineRule="auto"/>
        <w:tabs>
          <w:tab w:leader="none" w:pos="1943" w:val="left"/>
        </w:tabs>
        <w:numPr>
          <w:ilvl w:val="2"/>
          <w:numId w:val="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Provider represents and warrants that neither Provider nor its Affiliate BioReference Health, LLC or their respective directors, officers, managing employees and agents (as any of those terms are defined in 42 C.F.R. § 1001.1001) nor any person providing Transition Services hereunder (i) is the subject of any pending or threatened investigation by the FDA under the FDA Fraud Policy, (ii) has</w:t>
      </w:r>
    </w:p>
    <w:p>
      <w:pPr>
        <w:spacing w:after="0" w:line="1" w:lineRule="exact"/>
        <w:rPr>
          <w:rFonts w:ascii="Times New Roman" w:cs="Times New Roman" w:eastAsia="Times New Roman" w:hAnsi="Times New Roman"/>
          <w:sz w:val="19"/>
          <w:szCs w:val="19"/>
          <w:color w:val="010000"/>
        </w:rPr>
      </w:pPr>
    </w:p>
    <w:p>
      <w:pPr>
        <w:jc w:val="both"/>
        <w:spacing w:after="0" w:line="210"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(A) been placed under or otherwise made subject to or (B) committed an act, made a statement, or failed to make a statement that, at the time such disclosure was made, would reasonably be expected to provide a basis for the FDA or any other Governmental Authority to invoke its Application Integrity Policy “Fraud, Untrue Statements of Material Facts, Bribery, and Illegal Gratuities,” set forth in 56 Fed. Reg. 46191 (September 10, 1991) or any similar policy; (iii) has been charged with or convicted of any criminal offense relating to the delivery of an item or service under a Governmental Program; (iv) has been subject to, or convicted of any crime or engaged in any conduct that would reasonably be expected to result in, disqualification, debarment, deregistration, exclusion, or suspension from participation in any Governmental Program, under 42 U.S.C. Section 1320a-7b or 1320a-7, under 21 U.S.C. Section 335a or any similar Law; (v) has had a civil monetary penalty assessed against it, him or her under Section 1128A of the Social Security Act, codified at Title 42, Chapter 7, of the United States Code; (vi) is currently listed on the United States General Services Administration published list of parties excluded from federal procurement programs and non-procurement programs; (vii) to the Knowledge of the Provider, is the target or subject of any current or potential investigation relating to any Governmental Program-related offense; or (viii) has been debarred or is subject to debarment pursuant to Section 306 of the FDCA. In the event Provider becomes aware of any breach of the foregoing representation and warranty, it shall promptly, but in no event later than five (5) Business Days after first becoming aware, notify Recipient of such breach and immediately exclude any affected persons from performing Transition Services hereunder.</w:t>
      </w:r>
    </w:p>
    <w:p>
      <w:pPr>
        <w:spacing w:after="0" w:line="171" w:lineRule="exact"/>
        <w:rPr>
          <w:rFonts w:ascii="Times New Roman" w:cs="Times New Roman" w:eastAsia="Times New Roman" w:hAnsi="Times New Roman"/>
          <w:sz w:val="19"/>
          <w:szCs w:val="19"/>
          <w:color w:val="010000"/>
        </w:rPr>
      </w:pPr>
    </w:p>
    <w:p>
      <w:pPr>
        <w:jc w:val="both"/>
        <w:ind w:firstLine="656"/>
        <w:spacing w:after="0" w:line="209" w:lineRule="auto"/>
        <w:tabs>
          <w:tab w:leader="none" w:pos="1284" w:val="left"/>
        </w:tabs>
        <w:numPr>
          <w:ilvl w:val="1"/>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Provider will indemnify, defend, and hold harmless Recipient, its officers, directors, employees, and agents from and against any and all losses, damages, liabilities, costs, and expenses (including but not limited to reasonable attorneys’ fees) arising out of or related to any third party claim, suit, demand, cause of action or proceeding (“</w:t>
      </w:r>
      <w:r>
        <w:rPr>
          <w:rFonts w:ascii="Times New Roman" w:cs="Times New Roman" w:eastAsia="Times New Roman" w:hAnsi="Times New Roman"/>
          <w:sz w:val="20"/>
          <w:szCs w:val="20"/>
          <w:b w:val="1"/>
          <w:bCs w:val="1"/>
          <w:i w:val="1"/>
          <w:iCs w:val="1"/>
          <w:color w:val="auto"/>
        </w:rPr>
        <w:t>Claim</w:t>
      </w:r>
      <w:r>
        <w:rPr>
          <w:rFonts w:ascii="Times New Roman" w:cs="Times New Roman" w:eastAsia="Times New Roman" w:hAnsi="Times New Roman"/>
          <w:sz w:val="20"/>
          <w:szCs w:val="20"/>
          <w:color w:val="auto"/>
        </w:rPr>
        <w:t xml:space="preserve">”) that is based on, arises or results from gross negligence, fraud, intentional misconduct in Provider’s, its Affiliates’ or their respective subcontractors’ performance of Provider’s obligations hereunder, or infringement of Intellectual Property rights of a third party in or resulting from the Provider’s or its Affiliates’ or other subcontractors’ provision of the Transition Services (including any Deliverables (as defined below) provided hereunder); any breach of security by or regarding Provider, its Affiliates, or their respective subcontractors hereunder leading to the accidental or unlawful destruction, loss, alteration, unauthorized disclosure of, or access to Protected Health Information or Personal Data, it being understood that for purposes of this clause, “subcontractors,” does not include any parties that are solely third party software licensors or vendors providing solely software as a service services or data center services or other services listed in the first page of Exhibit A, provided that Provider shall use diligent efforts to exercise any remedies available to it under its and its Affiliates’ agreements with such vendors or make insurance claims under the applicable policies, in each case for the benefit of Recipient; Provider’s negligence or willful misconduct related to Protected Health Information or Personal Data, or breach of this Agreement or the business associate contract entered into pursuant to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color w:val="auto"/>
        </w:rPr>
        <w:t xml:space="preserve"> or arising out of or related to the performance of the obligations under any Seller Contract or portion of Seller Contract prior to transfer thereof to Recipient; except in each case if such Claim is based on, arises or results from Recipient’s breach of this Agreement or Acquirer’s breach of the Merger Agreement, including without limitation any representation or warranty made by it thereunder, and except in each case if such Claim is indemnifiable by Recipient under Section 8(c).</w:t>
      </w:r>
    </w:p>
    <w:p>
      <w:pPr>
        <w:spacing w:after="0" w:line="172"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1"/>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Recipient will indemnify, defend and hold harmless Provider, its officers, directors, employees and agents from and against any Claim that is based on, arises or results from gross negligence, fraud, intentional misconduct in the Recipient’s, its Affiliates’ or their respective subcontractors’ performance of Recipient’s obligations hereunder; infringement of Intellectual Property rights of a third party in or resulting from the Recipient’s, its Affiliates’ or their respective subcontractors’ performance of services hereunder (other than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on Recipient’s use of Intellectual Property licensed by Provider to Recipient hereunder in compliance with this Agreement or use of</w:t>
      </w:r>
    </w:p>
    <w:p>
      <w:pPr>
        <w:spacing w:after="0" w:line="215" w:lineRule="auto"/>
        <w:rPr>
          <w:sz w:val="20"/>
          <w:szCs w:val="20"/>
          <w:color w:val="auto"/>
        </w:rPr>
      </w:pPr>
      <w:r>
        <w:rPr>
          <w:rFonts w:ascii="Times New Roman" w:cs="Times New Roman" w:eastAsia="Times New Roman" w:hAnsi="Times New Roman"/>
          <w:sz w:val="19"/>
          <w:szCs w:val="19"/>
          <w:color w:val="auto"/>
        </w:rPr>
        <w:t>Company Intellectual Property to the extent and in the manner used by the Company Group in connection with the Business as conducted by the Company Group as of Closing); any breach of security by or regarding Recipient, its Affiliates, or their respective subcontractors leading</w:t>
      </w:r>
    </w:p>
    <w:p>
      <w:pPr>
        <w:spacing w:after="0" w:line="211" w:lineRule="auto"/>
        <w:rPr>
          <w:sz w:val="20"/>
          <w:szCs w:val="20"/>
          <w:color w:val="auto"/>
        </w:rPr>
      </w:pPr>
      <w:r>
        <w:rPr>
          <w:rFonts w:ascii="Times New Roman" w:cs="Times New Roman" w:eastAsia="Times New Roman" w:hAnsi="Times New Roman"/>
          <w:sz w:val="20"/>
          <w:szCs w:val="20"/>
          <w:color w:val="auto"/>
        </w:rPr>
        <w:t>to the accidental or unlawful destruction, loss, alteration, unauthorized disclosure of, or access to Protected Health Information or Personal</w:t>
      </w:r>
    </w:p>
    <w:p>
      <w:pPr>
        <w:spacing w:after="0" w:line="204" w:lineRule="auto"/>
        <w:rPr>
          <w:sz w:val="20"/>
          <w:szCs w:val="20"/>
          <w:color w:val="auto"/>
        </w:rPr>
      </w:pPr>
      <w:r>
        <w:rPr>
          <w:rFonts w:ascii="Times New Roman" w:cs="Times New Roman" w:eastAsia="Times New Roman" w:hAnsi="Times New Roman"/>
          <w:sz w:val="20"/>
          <w:szCs w:val="20"/>
          <w:color w:val="auto"/>
        </w:rPr>
        <w:t>Data after the Effective Date, it being understood that for purposes of this clause, “subcontractors,” does not include any parties that are solely third party software licensors or vendors providing solely software as a service services or data center services or other services listed</w:t>
      </w:r>
    </w:p>
    <w:p>
      <w:pPr>
        <w:spacing w:after="0" w:line="211" w:lineRule="auto"/>
        <w:rPr>
          <w:sz w:val="20"/>
          <w:szCs w:val="20"/>
          <w:color w:val="auto"/>
        </w:rPr>
      </w:pPr>
      <w:r>
        <w:rPr>
          <w:rFonts w:ascii="Times New Roman" w:cs="Times New Roman" w:eastAsia="Times New Roman" w:hAnsi="Times New Roman"/>
          <w:sz w:val="20"/>
          <w:szCs w:val="20"/>
          <w:color w:val="auto"/>
        </w:rPr>
        <w:t>in the first page of Exhibit A, provided that Recipient shall use diligent efforts to exercise any remedies available to it under its and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Affiliates’ agreements with such vendors or make insurance claims under the applicable policies, in each case for the benefit of Provider; Recipient’s negligence or willful misconduct related to Protected Health Information or Personal Data not attributable to events or</w:t>
      </w:r>
    </w:p>
    <w:p>
      <w:pPr>
        <w:spacing w:after="0" w:line="211" w:lineRule="auto"/>
        <w:rPr>
          <w:sz w:val="20"/>
          <w:szCs w:val="20"/>
          <w:color w:val="auto"/>
        </w:rPr>
      </w:pPr>
      <w:r>
        <w:rPr>
          <w:rFonts w:ascii="Times New Roman" w:cs="Times New Roman" w:eastAsia="Times New Roman" w:hAnsi="Times New Roman"/>
          <w:sz w:val="20"/>
          <w:szCs w:val="20"/>
          <w:color w:val="auto"/>
        </w:rPr>
        <w:t>circumstances of the Company Group occurring prior to the Effective Date, or breach of this Agreement or the business associate agreement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entered into pursuant to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color w:val="auto"/>
        </w:rPr>
        <w:t>, or arising out of or related to the performance of the obligations under any Seller Contract or portion of Seller Contract transferred to Recipient or its designee after such transfer or any new Contract entered into by Recipient or its designee to</w:t>
      </w:r>
    </w:p>
    <w:p>
      <w:pPr>
        <w:spacing w:after="0" w:line="211" w:lineRule="auto"/>
        <w:rPr>
          <w:sz w:val="20"/>
          <w:szCs w:val="20"/>
          <w:color w:val="auto"/>
        </w:rPr>
      </w:pPr>
      <w:r>
        <w:rPr>
          <w:rFonts w:ascii="Times New Roman" w:cs="Times New Roman" w:eastAsia="Times New Roman" w:hAnsi="Times New Roman"/>
          <w:sz w:val="20"/>
          <w:szCs w:val="20"/>
          <w:color w:val="auto"/>
        </w:rPr>
        <w:t>replace such Seller Contract with respect to Company IT Assets or Company Licensed IP; except in each case if such Claim is based 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arises or results from Provider’s breach of this Agreement or the Merger Agreement, including without limitation any representation or warranty thereunder, and except in each case if such Claim is indemnifiable by Provider under Section 8(b).</w:t>
      </w:r>
    </w:p>
    <w:p>
      <w:pPr>
        <w:spacing w:after="0" w:line="158" w:lineRule="exact"/>
        <w:rPr>
          <w:sz w:val="20"/>
          <w:szCs w:val="20"/>
          <w:color w:val="auto"/>
        </w:rPr>
      </w:pPr>
    </w:p>
    <w:p>
      <w:pPr>
        <w:jc w:val="both"/>
        <w:ind w:firstLine="656"/>
        <w:spacing w:after="0" w:line="219" w:lineRule="auto"/>
        <w:tabs>
          <w:tab w:leader="none" w:pos="1284" w:val="left"/>
        </w:tabs>
        <w:numPr>
          <w:ilvl w:val="1"/>
          <w:numId w:val="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of any Claim relating to the indemnification obligations above, the party to be indemnified (the “</w:t>
      </w:r>
      <w:r>
        <w:rPr>
          <w:rFonts w:ascii="Times New Roman" w:cs="Times New Roman" w:eastAsia="Times New Roman" w:hAnsi="Times New Roman"/>
          <w:sz w:val="19"/>
          <w:szCs w:val="19"/>
          <w:b w:val="1"/>
          <w:bCs w:val="1"/>
          <w:i w:val="1"/>
          <w:iCs w:val="1"/>
          <w:color w:val="auto"/>
        </w:rPr>
        <w:t>Indemnified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 will notify the indemnifying party (the “</w:t>
      </w:r>
      <w:r>
        <w:rPr>
          <w:rFonts w:ascii="Times New Roman" w:cs="Times New Roman" w:eastAsia="Times New Roman" w:hAnsi="Times New Roman"/>
          <w:sz w:val="19"/>
          <w:szCs w:val="19"/>
          <w:b w:val="1"/>
          <w:bCs w:val="1"/>
          <w:i w:val="1"/>
          <w:iCs w:val="1"/>
          <w:color w:val="auto"/>
        </w:rPr>
        <w:t>Indemnifying Party</w:t>
      </w:r>
      <w:r>
        <w:rPr>
          <w:rFonts w:ascii="Times New Roman" w:cs="Times New Roman" w:eastAsia="Times New Roman" w:hAnsi="Times New Roman"/>
          <w:sz w:val="19"/>
          <w:szCs w:val="19"/>
          <w:color w:val="auto"/>
        </w:rPr>
        <w:t>”) in writing of the Claim;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failure of the Indemnified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Party to undertake such actions shall not relieve the Indemnifying Party of any obligation it may have to indemnify, except and only to the extent that the Indemnifying Party’s ability to fulfill such obligation has been actually and materially prejudiced thereby. The Indemnified Party shall permit the Indemnifying Party to answer and defend the Claim. If the Indemnifying Party, within a reasonable time after receipt of such notice, should fail to assume full responsibility for the Claim, the Indemnified Party shall have the right, but not the obligation, to undertake the defense of the Claim on behalf of the Indemnifying Party at the Indemnifying Party’s expense. If the Indemnifying Party undertakes the defense of the Claim, the Indemnified Party shall provide the Indemnifying Party, at the Indemnifying Party’s expense, with all assistance, information, and authority reasonably required for the defense and settlement of the Claim and the Indemnifying Party shall permit the Indemnified Party to participate in its own defense with its own counsel at its own expense. If the Indemnified Party elects to participate in its own defense, the Indemnifying Party shall consider in good faith the views of the Indemnified Party and its counsel and keep the Indemnified Party and its counsel reasonably informed of the progress of the defense, litigation, arbitration, or settlement discussions relating to such Claims. The Indemnifying Party shall not, without the Indemnified Party’s prior written consent (which consent shall not be unreasonably withheld, conditioned or delayed), settle any Claims against the Indemnified Party if such settlement or compromise</w:t>
      </w:r>
    </w:p>
    <w:p>
      <w:pPr>
        <w:spacing w:after="0" w:line="2" w:lineRule="exact"/>
        <w:rPr>
          <w:rFonts w:ascii="Times New Roman" w:cs="Times New Roman" w:eastAsia="Times New Roman" w:hAnsi="Times New Roman"/>
          <w:sz w:val="19"/>
          <w:szCs w:val="19"/>
          <w:color w:val="010000"/>
        </w:rPr>
      </w:pPr>
    </w:p>
    <w:p>
      <w:pPr>
        <w:jc w:val="both"/>
        <w:ind w:firstLine="8"/>
        <w:spacing w:after="0" w:line="216" w:lineRule="auto"/>
        <w:tabs>
          <w:tab w:leader="none" w:pos="25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involves a finding or admission of wrongdoing by the Indemnified Party, (ii) does not include an unconditional written release by the claimant or plaintiff of the Indemnified Party from all liability in respect of such Claim, or (iii) imposes equitable remedies or any obligation on the Indemnified Party other than solely the payment of money damages for which the Indemnified Party will be indemnified and held harmless hereunder.</w:t>
      </w:r>
    </w:p>
    <w:p>
      <w:pPr>
        <w:spacing w:after="0" w:line="15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GENERAL.</w:t>
      </w:r>
    </w:p>
    <w:p>
      <w:pPr>
        <w:spacing w:after="0" w:line="179"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1"/>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party may assign or transfer this Agreement, by operation of law or otherwise, without the other party’s prior written consent, which shall not be unreasonably withheld, conditioned or delayed. Any attempt to assign or transfer this Agreement without such consent will be void. Subject to the foregoing, this Agreement is binding upon and will inure to the benefit of each of the parties and their respective successors and permitted assigns.</w:t>
      </w:r>
    </w:p>
    <w:p>
      <w:pPr>
        <w:spacing w:after="0" w:line="161"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84" w:val="left"/>
        </w:tabs>
        <w:numPr>
          <w:ilvl w:val="1"/>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Subcontracting</w:t>
      </w:r>
      <w:r>
        <w:rPr>
          <w:rFonts w:ascii="Times New Roman" w:cs="Times New Roman" w:eastAsia="Times New Roman" w:hAnsi="Times New Roman"/>
          <w:sz w:val="20"/>
          <w:szCs w:val="20"/>
          <w:color w:val="auto"/>
        </w:rPr>
        <w:t xml:space="preserve">. Provider shall not subcontract the provision of the Transition Services, except that Provider may continue to use those existing subcontractors engaged to provide services forming part of the Transition Services prior to Closing. Any new additional subcontractors (other than vendors that are licensors of software or software as a service services) shall be subject to Recipient’s prior written approval (which approval shall not be unreasonably withheld, delayed or conditioned) and shall be required to agree in writing to be bound by confidentiality obligations at least as protective as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Provider may use its Affiliates as subcontractors in the provision of the Transition Services as it deems appropriate,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color w:val="auto"/>
        </w:rPr>
        <w:t>that each applicable Affiliate agrees in writing to be bound by confidentiality obligations at least as protective as the terms of this Agreement.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Provider remains responsible for each subcontractor’s and each of its applicable Affiliate’s performance as a subcontractor hereunder and compliance with the terms of this Agreement. Each Person that is not a party hereto and that Provider causes to provide to Recipient a</w:t>
      </w:r>
    </w:p>
    <w:p>
      <w:pPr>
        <w:spacing w:after="0" w:line="211" w:lineRule="auto"/>
        <w:rPr>
          <w:sz w:val="20"/>
          <w:szCs w:val="20"/>
          <w:color w:val="auto"/>
        </w:rPr>
      </w:pPr>
      <w:r>
        <w:rPr>
          <w:rFonts w:ascii="Times New Roman" w:cs="Times New Roman" w:eastAsia="Times New Roman" w:hAnsi="Times New Roman"/>
          <w:sz w:val="20"/>
          <w:szCs w:val="20"/>
          <w:color w:val="auto"/>
        </w:rPr>
        <w:t>Transition Service in accordance with the terms hereof (but only in such Person’s capacity as the provider of such Transition Service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hereunder, and not in such Person’s capacity as a service provider to Recipient under any other agreement between such Person and Recipient) shall be a “</w:t>
      </w:r>
      <w:r>
        <w:rPr>
          <w:rFonts w:ascii="Times New Roman" w:cs="Times New Roman" w:eastAsia="Times New Roman" w:hAnsi="Times New Roman"/>
          <w:sz w:val="20"/>
          <w:szCs w:val="20"/>
          <w:b w:val="1"/>
          <w:bCs w:val="1"/>
          <w:i w:val="1"/>
          <w:iCs w:val="1"/>
          <w:color w:val="auto"/>
        </w:rPr>
        <w:t>Third Party Provider</w:t>
      </w:r>
      <w:r>
        <w:rPr>
          <w:rFonts w:ascii="Times New Roman" w:cs="Times New Roman" w:eastAsia="Times New Roman" w:hAnsi="Times New Roman"/>
          <w:sz w:val="20"/>
          <w:szCs w:val="20"/>
          <w:color w:val="auto"/>
        </w:rPr>
        <w:t>” hereunder.</w:t>
      </w:r>
    </w:p>
    <w:p>
      <w:pPr>
        <w:spacing w:after="0" w:line="162" w:lineRule="exact"/>
        <w:rPr>
          <w:sz w:val="20"/>
          <w:szCs w:val="20"/>
          <w:color w:val="auto"/>
        </w:rPr>
      </w:pPr>
    </w:p>
    <w:p>
      <w:pPr>
        <w:jc w:val="both"/>
        <w:ind w:firstLine="656"/>
        <w:spacing w:after="0" w:line="226" w:lineRule="auto"/>
        <w:tabs>
          <w:tab w:leader="none" w:pos="1286"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Unless otherwise expressly provided, no provisions of this Agreement are intended or will be construed to confer upon or give to any other person or entity, other than the parties and their Affiliates, successors and permitted assigns, any rights, remedies or other benefits under or by reason of this Agreement.</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Non-Exclusive Remedies</w:t>
      </w:r>
      <w:r>
        <w:rPr>
          <w:rFonts w:ascii="Times New Roman" w:cs="Times New Roman" w:eastAsia="Times New Roman" w:hAnsi="Times New Roman"/>
          <w:sz w:val="20"/>
          <w:szCs w:val="20"/>
          <w:color w:val="auto"/>
        </w:rPr>
        <w:t>. Except as expressly set forth in this Agreement, the exercise by either party of any remedy under this Agreement will be without prejudice to its other remedies under this Agreement or otherwise.</w:t>
      </w:r>
    </w:p>
    <w:p>
      <w:pPr>
        <w:spacing w:after="0" w:line="147"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6"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held invalid, illegal or unenforceable, that provision will be enforced to the maximum extent permitted by law, given the fundamental intentions of the parties, and the remaining provisions of this Agreement will remain in full force and effect.</w:t>
      </w:r>
    </w:p>
    <w:p>
      <w:pPr>
        <w:spacing w:after="0" w:line="148"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91"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Either party’s failure to enforce any provision of this Agreement will not constitute a waiver of future enforcement of that or any other provision. No waiver of any provision of this Agreement will be effective unless it is in writing and signed by the party granting the waiver.</w:t>
      </w:r>
    </w:p>
    <w:p>
      <w:pPr>
        <w:spacing w:after="0" w:line="148"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Except as otherwise provided in this Agreement, all notices required or permitted under this Agreement will be in writing, will reference this Agreement, and will be delivered to the intended recipient party by e-mail and overnight courier to the address indicated below for such party:</w:t>
      </w:r>
    </w:p>
    <w:p>
      <w:pPr>
        <w:spacing w:after="0" w:line="152" w:lineRule="exact"/>
        <w:rPr>
          <w:sz w:val="20"/>
          <w:szCs w:val="20"/>
          <w:color w:val="auto"/>
        </w:rPr>
      </w:pPr>
    </w:p>
    <w:p>
      <w:pPr>
        <w:ind w:left="200"/>
        <w:spacing w:after="0"/>
        <w:tabs>
          <w:tab w:leader="none" w:pos="1700" w:val="left"/>
        </w:tabs>
        <w:rPr>
          <w:sz w:val="20"/>
          <w:szCs w:val="20"/>
          <w:color w:val="auto"/>
        </w:rPr>
      </w:pPr>
      <w:r>
        <w:rPr>
          <w:rFonts w:ascii="Times New Roman" w:cs="Times New Roman" w:eastAsia="Times New Roman" w:hAnsi="Times New Roman"/>
          <w:sz w:val="20"/>
          <w:szCs w:val="20"/>
          <w:color w:val="auto"/>
        </w:rPr>
        <w:t>If to Provider:</w:t>
      </w:r>
      <w:r>
        <w:rPr>
          <w:sz w:val="20"/>
          <w:szCs w:val="20"/>
          <w:color w:val="auto"/>
        </w:rPr>
        <w:tab/>
      </w:r>
      <w:r>
        <w:rPr>
          <w:rFonts w:ascii="Times New Roman" w:cs="Times New Roman" w:eastAsia="Times New Roman" w:hAnsi="Times New Roman"/>
          <w:sz w:val="19"/>
          <w:szCs w:val="19"/>
          <w:color w:val="auto"/>
        </w:rPr>
        <w:t>OPKO Health, Inc.</w:t>
      </w:r>
    </w:p>
    <w:p>
      <w:pPr>
        <w:ind w:left="1520"/>
        <w:spacing w:after="0" w:line="204" w:lineRule="auto"/>
        <w:rPr>
          <w:sz w:val="20"/>
          <w:szCs w:val="20"/>
          <w:color w:val="auto"/>
        </w:rPr>
      </w:pPr>
      <w:r>
        <w:rPr>
          <w:rFonts w:ascii="Times New Roman" w:cs="Times New Roman" w:eastAsia="Times New Roman" w:hAnsi="Times New Roman"/>
          <w:sz w:val="22"/>
          <w:szCs w:val="22"/>
          <w:color w:val="auto"/>
        </w:rPr>
        <w:t>4400 Biscayne Blvd.</w:t>
      </w:r>
    </w:p>
    <w:p>
      <w:pPr>
        <w:ind w:left="1520"/>
        <w:spacing w:after="0" w:line="205" w:lineRule="auto"/>
        <w:rPr>
          <w:sz w:val="20"/>
          <w:szCs w:val="20"/>
          <w:color w:val="auto"/>
        </w:rPr>
      </w:pPr>
      <w:r>
        <w:rPr>
          <w:rFonts w:ascii="Times New Roman" w:cs="Times New Roman" w:eastAsia="Times New Roman" w:hAnsi="Times New Roman"/>
          <w:sz w:val="22"/>
          <w:szCs w:val="22"/>
          <w:color w:val="auto"/>
        </w:rPr>
        <w:t>Miami, FL 33137</w:t>
      </w:r>
    </w:p>
    <w:p>
      <w:pPr>
        <w:ind w:left="1520"/>
        <w:spacing w:after="0" w:line="205" w:lineRule="auto"/>
        <w:rPr>
          <w:sz w:val="20"/>
          <w:szCs w:val="20"/>
          <w:color w:val="auto"/>
        </w:rPr>
      </w:pPr>
      <w:r>
        <w:rPr>
          <w:rFonts w:ascii="Times New Roman" w:cs="Times New Roman" w:eastAsia="Times New Roman" w:hAnsi="Times New Roman"/>
          <w:sz w:val="22"/>
          <w:szCs w:val="22"/>
          <w:color w:val="auto"/>
        </w:rPr>
        <w:t>Email: [_]</w:t>
      </w:r>
    </w:p>
    <w:p>
      <w:pPr>
        <w:ind w:left="1500"/>
        <w:spacing w:after="0" w:line="205" w:lineRule="auto"/>
        <w:rPr>
          <w:sz w:val="20"/>
          <w:szCs w:val="20"/>
          <w:color w:val="auto"/>
        </w:rPr>
      </w:pPr>
      <w:r>
        <w:rPr>
          <w:rFonts w:ascii="Times New Roman" w:cs="Times New Roman" w:eastAsia="Times New Roman" w:hAnsi="Times New Roman"/>
          <w:sz w:val="22"/>
          <w:szCs w:val="22"/>
          <w:color w:val="auto"/>
        </w:rPr>
        <w:t>Attn: Steven D. Rubin</w:t>
      </w:r>
    </w:p>
    <w:p>
      <w:pPr>
        <w:spacing w:after="0" w:line="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Camielle Green, Associate General Counsel</w:t>
      </w:r>
    </w:p>
    <w:p>
      <w:pPr>
        <w:spacing w:after="0" w:line="142"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BioReference Health, LLC</w:t>
      </w:r>
    </w:p>
    <w:p>
      <w:pPr>
        <w:ind w:left="1520"/>
        <w:spacing w:after="0" w:line="204" w:lineRule="auto"/>
        <w:rPr>
          <w:sz w:val="20"/>
          <w:szCs w:val="20"/>
          <w:color w:val="auto"/>
        </w:rPr>
      </w:pPr>
      <w:r>
        <w:rPr>
          <w:rFonts w:ascii="Times New Roman" w:cs="Times New Roman" w:eastAsia="Times New Roman" w:hAnsi="Times New Roman"/>
          <w:sz w:val="22"/>
          <w:szCs w:val="22"/>
          <w:color w:val="auto"/>
        </w:rPr>
        <w:t>481 Edward H. Ross Drive</w:t>
      </w:r>
    </w:p>
    <w:p>
      <w:pPr>
        <w:ind w:left="1520"/>
        <w:spacing w:after="0" w:line="205" w:lineRule="auto"/>
        <w:rPr>
          <w:sz w:val="20"/>
          <w:szCs w:val="20"/>
          <w:color w:val="auto"/>
        </w:rPr>
      </w:pPr>
      <w:r>
        <w:rPr>
          <w:rFonts w:ascii="Times New Roman" w:cs="Times New Roman" w:eastAsia="Times New Roman" w:hAnsi="Times New Roman"/>
          <w:sz w:val="22"/>
          <w:szCs w:val="22"/>
          <w:color w:val="auto"/>
        </w:rPr>
        <w:t>Elmwood Park, NJ</w:t>
      </w:r>
    </w:p>
    <w:p>
      <w:pPr>
        <w:ind w:left="1520"/>
        <w:spacing w:after="0" w:line="205" w:lineRule="auto"/>
        <w:rPr>
          <w:sz w:val="20"/>
          <w:szCs w:val="20"/>
          <w:color w:val="auto"/>
        </w:rPr>
      </w:pPr>
      <w:r>
        <w:rPr>
          <w:rFonts w:ascii="Times New Roman" w:cs="Times New Roman" w:eastAsia="Times New Roman" w:hAnsi="Times New Roman"/>
          <w:sz w:val="22"/>
          <w:szCs w:val="22"/>
          <w:color w:val="auto"/>
        </w:rPr>
        <w:t>Email: [_]</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Attn: Jane Pine Wood, Chief Legal Counsel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22"/>
          <w:szCs w:val="22"/>
          <w:color w:val="auto"/>
        </w:rPr>
        <w:t>If to Recipient:</w:t>
      </w:r>
      <w:r>
        <w:rPr>
          <w:sz w:val="20"/>
          <w:szCs w:val="20"/>
          <w:color w:val="auto"/>
        </w:rPr>
        <w:tab/>
      </w:r>
      <w:r>
        <w:rPr>
          <w:rFonts w:ascii="Times New Roman" w:cs="Times New Roman" w:eastAsia="Times New Roman" w:hAnsi="Times New Roman"/>
          <w:sz w:val="21"/>
          <w:szCs w:val="21"/>
          <w:color w:val="auto"/>
        </w:rPr>
        <w:t>GeneDx, LLC</w:t>
      </w:r>
    </w:p>
    <w:p>
      <w:pPr>
        <w:ind w:left="1520"/>
        <w:spacing w:after="0" w:line="191" w:lineRule="auto"/>
        <w:rPr>
          <w:sz w:val="20"/>
          <w:szCs w:val="20"/>
          <w:color w:val="auto"/>
        </w:rPr>
      </w:pPr>
      <w:r>
        <w:rPr>
          <w:rFonts w:ascii="Times New Roman" w:cs="Times New Roman" w:eastAsia="Times New Roman" w:hAnsi="Times New Roman"/>
          <w:sz w:val="22"/>
          <w:szCs w:val="22"/>
          <w:color w:val="auto"/>
        </w:rPr>
        <w:t>c/o Sema4 Holdings Corp.</w:t>
      </w:r>
    </w:p>
    <w:p>
      <w:pPr>
        <w:ind w:left="1520"/>
        <w:spacing w:after="0" w:line="185" w:lineRule="auto"/>
        <w:rPr>
          <w:sz w:val="20"/>
          <w:szCs w:val="20"/>
          <w:color w:val="auto"/>
        </w:rPr>
      </w:pPr>
      <w:r>
        <w:rPr>
          <w:rFonts w:ascii="Times New Roman" w:cs="Times New Roman" w:eastAsia="Times New Roman" w:hAnsi="Times New Roman"/>
          <w:sz w:val="20"/>
          <w:szCs w:val="20"/>
          <w:color w:val="auto"/>
        </w:rPr>
        <w:t>333 Ludlow Street, North Tower,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1520"/>
        <w:spacing w:after="0" w:line="205" w:lineRule="auto"/>
        <w:rPr>
          <w:sz w:val="20"/>
          <w:szCs w:val="20"/>
          <w:color w:val="auto"/>
        </w:rPr>
      </w:pPr>
      <w:r>
        <w:rPr>
          <w:rFonts w:ascii="Times New Roman" w:cs="Times New Roman" w:eastAsia="Times New Roman" w:hAnsi="Times New Roman"/>
          <w:sz w:val="22"/>
          <w:szCs w:val="22"/>
          <w:color w:val="auto"/>
        </w:rPr>
        <w:t>Stamford, CT 06902</w:t>
      </w:r>
    </w:p>
    <w:p>
      <w:pPr>
        <w:ind w:left="1520"/>
        <w:spacing w:after="0" w:line="205" w:lineRule="auto"/>
        <w:rPr>
          <w:sz w:val="20"/>
          <w:szCs w:val="20"/>
          <w:color w:val="auto"/>
        </w:rPr>
      </w:pPr>
      <w:r>
        <w:rPr>
          <w:rFonts w:ascii="Times New Roman" w:cs="Times New Roman" w:eastAsia="Times New Roman" w:hAnsi="Times New Roman"/>
          <w:sz w:val="22"/>
          <w:szCs w:val="22"/>
          <w:color w:val="auto"/>
        </w:rPr>
        <w:t>Email: [_]</w:t>
      </w:r>
    </w:p>
    <w:p>
      <w:pPr>
        <w:ind w:left="15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6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Each party may change its address for notices by providing written notice thereof in accordance with this subsection. Notices shall be effective upon delivery by e-mail.</w:t>
      </w:r>
    </w:p>
    <w:p>
      <w:pPr>
        <w:spacing w:after="0" w:line="161" w:lineRule="exact"/>
        <w:rPr>
          <w:sz w:val="20"/>
          <w:szCs w:val="20"/>
          <w:color w:val="auto"/>
        </w:rPr>
      </w:pPr>
    </w:p>
    <w:p>
      <w:pPr>
        <w:ind w:firstLine="656"/>
        <w:spacing w:after="0"/>
        <w:tabs>
          <w:tab w:leader="none" w:pos="1284" w:val="left"/>
        </w:tabs>
        <w:numPr>
          <w:ilvl w:val="0"/>
          <w:numId w:val="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 Neither the making nor the acceptance of this Agreement will enlarge, restrict or otherwise modify the terms of the Merger Agreement or constitute a waiver or release by Recipient or Provider</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9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color w:val="auto"/>
        </w:rPr>
        <w:t>of any liabilities, obligations, or commitments imposed upon them by the terms of the Merger Agreement, including the representations,</w:t>
      </w:r>
    </w:p>
    <w:p>
      <w:pPr>
        <w:spacing w:after="0" w:line="204" w:lineRule="auto"/>
        <w:rPr>
          <w:sz w:val="20"/>
          <w:szCs w:val="20"/>
          <w:color w:val="auto"/>
        </w:rPr>
      </w:pPr>
      <w:r>
        <w:rPr>
          <w:rFonts w:ascii="Times New Roman" w:cs="Times New Roman" w:eastAsia="Times New Roman" w:hAnsi="Times New Roman"/>
          <w:sz w:val="20"/>
          <w:szCs w:val="20"/>
          <w:color w:val="auto"/>
        </w:rPr>
        <w:t>warranties, covenants, agreements and other provisions of the Merger Agreement. In the event of any conflict between the provisions of this Agreement (including the exhibit(s) hereto) and the provisions of the Merger Agreement, on the other hand, the Merger Agreement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w:t>
      </w:r>
    </w:p>
    <w:p>
      <w:pPr>
        <w:spacing w:after="0" w:line="167" w:lineRule="exact"/>
        <w:rPr>
          <w:sz w:val="20"/>
          <w:szCs w:val="20"/>
          <w:color w:val="auto"/>
        </w:rPr>
      </w:pPr>
    </w:p>
    <w:p>
      <w:pPr>
        <w:jc w:val="both"/>
        <w:ind w:firstLine="656"/>
        <w:spacing w:after="0" w:line="226" w:lineRule="auto"/>
        <w:tabs>
          <w:tab w:leader="none" w:pos="1294"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Priority</w:t>
      </w:r>
      <w:r>
        <w:rPr>
          <w:rFonts w:ascii="Times New Roman" w:cs="Times New Roman" w:eastAsia="Times New Roman" w:hAnsi="Times New Roman"/>
          <w:sz w:val="20"/>
          <w:szCs w:val="20"/>
          <w:color w:val="auto"/>
        </w:rPr>
        <w:t>. In the event any of the terms or conditions of the main body of this Agreement conflict with any of the terms or conditions of any exhibit attached hereto, the terms or conditions of the main body of this Agreement will control and prevail over such terms or conditions of the exhibit, as the case may be, but only to the extent of such conflict.</w:t>
      </w:r>
    </w:p>
    <w:p>
      <w:pPr>
        <w:spacing w:after="0" w:line="160"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294"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This Agreement, including its exhibits, together with the Merger Agreement, Confidentiality Agreement and other Transaction Documents, is the complete and exclusive agreement between the parties with respect to its subject matter and supersedes all prior and contemporaneous agreements, communications, understandings and negotiations, both written and oral, between the parties with respect to its subject matter. Except as set forth in </w:t>
      </w:r>
      <w:r>
        <w:rPr>
          <w:rFonts w:ascii="Times New Roman" w:cs="Times New Roman" w:eastAsia="Times New Roman" w:hAnsi="Times New Roman"/>
          <w:sz w:val="20"/>
          <w:szCs w:val="20"/>
          <w:u w:val="single" w:color="auto"/>
          <w:color w:val="auto"/>
        </w:rPr>
        <w:t>Section 1(a)</w:t>
      </w:r>
      <w:r>
        <w:rPr>
          <w:rFonts w:ascii="Times New Roman" w:cs="Times New Roman" w:eastAsia="Times New Roman" w:hAnsi="Times New Roman"/>
          <w:sz w:val="20"/>
          <w:szCs w:val="20"/>
          <w:color w:val="auto"/>
        </w:rPr>
        <w:t xml:space="preserve"> hereof, this Agreement may be amended or modified only by a written document executed by duly authorized representatives of the parties.</w:t>
      </w:r>
    </w:p>
    <w:p>
      <w:pPr>
        <w:spacing w:after="0" w:line="157" w:lineRule="exact"/>
        <w:rPr>
          <w:rFonts w:ascii="Times New Roman" w:cs="Times New Roman" w:eastAsia="Times New Roman" w:hAnsi="Times New Roman"/>
          <w:sz w:val="20"/>
          <w:szCs w:val="20"/>
          <w:color w:val="010000"/>
        </w:rPr>
      </w:pPr>
    </w:p>
    <w:p>
      <w:pPr>
        <w:jc w:val="both"/>
        <w:ind w:firstLine="656"/>
        <w:spacing w:after="0" w:line="227" w:lineRule="auto"/>
        <w:tabs>
          <w:tab w:leader="none" w:pos="1284"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Agreement may be executed in counterparts, each of which will constitute an original, and all of which together will constitute one and the same instrument. Delivery of an executed counterpart of a signature page of this Agreement by electronic mail or other electronic transmission shall be effective as delivery of a manually executed original counterpart of this Agreement.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94"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 Consent to Jurisdiction</w:t>
      </w:r>
      <w:r>
        <w:rPr>
          <w:rFonts w:ascii="Times New Roman" w:cs="Times New Roman" w:eastAsia="Times New Roman" w:hAnsi="Times New Roman"/>
          <w:sz w:val="20"/>
          <w:szCs w:val="20"/>
          <w:color w:val="auto"/>
        </w:rPr>
        <w:t>. This Agreement will be governed by and construed in accordance with the laws of the State of Delaware without giving effect to principles of conflict of laws that would lead to the application of the laws of another jurisdiction. Any Proceeding under this Agreement will be brought exclusively in the federal or state courts located in the Delaware Court of Chancery within the State of Delaware (or, if the Delaware Court of Chancery declines to accept jurisdiction over a particular matter, any court of the United States located in the State of Delaware, or, if any such court of the United States located in the State of Delaware declines to accept jurisdiction over a particular matter, any state court located in the State of Delaware) and the parties irrevocably consent to the exclusive personal jurisdiction and venue therein. Each party hereby irrevocably waives all right to trial by jury in any legal proceeding (whether based on contract, tort, or otherwise) arising out of or relating to this Agreement, the transactions contemplated hereby, or the actions of the parties in the negotiation, administration, performance, and enforcement hereof.</w:t>
      </w:r>
    </w:p>
    <w:p>
      <w:pPr>
        <w:spacing w:after="0" w:line="161"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85"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In the event of any dispute, controversy or claim arising out of or relating to the transactions contemplated by this Agreement, or the validity, interpretation, breach or termination of any provision of this Agreement, or calculation or allocation of the costs of any Transition Service, including claims seeking redress or asserting rights under any Law (each, a “</w:t>
      </w:r>
      <w:r>
        <w:rPr>
          <w:rFonts w:ascii="Times New Roman" w:cs="Times New Roman" w:eastAsia="Times New Roman" w:hAnsi="Times New Roman"/>
          <w:sz w:val="20"/>
          <w:szCs w:val="20"/>
          <w:b w:val="1"/>
          <w:bCs w:val="1"/>
          <w:i w:val="1"/>
          <w:iCs w:val="1"/>
          <w:color w:val="auto"/>
        </w:rPr>
        <w:t>Dispute</w:t>
      </w:r>
      <w:r>
        <w:rPr>
          <w:rFonts w:ascii="Times New Roman" w:cs="Times New Roman" w:eastAsia="Times New Roman" w:hAnsi="Times New Roman"/>
          <w:sz w:val="20"/>
          <w:szCs w:val="20"/>
          <w:color w:val="auto"/>
        </w:rPr>
        <w:t>”), the disputing party shall deliver a notice setting forth the basis for the dispute in reasonable detail to the other party. The parties agree that the applicable Provider Contract Manager and the applicable Recipient legal team member shall negotiate in good faith in an attempt to resolve such Dispute amicably. If the Dispute has not been resolved to the mutual satisfaction of the parties within thirty (30) days after the initial notice of the Dispute has been given (or such longer period as the parties may agree), then, Provider’s business leader designee on behalf of Provider and Recipient’s business leader designee on behalf of Recipient shall negotiate in good faith in an attempt to resolve such Dispute amicably for an additional twenty (20) days (or such longer period as such parties may agree). If at the end of such time such persons are unable to resolve such Dispute amicably, the parties may pursue any other rights, remedies or actions that may be available to them under this Agreement or at law.</w:t>
      </w:r>
    </w:p>
    <w:p>
      <w:pPr>
        <w:spacing w:after="0" w:line="165"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4"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agree that a breach or threatened breach of this Agreement or failure to perform the provisions of this Agreement in accordance with their specific terms could cause irreparable harm, for which the award of damages might not be adequate compensation. Accordingly, each party agrees that, in the event of any breach or threatened breach by any other party of any covenant or obligation contained in this Agreement, the non-breaching party shall be entitled to seek equitable relief to prevent breaches or threatened breaches of this Agreement, or to enforce specifically the terms hereof, in addition to any other right or remedy to which it is entitled to at law, in equity or otherwise. In furtherance of the foregoing, each party hereby waives, to the maximum extent permitted by applicable Law, (i) any and all defenses to any action for specific performance or other equitable relief hereunder, including any defense based on the claim that any remedy at law would be adequate, and (ii) any requirement to post a bond or other security as a prerequisite to obtaining equitable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4" w:right="339" w:bottom="1440" w:gutter="0" w:footer="0" w:header="0"/>
        </w:sectPr>
      </w:pPr>
    </w:p>
    <w:bookmarkStart w:id="21" w:name="page22"/>
    <w:bookmarkEnd w:id="21"/>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1440" w:right="1440" w:bottom="1440" w:gutter="0" w:footer="0" w:header="0"/>
          <w:type w:val="continuous"/>
        </w:sectPr>
      </w:pPr>
    </w:p>
    <w:bookmarkStart w:id="22" w:name="page23"/>
    <w:bookmarkEnd w:id="22"/>
    <w:p>
      <w:pPr>
        <w:ind w:firstLine="648"/>
        <w:spacing w:after="0"/>
        <w:rPr>
          <w:sz w:val="20"/>
          <w:szCs w:val="20"/>
          <w:color w:val="auto"/>
        </w:rPr>
      </w:pPr>
      <w:r>
        <w:rPr>
          <w:rFonts w:ascii="Times New Roman" w:cs="Times New Roman" w:eastAsia="Times New Roman" w:hAnsi="Times New Roman"/>
          <w:sz w:val="20"/>
          <w:szCs w:val="20"/>
          <w:color w:val="auto"/>
        </w:rPr>
        <w:t>IN WITNESS WHEREOF, the undersigned have caused this Transition Services Agreement to be duly executed and delivered as of the dates set forth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RECIPIENT:</w:t>
            </w: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PROVIDER:</w:t>
            </w:r>
          </w:p>
        </w:tc>
        <w:tc>
          <w:tcPr>
            <w:tcW w:w="18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418"/>
        </w:trPr>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GeneDx, LLC</w:t>
            </w: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OPKO Health, Inc.</w:t>
            </w:r>
          </w:p>
        </w:tc>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8"/>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Kevin Feeley</w:t>
            </w: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8"/>
              </w:rPr>
              <w:t>By: /s/ Steven D. Rubin</w:t>
            </w:r>
          </w:p>
        </w:tc>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32"/>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Kevin Feeley</w:t>
            </w: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8"/>
              </w:rPr>
              <w:t>Name: Steven D. Rubin</w:t>
            </w:r>
          </w:p>
        </w:tc>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8"/>
        </w:trPr>
        <w:tc>
          <w:tcPr>
            <w:tcW w:w="3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Vice President, Chief Financial Officer</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7"/>
              </w:rPr>
              <w:t>Title: Executive Vice President, Administration</w:t>
            </w:r>
          </w:p>
        </w:tc>
      </w:tr>
      <w:tr>
        <w:trPr>
          <w:trHeight w:val="418"/>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April 29, 2022</w:t>
            </w: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Date: April 29, 2022</w:t>
            </w:r>
          </w:p>
        </w:tc>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ectPr>
          <w:pgSz w:w="11900" w:h="16838" w:orient="portrait"/>
          <w:cols w:equalWidth="0" w:num="1">
            <w:col w:w="11240"/>
          </w:cols>
          <w:pgMar w:left="320" w:top="1399"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17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THIS AMENDED AND RESTATED EMPLOYMENT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dated as of April 29,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2022, by and between Sema4 Holdings Corp.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 and Katherine Stueland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amends and restates the employment agreement entered into between the Corporation and the Executive as of January 14, 2022 (the “</w:t>
      </w:r>
      <w:r>
        <w:rPr>
          <w:rFonts w:ascii="Times New Roman" w:cs="Times New Roman" w:eastAsia="Times New Roman" w:hAnsi="Times New Roman"/>
          <w:sz w:val="22"/>
          <w:szCs w:val="22"/>
          <w:b w:val="1"/>
          <w:bCs w:val="1"/>
          <w:i w:val="1"/>
          <w:iCs w:val="1"/>
          <w:color w:val="auto"/>
        </w:rPr>
        <w:t>Prior Sema4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 :</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Corporation has entered into that certain Agreement and Plan of Merger and Reorganization,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January 14, 2022, with OPKO Health, Inc., a Delaware corporation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GeneDx, Inc., a New Jersey corporation (“</w:t>
      </w:r>
      <w:r>
        <w:rPr>
          <w:rFonts w:ascii="Times New Roman" w:cs="Times New Roman" w:eastAsia="Times New Roman" w:hAnsi="Times New Roman"/>
          <w:sz w:val="22"/>
          <w:szCs w:val="22"/>
          <w:b w:val="1"/>
          <w:bCs w:val="1"/>
          <w:i w:val="1"/>
          <w:iCs w:val="1"/>
          <w:color w:val="auto"/>
        </w:rPr>
        <w:t>GeneDx</w:t>
      </w:r>
      <w:r>
        <w:rPr>
          <w:rFonts w:ascii="Times New Roman" w:cs="Times New Roman" w:eastAsia="Times New Roman" w:hAnsi="Times New Roman"/>
          <w:sz w:val="22"/>
          <w:szCs w:val="22"/>
          <w:color w:val="auto"/>
        </w:rPr>
        <w:t>”), and the other parties named therein (the “</w:t>
      </w:r>
      <w:r>
        <w:rPr>
          <w:rFonts w:ascii="Times New Roman" w:cs="Times New Roman" w:eastAsia="Times New Roman" w:hAnsi="Times New Roman"/>
          <w:sz w:val="22"/>
          <w:szCs w:val="22"/>
          <w:b w:val="1"/>
          <w:bCs w:val="1"/>
          <w:i w:val="1"/>
          <w:iCs w:val="1"/>
          <w:color w:val="auto"/>
        </w:rPr>
        <w:t>Merger Agreement</w:t>
      </w:r>
      <w:r>
        <w:rPr>
          <w:rFonts w:ascii="Times New Roman" w:cs="Times New Roman" w:eastAsia="Times New Roman" w:hAnsi="Times New Roman"/>
          <w:sz w:val="22"/>
          <w:szCs w:val="22"/>
          <w:color w:val="auto"/>
        </w:rPr>
        <w:t>”), pursuant to which GeneDx will become an indirect wholly-owned subsidiary of the Corporation (the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is currently employed as the Chief Executive Officer and President of GeneDx, pursuant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 with GeneDx dated as of June 7, 2021 (the “</w:t>
      </w:r>
      <w:r>
        <w:rPr>
          <w:rFonts w:ascii="Times New Roman" w:cs="Times New Roman" w:eastAsia="Times New Roman" w:hAnsi="Times New Roman"/>
          <w:sz w:val="22"/>
          <w:szCs w:val="22"/>
          <w:b w:val="1"/>
          <w:bCs w:val="1"/>
          <w:i w:val="1"/>
          <w:iCs w:val="1"/>
          <w:color w:val="auto"/>
        </w:rPr>
        <w:t>Prior GeneDx Agreement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contingent on the closing of the Acquisition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the Corporation wishes for the Executive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 as its Chief Executive Officer and the Executive wishes to become the Chief Executive Officer of the Corporation;</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anticipated that as of immediately following the Closing the Executive will remain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GeneDx, and that as soon as practicable following the completion of the applicable transition services agreement under the Merger Agreement, the Executive’s employment will be transitioned to the Corporation in order to transition the Executive to the Corporation’s payroll and employee benefits (the date on which such transition occurs, the “</w:t>
      </w:r>
      <w:r>
        <w:rPr>
          <w:rFonts w:ascii="Times New Roman" w:cs="Times New Roman" w:eastAsia="Times New Roman" w:hAnsi="Times New Roman"/>
          <w:sz w:val="22"/>
          <w:szCs w:val="22"/>
          <w:b w:val="1"/>
          <w:bCs w:val="1"/>
          <w:i w:val="1"/>
          <w:iCs w:val="1"/>
          <w:color w:val="auto"/>
        </w:rPr>
        <w:t>Transition Date</w:t>
      </w:r>
      <w:r>
        <w:rPr>
          <w:rFonts w:ascii="Times New Roman" w:cs="Times New Roman" w:eastAsia="Times New Roman" w:hAnsi="Times New Roman"/>
          <w:sz w:val="22"/>
          <w:szCs w:val="22"/>
          <w:color w:val="auto"/>
        </w:rPr>
        <w:t>”), such that all references herein to the Executive’s employment by the “Corporation” and terms of similar import shall refer to employment by GeneDx until the Transition Date;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Corporation wishes to set forth the terms and conditions of the Executive’s employment, on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mutually agreeable and beneficial to the Corporation and the Executive; and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is willing to render services to the Corporation pursuant to the terms and conditions hereof.</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covenants and agreements of the parties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the parties, intending to be legally bound, hereby agree as follows:</w:t>
      </w:r>
    </w:p>
    <w:p>
      <w:pPr>
        <w:spacing w:after="0" w:line="146"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p>
    <w:p>
      <w:pPr>
        <w:spacing w:after="0" w:line="179" w:lineRule="exact"/>
        <w:rPr>
          <w:rFonts w:ascii="Times New Roman" w:cs="Times New Roman" w:eastAsia="Times New Roman" w:hAnsi="Times New Roman"/>
          <w:sz w:val="22"/>
          <w:szCs w:val="22"/>
          <w:b w:val="1"/>
          <w:bCs w:val="1"/>
          <w:color w:val="auto"/>
        </w:rPr>
      </w:pPr>
    </w:p>
    <w:p>
      <w:pPr>
        <w:jc w:val="both"/>
        <w:ind w:firstLine="648"/>
        <w:spacing w:after="0" w:line="21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Position and Duties.</w:t>
      </w:r>
      <w:r>
        <w:rPr>
          <w:rFonts w:ascii="Times New Roman" w:cs="Times New Roman" w:eastAsia="Times New Roman" w:hAnsi="Times New Roman"/>
          <w:sz w:val="22"/>
          <w:szCs w:val="22"/>
          <w:color w:val="auto"/>
        </w:rPr>
        <w:t xml:space="preserve"> Effective as of the Effective Date (as defined below), Executive shall be appointed to the position of Chief Executive Officer of Sema4 Holdings Corp. (notwithstanding that the Executive shall remain employed by GeneDx until the Transition Date), and the Executive hereby accepts such appointment. Effective as of the Transition Date, Executive shall become employed by Sema4 Holdings Corp. In her role as Chief Executive Officer of Sema4 Holdings Corp. (before and after the Transition Date), the Executive shall be subject to the direction of and shall report directly to the board of directors of Sema4 Holdings Corp.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perform the duties assigned to her by the Board with fidelity and to</w:t>
      </w:r>
    </w:p>
    <w:p>
      <w:pPr>
        <w:sectPr>
          <w:pgSz w:w="11900" w:h="16838" w:orient="portrait"/>
          <w:cols w:equalWidth="0" w:num="1">
            <w:col w:w="11240"/>
          </w:cols>
          <w:pgMar w:left="320" w:top="104" w:right="339" w:bottom="1440" w:gutter="0" w:footer="0" w:header="0"/>
        </w:sectPr>
      </w:pPr>
    </w:p>
    <w:bookmarkStart w:id="24" w:name="page25"/>
    <w:bookmarkEnd w:id="24"/>
    <w:p>
      <w:pPr>
        <w:jc w:val="both"/>
        <w:spacing w:after="0" w:line="222" w:lineRule="auto"/>
        <w:rPr>
          <w:sz w:val="20"/>
          <w:szCs w:val="20"/>
          <w:color w:val="auto"/>
        </w:rPr>
      </w:pPr>
      <w:r>
        <w:rPr>
          <w:rFonts w:ascii="Times New Roman" w:cs="Times New Roman" w:eastAsia="Times New Roman" w:hAnsi="Times New Roman"/>
          <w:sz w:val="21"/>
          <w:szCs w:val="21"/>
          <w:color w:val="auto"/>
        </w:rPr>
        <w:t>the best of her ability, and shall deal at all times in good faith with the Board and the Corporation. During the Term (as defined below), the Executive will be employed 100% of her business time by the Corporation. The Executive shall be permitted to (i) devote attention during non-business hours to voluntary service with non-competitive not-for-profit charitable organizations and</w:t>
      </w:r>
    </w:p>
    <w:p>
      <w:pPr>
        <w:spacing w:after="0" w:line="2"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undertake activities permitted by Section 8.</w:t>
      </w:r>
    </w:p>
    <w:p>
      <w:pPr>
        <w:spacing w:after="0" w:line="151"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2"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Effective Date; Prior Agreement</w:t>
      </w:r>
      <w:r>
        <w:rPr>
          <w:rFonts w:ascii="Times New Roman" w:cs="Times New Roman" w:eastAsia="Times New Roman" w:hAnsi="Times New Roman"/>
          <w:sz w:val="21"/>
          <w:szCs w:val="21"/>
          <w:color w:val="auto"/>
        </w:rPr>
        <w:t>. This Agreement shall become effective upon the date on which the Closing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occurs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provided that this Agreement shall automatically terminate and shall have no further force or effect if the Merger Agreement is terminated in accordance with its terms and the Closing does not occur; and, in such case, the Prior GeneDx Agreement shall remain in full force and effect for all purposes. As of the Effective Date, the Prior GeneDx Agreement shall terminate and be of no further force and effect; provided that (i) Section 7(c) (</w:t>
      </w:r>
      <w:r>
        <w:rPr>
          <w:rFonts w:ascii="Times New Roman" w:cs="Times New Roman" w:eastAsia="Times New Roman" w:hAnsi="Times New Roman"/>
          <w:sz w:val="21"/>
          <w:szCs w:val="21"/>
          <w:i w:val="1"/>
          <w:iCs w:val="1"/>
          <w:color w:val="auto"/>
        </w:rPr>
        <w:t>Confidential Information</w:t>
      </w:r>
      <w:r>
        <w:rPr>
          <w:rFonts w:ascii="Times New Roman" w:cs="Times New Roman" w:eastAsia="Times New Roman" w:hAnsi="Times New Roman"/>
          <w:sz w:val="21"/>
          <w:szCs w:val="21"/>
          <w:color w:val="auto"/>
        </w:rPr>
        <w:t>) and Section 7(d) (</w:t>
      </w:r>
      <w:r>
        <w:rPr>
          <w:rFonts w:ascii="Times New Roman" w:cs="Times New Roman" w:eastAsia="Times New Roman" w:hAnsi="Times New Roman"/>
          <w:sz w:val="21"/>
          <w:szCs w:val="21"/>
          <w:i w:val="1"/>
          <w:iCs w:val="1"/>
          <w:color w:val="auto"/>
        </w:rPr>
        <w:t>Ownership of Developments</w:t>
      </w:r>
      <w:r>
        <w:rPr>
          <w:rFonts w:ascii="Times New Roman" w:cs="Times New Roman" w:eastAsia="Times New Roman" w:hAnsi="Times New Roman"/>
          <w:sz w:val="21"/>
          <w:szCs w:val="21"/>
          <w:color w:val="auto"/>
        </w:rPr>
        <w:t>) of the Prior GeneDx Agreement shall survive the termination of the Prior GeneDx Agreement insofar as they relate to events occurring prior to the Effective Date, and (ii) nothing herein shall be construed as a waiver by the Executive of Seller’s obligations to the Executive under Section 4(d)(iii) (</w:t>
      </w:r>
      <w:r>
        <w:rPr>
          <w:rFonts w:ascii="Times New Roman" w:cs="Times New Roman" w:eastAsia="Times New Roman" w:hAnsi="Times New Roman"/>
          <w:sz w:val="21"/>
          <w:szCs w:val="21"/>
          <w:i w:val="1"/>
          <w:iCs w:val="1"/>
          <w:color w:val="auto"/>
        </w:rPr>
        <w:t>Opko Equity Based Incentive Compensation</w:t>
      </w:r>
      <w:r>
        <w:rPr>
          <w:rFonts w:ascii="Times New Roman" w:cs="Times New Roman" w:eastAsia="Times New Roman" w:hAnsi="Times New Roman"/>
          <w:sz w:val="21"/>
          <w:szCs w:val="21"/>
          <w:color w:val="auto"/>
        </w:rPr>
        <w:t>) of the Prior GeneDx Agreement. For the avoidance of doubt, the Executive hereby acknowledges that the Corporation shall have no obligations to the Executive in respect of Section 4 of the Prior GeneDx Agreement, including without limitation Section 4(c) (</w:t>
      </w:r>
      <w:r>
        <w:rPr>
          <w:rFonts w:ascii="Times New Roman" w:cs="Times New Roman" w:eastAsia="Times New Roman" w:hAnsi="Times New Roman"/>
          <w:sz w:val="21"/>
          <w:szCs w:val="21"/>
          <w:i w:val="1"/>
          <w:iCs w:val="1"/>
          <w:color w:val="auto"/>
        </w:rPr>
        <w:t>Sign On Bonus</w:t>
      </w:r>
      <w:r>
        <w:rPr>
          <w:rFonts w:ascii="Times New Roman" w:cs="Times New Roman" w:eastAsia="Times New Roman" w:hAnsi="Times New Roman"/>
          <w:sz w:val="21"/>
          <w:szCs w:val="21"/>
          <w:color w:val="auto"/>
        </w:rPr>
        <w:t>), Section 4(d)(ii) (</w:t>
      </w:r>
      <w:r>
        <w:rPr>
          <w:rFonts w:ascii="Times New Roman" w:cs="Times New Roman" w:eastAsia="Times New Roman" w:hAnsi="Times New Roman"/>
          <w:sz w:val="21"/>
          <w:szCs w:val="21"/>
          <w:i w:val="1"/>
          <w:iCs w:val="1"/>
          <w:color w:val="auto"/>
        </w:rPr>
        <w:t>Additional Option</w:t>
      </w:r>
      <w:r>
        <w:rPr>
          <w:rFonts w:ascii="Times New Roman" w:cs="Times New Roman" w:eastAsia="Times New Roman" w:hAnsi="Times New Roman"/>
          <w:sz w:val="21"/>
          <w:szCs w:val="21"/>
          <w:color w:val="auto"/>
        </w:rPr>
        <w:t>), and Section 5(c) (</w:t>
      </w:r>
      <w:r>
        <w:rPr>
          <w:rFonts w:ascii="Times New Roman" w:cs="Times New Roman" w:eastAsia="Times New Roman" w:hAnsi="Times New Roman"/>
          <w:sz w:val="21"/>
          <w:szCs w:val="21"/>
          <w:i w:val="1"/>
          <w:iCs w:val="1"/>
          <w:color w:val="auto"/>
        </w:rPr>
        <w:t>Relocation Expense Reimbursement</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656"/>
        <w:spacing w:after="0" w:line="216" w:lineRule="auto"/>
        <w:tabs>
          <w:tab w:leader="none" w:pos="129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Location. </w:t>
      </w:r>
      <w:r>
        <w:rPr>
          <w:rFonts w:ascii="Times New Roman" w:cs="Times New Roman" w:eastAsia="Times New Roman" w:hAnsi="Times New Roman"/>
          <w:sz w:val="22"/>
          <w:szCs w:val="22"/>
          <w:color w:val="auto"/>
        </w:rPr>
        <w:t>The Executive’s services shall be performed principally at the Corporation’s Stamford, Connecticut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headquarters, subject to travel from time to time as reasonably required in connection with the Executive's duties. The Corporation agrees to reimburse the Executive for reasonable costs incurred in relocating her principal place of residence to the New York City metropolitan area up to an aggregate amount of reimbursement not to exceed $20,000, any such reimbursement to be made in accordance with the Corporation’s business expense reimbursement policy and promptly following the Executive’s submission of receipts and other reasonably appropriate supporting documentation.</w:t>
      </w:r>
    </w:p>
    <w:p>
      <w:pPr>
        <w:spacing w:after="0" w:line="14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Agreement shall commence on the Effective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18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consideration for the Executive’s services hereunder, the Executive shall receive the following compensation:</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129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Beginning on the Effective Date and for the balance of the Term, the Corporation shall pay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a base salary at a rate equal to $675,000 per annum (as adjusted from time to time in accordance with this Section 3.A, the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The Executive’s Base Salary shall be reviewed by the Board not less than annually and may be increased but not decreased.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45" w:lineRule="exact"/>
        <w:rPr>
          <w:rFonts w:ascii="Times New Roman" w:cs="Times New Roman" w:eastAsia="Times New Roman" w:hAnsi="Times New Roman"/>
          <w:sz w:val="22"/>
          <w:szCs w:val="22"/>
          <w:color w:val="auto"/>
        </w:rPr>
      </w:pPr>
    </w:p>
    <w:p>
      <w:pPr>
        <w:ind w:right="20" w:firstLine="656"/>
        <w:spacing w:after="0" w:line="238" w:lineRule="auto"/>
        <w:tabs>
          <w:tab w:leader="none" w:pos="129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Performance Bonus</w:t>
      </w:r>
      <w:r>
        <w:rPr>
          <w:rFonts w:ascii="Times New Roman" w:cs="Times New Roman" w:eastAsia="Times New Roman" w:hAnsi="Times New Roman"/>
          <w:sz w:val="22"/>
          <w:szCs w:val="22"/>
          <w:color w:val="auto"/>
        </w:rPr>
        <w:t>. In addition to the Base Salary, the Executive shall be eligible to receive an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bonus for each calendar year during the Term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25" w:name="page26"/>
    <w:bookmarkEnd w:id="25"/>
    <w:p>
      <w:pPr>
        <w:jc w:val="both"/>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Bonus</w:t>
      </w:r>
      <w:r>
        <w:rPr>
          <w:rFonts w:ascii="Times New Roman" w:cs="Times New Roman" w:eastAsia="Times New Roman" w:hAnsi="Times New Roman"/>
          <w:sz w:val="22"/>
          <w:szCs w:val="22"/>
          <w:color w:val="auto"/>
        </w:rPr>
        <w:t>”) with a target amount equal to one hundred percent (100%)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The applicable performance goals (which are expected to be based on the Corporation’s budget and strategic goals for such calendar year) will be mutually agreed upon by the Board and the Executive at or about the beginning of each calendar year. In the case of any such performance metric and other criteria that is not entirely objective, the determination of whether such performance metric or other criteria has been met shall lie in the reasonable discretion of the Board.</w:t>
      </w:r>
    </w:p>
    <w:p>
      <w:pPr>
        <w:spacing w:after="0" w:line="154" w:lineRule="exact"/>
        <w:rPr>
          <w:sz w:val="20"/>
          <w:szCs w:val="20"/>
          <w:color w:val="auto"/>
        </w:rPr>
      </w:pPr>
    </w:p>
    <w:p>
      <w:pPr>
        <w:jc w:val="both"/>
        <w:ind w:firstLine="656"/>
        <w:spacing w:after="0" w:line="238" w:lineRule="auto"/>
        <w:tabs>
          <w:tab w:leader="none" w:pos="129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Benefits</w:t>
      </w:r>
      <w:r>
        <w:rPr>
          <w:rFonts w:ascii="Times New Roman" w:cs="Times New Roman" w:eastAsia="Times New Roman" w:hAnsi="Times New Roman"/>
          <w:sz w:val="21"/>
          <w:szCs w:val="21"/>
          <w:color w:val="auto"/>
        </w:rPr>
        <w:t>. During the Term, the Executive shall receive the package of employee benefits that the Corporation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elects to make available to its most senior executive officers. In addition, the Executive shall receive four (4) weeks of vacation time per annum. The benefit package and the Executive’s use of her vacation time shall be subject to the Corporation’s policies.</w:t>
      </w:r>
    </w:p>
    <w:p>
      <w:pPr>
        <w:spacing w:after="0" w:line="145" w:lineRule="exact"/>
        <w:rPr>
          <w:rFonts w:ascii="Times New Roman" w:cs="Times New Roman" w:eastAsia="Times New Roman" w:hAnsi="Times New Roman"/>
          <w:sz w:val="21"/>
          <w:szCs w:val="21"/>
          <w:color w:val="auto"/>
        </w:rPr>
      </w:pPr>
    </w:p>
    <w:p>
      <w:pPr>
        <w:jc w:val="both"/>
        <w:ind w:firstLine="656"/>
        <w:spacing w:after="0" w:line="227" w:lineRule="auto"/>
        <w:tabs>
          <w:tab w:leader="none" w:pos="129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Business Expenses</w:t>
      </w:r>
      <w:r>
        <w:rPr>
          <w:rFonts w:ascii="Times New Roman" w:cs="Times New Roman" w:eastAsia="Times New Roman" w:hAnsi="Times New Roman"/>
          <w:sz w:val="22"/>
          <w:szCs w:val="22"/>
          <w:color w:val="auto"/>
        </w:rPr>
        <w:t>. Subject to Section 3.E, the Executive shall be reimbursed for all reasonable and necessary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expenses incurred by her during the Term in connection with her employment, including, for clarity, travel and living expenses incurred prior to Executive’s relocation as contemplated in Section 1.C above.</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Conditions to Reimbursement of Expenses</w:t>
      </w:r>
      <w:r>
        <w:rPr>
          <w:rFonts w:ascii="Times New Roman" w:cs="Times New Roman" w:eastAsia="Times New Roman" w:hAnsi="Times New Roman"/>
          <w:sz w:val="22"/>
          <w:szCs w:val="22"/>
          <w:color w:val="auto"/>
        </w:rPr>
        <w:t>. Reimbursement shall be based upon adherence to and submission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Executive of expense statements and other documentation thereof required in accordance with the Corporation’s expense reimbursement policies.</w:t>
      </w:r>
    </w:p>
    <w:p>
      <w:pPr>
        <w:spacing w:after="0" w:line="146" w:lineRule="exact"/>
        <w:rPr>
          <w:rFonts w:ascii="Times New Roman" w:cs="Times New Roman" w:eastAsia="Times New Roman" w:hAnsi="Times New Roman"/>
          <w:sz w:val="22"/>
          <w:szCs w:val="22"/>
          <w:color w:val="auto"/>
        </w:rPr>
      </w:pPr>
    </w:p>
    <w:p>
      <w:pPr>
        <w:ind w:right="20" w:firstLine="656"/>
        <w:spacing w:after="0" w:line="238" w:lineRule="auto"/>
        <w:tabs>
          <w:tab w:leader="none" w:pos="127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Life Insurance</w:t>
      </w:r>
      <w:r>
        <w:rPr>
          <w:rFonts w:ascii="Times New Roman" w:cs="Times New Roman" w:eastAsia="Times New Roman" w:hAnsi="Times New Roman"/>
          <w:sz w:val="22"/>
          <w:szCs w:val="22"/>
          <w:color w:val="auto"/>
        </w:rPr>
        <w:t>. Executive consents to and agrees to cooperate with the Corporation’s obtaining of insurance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life under a policy or policies owned by and for the benefit of the Corporation.</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GeneDx Sign On Bonus. </w:t>
      </w:r>
      <w:r>
        <w:rPr>
          <w:rFonts w:ascii="Times New Roman" w:cs="Times New Roman" w:eastAsia="Times New Roman" w:hAnsi="Times New Roman"/>
          <w:sz w:val="22"/>
          <w:szCs w:val="22"/>
          <w:color w:val="auto"/>
        </w:rPr>
        <w:t>The Executive shall receive a sign on cash bonus in the aggregate amount equal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lesser of (1) $1,500,000 and (2) the amount treated as a “</w:t>
      </w:r>
      <w:r>
        <w:rPr>
          <w:rFonts w:ascii="Times New Roman" w:cs="Times New Roman" w:eastAsia="Times New Roman" w:hAnsi="Times New Roman"/>
          <w:sz w:val="22"/>
          <w:szCs w:val="22"/>
          <w:i w:val="1"/>
          <w:iCs w:val="1"/>
          <w:color w:val="auto"/>
        </w:rPr>
        <w:t>Transaction Expense</w:t>
      </w:r>
      <w:r>
        <w:rPr>
          <w:rFonts w:ascii="Times New Roman" w:cs="Times New Roman" w:eastAsia="Times New Roman" w:hAnsi="Times New Roman"/>
          <w:sz w:val="22"/>
          <w:szCs w:val="22"/>
          <w:color w:val="auto"/>
        </w:rPr>
        <w:t>” for purposes the Merger Agreement on account of clause (i) of the “</w:t>
      </w:r>
      <w:r>
        <w:rPr>
          <w:rFonts w:ascii="Times New Roman" w:cs="Times New Roman" w:eastAsia="Times New Roman" w:hAnsi="Times New Roman"/>
          <w:sz w:val="22"/>
          <w:szCs w:val="22"/>
          <w:i w:val="1"/>
          <w:iCs w:val="1"/>
          <w:color w:val="auto"/>
        </w:rPr>
        <w:t>Stueland Employment Agreement Obligations</w:t>
      </w:r>
      <w:r>
        <w:rPr>
          <w:rFonts w:ascii="Times New Roman" w:cs="Times New Roman" w:eastAsia="Times New Roman" w:hAnsi="Times New Roman"/>
          <w:sz w:val="22"/>
          <w:szCs w:val="22"/>
          <w:color w:val="auto"/>
        </w:rPr>
        <w:t>”, within the meaning of the Merger Agreement, subject to subject to customary federal, state and local withholdings for income taxes, F.I.C.A. and similar charges, payable within the first full payroll period following the Closing Date.</w:t>
      </w:r>
    </w:p>
    <w:p>
      <w:pPr>
        <w:spacing w:after="0" w:line="14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EQUITY-BASED COMPENSATION AWARD; LOCK-UP PERIOD.</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22" w:lineRule="auto"/>
        <w:tabs>
          <w:tab w:leader="none" w:pos="129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the Effective Date, in accordance with the Sema4 Holdings Corp. 2021 Equity Incentive Plan (the “</w:t>
      </w:r>
      <w:r>
        <w:rPr>
          <w:rFonts w:ascii="Times New Roman" w:cs="Times New Roman" w:eastAsia="Times New Roman" w:hAnsi="Times New Roman"/>
          <w:sz w:val="21"/>
          <w:szCs w:val="21"/>
          <w:b w:val="1"/>
          <w:bCs w:val="1"/>
          <w:i w:val="1"/>
          <w:iCs w:val="1"/>
          <w:color w:val="auto"/>
        </w:rPr>
        <w:t>Incentive Plan</w:t>
      </w:r>
      <w:r>
        <w:rPr>
          <w:rFonts w:ascii="Times New Roman" w:cs="Times New Roman" w:eastAsia="Times New Roman" w:hAnsi="Times New Roman"/>
          <w:sz w:val="21"/>
          <w:szCs w:val="21"/>
          <w:color w:val="auto"/>
        </w:rPr>
        <w:t>”), and subject to the approval of the Board, as an inducement to enter into this Agreement, the Corporation shall grant the Executive an option to purchase a number of shares of Common Stock (as defined below) and a number of restricted stock units under the Incentive Plan having an aggregate grant-date value equal to $9,000,000 (the “</w:t>
      </w:r>
      <w:r>
        <w:rPr>
          <w:rFonts w:ascii="Times New Roman" w:cs="Times New Roman" w:eastAsia="Times New Roman" w:hAnsi="Times New Roman"/>
          <w:sz w:val="21"/>
          <w:szCs w:val="21"/>
          <w:b w:val="1"/>
          <w:bCs w:val="1"/>
          <w:i w:val="1"/>
          <w:iCs w:val="1"/>
          <w:color w:val="auto"/>
        </w:rPr>
        <w:t>Equity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Awards</w:t>
      </w:r>
      <w:r>
        <w:rPr>
          <w:rFonts w:ascii="Times New Roman" w:cs="Times New Roman" w:eastAsia="Times New Roman" w:hAnsi="Times New Roman"/>
          <w:sz w:val="21"/>
          <w:szCs w:val="21"/>
          <w:color w:val="auto"/>
        </w:rPr>
        <w:t>”), with 50% of such aggregate grant-date value represented by stock options (such stock options, the “</w:t>
      </w:r>
      <w:r>
        <w:rPr>
          <w:rFonts w:ascii="Times New Roman" w:cs="Times New Roman" w:eastAsia="Times New Roman" w:hAnsi="Times New Roman"/>
          <w:sz w:val="21"/>
          <w:szCs w:val="21"/>
          <w:b w:val="1"/>
          <w:bCs w:val="1"/>
          <w:i w:val="1"/>
          <w:iCs w:val="1"/>
          <w:color w:val="auto"/>
        </w:rPr>
        <w:t>Initial Options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the remaining 50% of such aggregate grant-date value represented by restrictive stock units, in each case with such grant-date value determined in accordance with Sema4’s customary practices. The terms of the Equity Awards shall be governed in all respects by the terms of the notice of grant and award agreement to be entered into in connection with such grant and the terms and conditions of the Incentive Plan, except as otherwise expressly set forth in this Agreement; provided that (1)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89" w:right="339" w:bottom="1440" w:gutter="0" w:footer="0" w:header="0"/>
        </w:sectPr>
      </w:pPr>
    </w:p>
    <w:bookmarkStart w:id="26" w:name="page27"/>
    <w:bookmarkEnd w:id="26"/>
    <w:p>
      <w:pPr>
        <w:jc w:val="both"/>
        <w:spacing w:after="0" w:line="213" w:lineRule="auto"/>
        <w:rPr>
          <w:sz w:val="20"/>
          <w:szCs w:val="20"/>
          <w:color w:val="auto"/>
        </w:rPr>
      </w:pPr>
      <w:r>
        <w:rPr>
          <w:rFonts w:ascii="Times New Roman" w:cs="Times New Roman" w:eastAsia="Times New Roman" w:hAnsi="Times New Roman"/>
          <w:sz w:val="22"/>
          <w:szCs w:val="22"/>
          <w:color w:val="auto"/>
        </w:rPr>
        <w:t>exercise price per share of Common Stock underlying the stock options shall be equal to the closing price of one share of Common Stock on the date of grant, and (2) the Equity Awards shall vest and become exercisable, as applicable, with respect to 25% of the underlying shares on the first anniversary of the Closing Date, 25% of the underlying shares on the second anniversary of the Closing Date, and 6.25% of the underlying shares on a quarterly basis thereafter through the fourth anniversary of the Closing Date, subject to the Executive’s continued service with the Corporation on each applicable vesting date, except as otherwise set forth in Section 5. The Executive hereby acknowledges that the Equity Awards may constitute an “inducement award” within the meaning of NASDAQ Listing Rule 5635(c)(4).</w:t>
      </w:r>
    </w:p>
    <w:p>
      <w:pPr>
        <w:spacing w:after="0" w:line="156" w:lineRule="exact"/>
        <w:rPr>
          <w:sz w:val="20"/>
          <w:szCs w:val="20"/>
          <w:color w:val="auto"/>
        </w:rPr>
      </w:pPr>
    </w:p>
    <w:p>
      <w:pPr>
        <w:jc w:val="both"/>
        <w:ind w:firstLine="656"/>
        <w:spacing w:after="0" w:line="209" w:lineRule="auto"/>
        <w:tabs>
          <w:tab w:leader="none" w:pos="129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agrees that, during the nine-month period following the date on which the Closing occurs (the “</w:t>
      </w:r>
      <w:r>
        <w:rPr>
          <w:rFonts w:ascii="Times New Roman" w:cs="Times New Roman" w:eastAsia="Times New Roman" w:hAnsi="Times New Roman"/>
          <w:sz w:val="22"/>
          <w:szCs w:val="22"/>
          <w:b w:val="1"/>
          <w:bCs w:val="1"/>
          <w:i w:val="1"/>
          <w:iCs w:val="1"/>
          <w:color w:val="auto"/>
        </w:rPr>
        <w:t>Lock-Up Period</w:t>
      </w:r>
      <w:r>
        <w:rPr>
          <w:rFonts w:ascii="Times New Roman" w:cs="Times New Roman" w:eastAsia="Times New Roman" w:hAnsi="Times New Roman"/>
          <w:sz w:val="22"/>
          <w:szCs w:val="22"/>
          <w:color w:val="auto"/>
        </w:rPr>
        <w:t>”), she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the Corporation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(ii) enter into any swap or other arrangement that transfers to another, in whole or in part, any of the economic consequences of ownership of any shares of Common Stock,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for which the Executive is the record holder and, in the case of any shares of Common Stock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pacing w:after="0" w:line="15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AND SEVERANCE.</w:t>
      </w:r>
    </w:p>
    <w:p>
      <w:pPr>
        <w:spacing w:after="0" w:line="18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5:</w:t>
      </w:r>
    </w:p>
    <w:p>
      <w:pPr>
        <w:spacing w:after="0" w:line="17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xml:space="preserve">” shall mean: (1) any repeated failure (except as result of sickness, illness or injury) or refusal by the Executive to perform any of her material duties pursuant to this Agreement or to carry out the instructions of the Board after written notice and a reasonable opportunity to cure such material breach; (2) material breach by the Executive of the Proprietary Rights Agreement (as defined below) after written notice and a reasonable opportunity to cure; (3) material breach by the Executive of any written corporate policy of the Corporation after written notice and a reasonable opportunity to cure, provided such breach is curable; (4) breach by the Executive of her fiduciary duty to the Corporation; (5) gross negligence or gross misconduct of the Executive in connection with the Corporation’s business or the performance of Executive’s duties; provided that in the case of gross negligence, such gross negligence results in harm to the Corporation; (6) the Executive’s conviction of or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any crime that would impair the reputation of the Corporation, any crime involving theft, embezzlement or other misappropriation of money or other property, or any crime which constitutes a felony in the jurisdiction involved; or (7) the Executive’s habitual absence or abuse of alcohol or controlled or illegal substances. No termination for Cause shall be effective unless the Board makes a Cause determination after written notice to the Executive and the Executive has been provided the opportunity (with counsel of Executive’s choice) to be heard at a meeting of the Board prior to its determination.</w:t>
      </w:r>
    </w:p>
    <w:p>
      <w:pPr>
        <w:spacing w:after="0" w:line="146" w:lineRule="exact"/>
        <w:rPr>
          <w:sz w:val="20"/>
          <w:szCs w:val="20"/>
          <w:color w:val="auto"/>
        </w:rPr>
      </w:pPr>
    </w:p>
    <w:p>
      <w:pPr>
        <w:jc w:val="both"/>
        <w:ind w:right="20"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color w:val="auto"/>
        </w:rPr>
        <w:t>” means the period (i) commencing on the later of (a) the date that is three (3) months prior to the effective date of a Change of Control and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27" w:name="page28"/>
    <w:bookmarkEnd w:id="27"/>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Potential Change in Control Date, and (ii) ending on the date that is twelve (12) months following the effective date of a Change in Control.</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a Corporate Transaction as defined in the Incentive Plan.</w:t>
      </w:r>
    </w:p>
    <w:p>
      <w:pPr>
        <w:spacing w:after="0" w:line="179"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shall mean the Executive’s inability to perform the essential duties of Executive’s employment hereunder with reasonable accommodation by reason of any medically determined physical or mental impairment that has lasted a period of not less than one-hundred-eighty (180) days (whether or not consecutive) in any consecutive three-hundred-sixty-five</w:t>
      </w:r>
    </w:p>
    <w:p>
      <w:pPr>
        <w:spacing w:after="0" w:line="2" w:lineRule="exact"/>
        <w:rPr>
          <w:sz w:val="20"/>
          <w:szCs w:val="20"/>
          <w:color w:val="auto"/>
        </w:rPr>
      </w:pPr>
    </w:p>
    <w:p>
      <w:pPr>
        <w:jc w:val="both"/>
        <w:ind w:firstLine="8"/>
        <w:spacing w:after="0" w:line="218" w:lineRule="auto"/>
        <w:tabs>
          <w:tab w:leader="none" w:pos="53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 as determined by a physician that is mutually acceptable to the Corporation and Executive. If Corporation and Executive cannot agree on a physician, each party shall select a physician and the two physicians shall select a third who shall be the approved physician for this purpose.</w:t>
      </w:r>
    </w:p>
    <w:p>
      <w:pPr>
        <w:spacing w:after="0" w:line="145"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shall mean: (1) any material breach by the Corporation of its obligations to the Executive pursuant to this Agreement (including, without limitation, a failure to pay Base Salary in accordance with Section 3.A); (2) the Executive is no longer the Corporation’s Chief Executive Officer or is required to report directly to anyone other than the Board;</w:t>
      </w:r>
    </w:p>
    <w:p>
      <w:pPr>
        <w:spacing w:after="0" w:line="2" w:lineRule="exact"/>
        <w:rPr>
          <w:sz w:val="20"/>
          <w:szCs w:val="20"/>
          <w:color w:val="auto"/>
        </w:rPr>
      </w:pPr>
    </w:p>
    <w:p>
      <w:pPr>
        <w:jc w:val="both"/>
        <w:ind w:firstLine="8"/>
        <w:spacing w:after="0" w:line="210" w:lineRule="auto"/>
        <w:tabs>
          <w:tab w:leader="none" w:pos="3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authority, duties or responsibility; (4) the Corporation requiring the Executive to relocate her place of employment to more than twenty five (25) miles from the Corporation’s Stamford, Connecticut headquarters; provided, however, that none of these events shall constitute Good Reason unless (i) the Executive notifies the Corporation in writing of the event(s) constituting Good Reason within sixty (60) days after the Executive first becomes aware of the occurrence of such event(s), (ii) the Corporation has failed to cure such event(s) within thirty (30) days after receipt of such notice, and (iii) the Executive resigns from all positions then held by the Executive no later than thirty (30) days after the expiration of such cure period.</w:t>
      </w:r>
    </w:p>
    <w:p>
      <w:pPr>
        <w:spacing w:after="0" w:line="14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Potential Change in Control Date</w:t>
      </w:r>
      <w:r>
        <w:rPr>
          <w:rFonts w:ascii="Times New Roman" w:cs="Times New Roman" w:eastAsia="Times New Roman" w:hAnsi="Times New Roman"/>
          <w:sz w:val="21"/>
          <w:szCs w:val="21"/>
          <w:color w:val="auto"/>
        </w:rPr>
        <w:t>” means the date on which the Corporation commences its engagement with the applicable counterparty to pursue the transaction that will constitute a Change in Control if such transaction is consummated.</w:t>
      </w:r>
    </w:p>
    <w:p>
      <w:pPr>
        <w:spacing w:after="0" w:line="116"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This Agreement, the Term and the Executive’s employment hereunder shall terminate upon any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the death or Disability of the Executive;</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determination by the Executive that there is Good Reason for such termination, upon written notice of termination from the Executive to the Corporation (following the expiration of the cure period);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Corporation to terminate this Agreement without Cause, upon sixty (60) days’ written notice to the Executive; or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Executive to terminate this Agreement without Good Reason, upon sixty (60) days’ written notice to the Corporation.</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Upon the termination of the Executive’s employment for any reason, the Executive (or her estate,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case may be) shall be entitled to receive (i) any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28" w:name="page29"/>
    <w:bookmarkEnd w:id="28"/>
    <w:p>
      <w:pPr>
        <w:jc w:val="both"/>
        <w:spacing w:after="0" w:line="217" w:lineRule="auto"/>
        <w:rPr>
          <w:sz w:val="20"/>
          <w:szCs w:val="20"/>
          <w:color w:val="auto"/>
        </w:rPr>
      </w:pPr>
      <w:r>
        <w:rPr>
          <w:rFonts w:ascii="Times New Roman" w:cs="Times New Roman" w:eastAsia="Times New Roman" w:hAnsi="Times New Roman"/>
          <w:sz w:val="22"/>
          <w:szCs w:val="22"/>
          <w:color w:val="auto"/>
        </w:rPr>
        <w:t>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her earned but unpaid Performance Bonus for the most recently completed calendar year (collectively, the “</w:t>
      </w:r>
      <w:r>
        <w:rPr>
          <w:rFonts w:ascii="Times New Roman" w:cs="Times New Roman" w:eastAsia="Times New Roman" w:hAnsi="Times New Roman"/>
          <w:sz w:val="22"/>
          <w:szCs w:val="22"/>
          <w:b w:val="1"/>
          <w:bCs w:val="1"/>
          <w:i w:val="1"/>
          <w:iCs w:val="1"/>
          <w:color w:val="auto"/>
        </w:rPr>
        <w:t>Accrued Compensation</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56"/>
        <w:spacing w:after="0" w:line="218" w:lineRule="auto"/>
        <w:tabs>
          <w:tab w:leader="none" w:pos="129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 Benefits Upon Termination by the Corporation Without Cause or by the Executive for Good Reason Outside of the Change in Control Period</w:t>
      </w:r>
      <w:r>
        <w:rPr>
          <w:rFonts w:ascii="Times New Roman" w:cs="Times New Roman" w:eastAsia="Times New Roman" w:hAnsi="Times New Roman"/>
          <w:sz w:val="22"/>
          <w:szCs w:val="22"/>
          <w:color w:val="auto"/>
        </w:rPr>
        <w:t>. Upon the termination of the Executive’s employment by the Corporation without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by the Executive for 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7"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2"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Severance</w:t>
      </w:r>
      <w:r>
        <w:rPr>
          <w:rFonts w:ascii="Times New Roman" w:cs="Times New Roman" w:eastAsia="Times New Roman" w:hAnsi="Times New Roman"/>
          <w:sz w:val="22"/>
          <w:szCs w:val="22"/>
          <w:color w:val="auto"/>
        </w:rPr>
        <w:t>. The Corporation shall pay the Executive, as severance, the equivalent of twenty-four (24)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months of the Executive’s Base Salary as in effect as of the date of such termination, payable in the form of salary continuation, on the Corporation’s regular payroll dates, subject to standard payroll deductions and withholdings, starting on the 60th day after the Executive’s termination date, with the first payment to include those payments that would have occurred earlier but for the 60-day delay.</w:t>
      </w:r>
    </w:p>
    <w:p>
      <w:pPr>
        <w:spacing w:after="0" w:line="14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8"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Benefits Continuation</w:t>
      </w:r>
      <w:r>
        <w:rPr>
          <w:rFonts w:ascii="Times New Roman" w:cs="Times New Roman" w:eastAsia="Times New Roman" w:hAnsi="Times New Roman"/>
          <w:sz w:val="21"/>
          <w:szCs w:val="21"/>
          <w:color w:val="auto"/>
        </w:rPr>
        <w:t>. Provided that the Executive is then eligible for and timely elects continued coverage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twenty-four (24) months following the Executive’s termination date;</w:t>
      </w:r>
    </w:p>
    <w:p>
      <w:pPr>
        <w:spacing w:after="0" w:line="2" w:lineRule="exact"/>
        <w:rPr>
          <w:rFonts w:ascii="Times New Roman" w:cs="Times New Roman" w:eastAsia="Times New Roman" w:hAnsi="Times New Roman"/>
          <w:sz w:val="21"/>
          <w:szCs w:val="21"/>
          <w:color w:val="auto"/>
        </w:rPr>
      </w:pPr>
    </w:p>
    <w:p>
      <w:pPr>
        <w:jc w:val="both"/>
        <w:ind w:firstLine="8"/>
        <w:spacing w:after="0" w:line="219" w:lineRule="auto"/>
        <w:tabs>
          <w:tab w:leader="none" w:pos="31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53"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44"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 Acceleration</w:t>
      </w:r>
      <w:r>
        <w:rPr>
          <w:rFonts w:ascii="Times New Roman" w:cs="Times New Roman" w:eastAsia="Times New Roman" w:hAnsi="Times New Roman"/>
          <w:sz w:val="22"/>
          <w:szCs w:val="22"/>
          <w:color w:val="auto"/>
        </w:rPr>
        <w:t>. The vesting of all unvested Specified Stock Options (as defined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and held by the Executive as of the date of such termination shall be accelerated such that 100% of the shares underlying such awards shall be deemed immediately vested and exercisable. For purposes of this Agreement, the “</w:t>
      </w:r>
      <w:r>
        <w:rPr>
          <w:rFonts w:ascii="Times New Roman" w:cs="Times New Roman" w:eastAsia="Times New Roman" w:hAnsi="Times New Roman"/>
          <w:sz w:val="22"/>
          <w:szCs w:val="22"/>
          <w:b w:val="1"/>
          <w:bCs w:val="1"/>
          <w:i w:val="1"/>
          <w:iCs w:val="1"/>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Stock Options</w:t>
      </w:r>
      <w:r>
        <w:rPr>
          <w:rFonts w:ascii="Times New Roman" w:cs="Times New Roman" w:eastAsia="Times New Roman" w:hAnsi="Times New Roman"/>
          <w:sz w:val="22"/>
          <w:szCs w:val="22"/>
          <w:color w:val="auto"/>
        </w:rPr>
        <w:t>” shall mean a portion of the Initial Options having an aggregate grant-date value equal to the amount treated as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 Expense</w:t>
      </w:r>
      <w:r>
        <w:rPr>
          <w:rFonts w:ascii="Times New Roman" w:cs="Times New Roman" w:eastAsia="Times New Roman" w:hAnsi="Times New Roman"/>
          <w:sz w:val="22"/>
          <w:szCs w:val="22"/>
          <w:color w:val="auto"/>
        </w:rPr>
        <w:t>” for purposes the Merger Agreement on account of clause (ii) of the “</w:t>
      </w:r>
      <w:r>
        <w:rPr>
          <w:rFonts w:ascii="Times New Roman" w:cs="Times New Roman" w:eastAsia="Times New Roman" w:hAnsi="Times New Roman"/>
          <w:sz w:val="22"/>
          <w:szCs w:val="22"/>
          <w:i w:val="1"/>
          <w:iCs w:val="1"/>
          <w:color w:val="auto"/>
        </w:rPr>
        <w:t>Stueland Employment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 in each case within the meaning of the Merger Agreement. The Corporation and the Executive shall cooperate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 the Specified Stock Options in accordance with the immediately preceding sentence as soon as practical following the grant of the Initial Options.</w:t>
      </w:r>
    </w:p>
    <w:p>
      <w:pPr>
        <w:spacing w:after="0" w:line="147"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 Benefits Upon Termination by the Corporation Without Cause or by the Executive for Good Reason During the Change in Control Period</w:t>
      </w:r>
      <w:r>
        <w:rPr>
          <w:rFonts w:ascii="Times New Roman" w:cs="Times New Roman" w:eastAsia="Times New Roman" w:hAnsi="Times New Roman"/>
          <w:sz w:val="22"/>
          <w:szCs w:val="22"/>
          <w:color w:val="auto"/>
        </w:rPr>
        <w:t>. Upon the termination of the Executive’s employment by the Corporation without Cause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Executive for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9" w:name="page30"/>
    <w:bookmarkEnd w:id="29"/>
    <w:p>
      <w:pPr>
        <w:jc w:val="both"/>
        <w:spacing w:after="0" w:line="225" w:lineRule="auto"/>
        <w:rPr>
          <w:sz w:val="20"/>
          <w:szCs w:val="20"/>
          <w:color w:val="auto"/>
        </w:rPr>
      </w:pPr>
      <w:r>
        <w:rPr>
          <w:rFonts w:ascii="Times New Roman" w:cs="Times New Roman" w:eastAsia="Times New Roman" w:hAnsi="Times New Roman"/>
          <w:sz w:val="22"/>
          <w:szCs w:val="22"/>
          <w:color w:val="auto"/>
        </w:rPr>
        <w:t>Reason during a Change in Control Period, the Executive will be entitled to receive the Executive’s Accrued Compensation and, subject to the requirements of Section 5.F, will be entitled to receive the following payments and benefits, in each case, less required deductions and withholdings:</w:t>
      </w:r>
    </w:p>
    <w:p>
      <w:pPr>
        <w:spacing w:after="0" w:line="148" w:lineRule="exact"/>
        <w:rPr>
          <w:sz w:val="20"/>
          <w:szCs w:val="20"/>
          <w:color w:val="auto"/>
        </w:rPr>
      </w:pPr>
    </w:p>
    <w:p>
      <w:pPr>
        <w:ind w:left="1940" w:hanging="636"/>
        <w:spacing w:after="0"/>
        <w:tabs>
          <w:tab w:leader="none" w:pos="194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Severance</w:t>
      </w:r>
      <w:r>
        <w:rPr>
          <w:rFonts w:ascii="Times New Roman" w:cs="Times New Roman" w:eastAsia="Times New Roman" w:hAnsi="Times New Roman"/>
          <w:sz w:val="22"/>
          <w:szCs w:val="22"/>
          <w:color w:val="auto"/>
        </w:rPr>
        <w:t>. The Corporation shall pay the Executive, as severance:</w:t>
      </w:r>
    </w:p>
    <w:p>
      <w:pPr>
        <w:spacing w:after="0" w:line="183" w:lineRule="exact"/>
        <w:rPr>
          <w:rFonts w:ascii="Times New Roman" w:cs="Times New Roman" w:eastAsia="Times New Roman" w:hAnsi="Times New Roman"/>
          <w:sz w:val="22"/>
          <w:szCs w:val="22"/>
          <w:color w:val="auto"/>
        </w:rPr>
      </w:pPr>
    </w:p>
    <w:p>
      <w:pPr>
        <w:jc w:val="both"/>
        <w:ind w:firstLine="968"/>
        <w:spacing w:after="0" w:line="220" w:lineRule="auto"/>
        <w:tabs>
          <w:tab w:leader="none" w:pos="157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equivalent of twenty-four (24) months of the Executive’s Base Salary as in effect as of the date of such termination, payable in the form of salary continuation, on the Corporation’s regular payroll dates, subject to standard payroll deductions and withholdings, starting on the 60th day after Executive’s termination date, with the first payment to include those payments that would have occurred earlier but for the 60-day delay; and;</w:t>
      </w:r>
    </w:p>
    <w:p>
      <w:pPr>
        <w:spacing w:after="0" w:line="152" w:lineRule="exact"/>
        <w:rPr>
          <w:rFonts w:ascii="Times New Roman" w:cs="Times New Roman" w:eastAsia="Times New Roman" w:hAnsi="Times New Roman"/>
          <w:sz w:val="22"/>
          <w:szCs w:val="22"/>
          <w:color w:val="auto"/>
        </w:rPr>
      </w:pPr>
    </w:p>
    <w:p>
      <w:pPr>
        <w:jc w:val="both"/>
        <w:ind w:firstLine="930"/>
        <w:spacing w:after="0" w:line="212" w:lineRule="auto"/>
        <w:tabs>
          <w:tab w:leader="none" w:pos="148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two hundred percent (200%)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provided that, in the event that such termination of employment occurs following a Potential Change in Control Date and prior to the consummation of a Change in Control, the amount described in this Section 5.E(i)(B) shall be paid in a lump sum as soon as practicable following the consummation of such Change in Control . For the avoidance of doubt, the amount payable pursuant to this Section 5.E(i)(B) shall not be subject to proration based on the portion of the year elapsed as of the date of termination.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8"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Benefits Continuation</w:t>
      </w:r>
      <w:r>
        <w:rPr>
          <w:rFonts w:ascii="Times New Roman" w:cs="Times New Roman" w:eastAsia="Times New Roman" w:hAnsi="Times New Roman"/>
          <w:sz w:val="21"/>
          <w:szCs w:val="21"/>
          <w:color w:val="auto"/>
        </w:rPr>
        <w:t>. Provided that the Executive is then eligible for and timely elects continued coverage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twenty-four (24)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51" w:lineRule="exact"/>
        <w:rPr>
          <w:rFonts w:ascii="Times New Roman" w:cs="Times New Roman" w:eastAsia="Times New Roman" w:hAnsi="Times New Roman"/>
          <w:sz w:val="21"/>
          <w:szCs w:val="21"/>
          <w:color w:val="auto"/>
        </w:rPr>
      </w:pPr>
    </w:p>
    <w:p>
      <w:pPr>
        <w:jc w:val="both"/>
        <w:ind w:firstLine="1304"/>
        <w:spacing w:after="0" w:line="222" w:lineRule="auto"/>
        <w:tabs>
          <w:tab w:leader="none" w:pos="1944"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Equity Award Acceleration</w:t>
      </w:r>
      <w:r>
        <w:rPr>
          <w:rFonts w:ascii="Times New Roman" w:cs="Times New Roman" w:eastAsia="Times New Roman" w:hAnsi="Times New Roman"/>
          <w:sz w:val="21"/>
          <w:szCs w:val="21"/>
          <w:color w:val="auto"/>
        </w:rPr>
        <w:t>. The vesting of all unvested equity-based incentive compensation awards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outstanding as of the date of such Change in Control and held by the Executive as of the date of such termination shall be accelerated such that 100% of the shares underlying such awards shall be deemed immediately vested and, if applicable, exercisable; provided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 provided, further, that, in the event that such termination of employment occurs following a Potential Change in Control Date and prior to the consummation of a Change in Control, each outstanding and unvested equity-based incentive compensation award shall cease vesting pursuant to its normal vesting schedule on the date of such termination of employment but shall not lapse or be forfeited on such date, and instead such awards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30" w:name="page31"/>
    <w:bookmarkEnd w:id="30"/>
    <w:p>
      <w:pPr>
        <w:jc w:val="both"/>
        <w:spacing w:after="0" w:line="225" w:lineRule="auto"/>
        <w:rPr>
          <w:sz w:val="20"/>
          <w:szCs w:val="20"/>
          <w:color w:val="auto"/>
        </w:rPr>
      </w:pPr>
      <w:r>
        <w:rPr>
          <w:rFonts w:ascii="Times New Roman" w:cs="Times New Roman" w:eastAsia="Times New Roman" w:hAnsi="Times New Roman"/>
          <w:sz w:val="22"/>
          <w:szCs w:val="22"/>
          <w:color w:val="auto"/>
        </w:rPr>
        <w:t>remain outstanding during the Change in Control Period, and in the event that a Change in Control subsequently occurs during the Change in Control Period, such awards shall become vested and, if applicable, exercisable, in each case to the extent set forth in this Section 5.E(iii) as if such termination occurred immediately following the Change in Control.</w:t>
      </w:r>
    </w:p>
    <w:p>
      <w:pPr>
        <w:spacing w:after="0" w:line="148" w:lineRule="exact"/>
        <w:rPr>
          <w:sz w:val="20"/>
          <w:szCs w:val="20"/>
          <w:color w:val="auto"/>
        </w:rPr>
      </w:pPr>
    </w:p>
    <w:p>
      <w:pPr>
        <w:jc w:val="both"/>
        <w:ind w:firstLine="656"/>
        <w:spacing w:after="0" w:line="216" w:lineRule="auto"/>
        <w:tabs>
          <w:tab w:leader="none" w:pos="127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Conditions to Receipt of Severance Benefits</w:t>
      </w:r>
      <w:r>
        <w:rPr>
          <w:rFonts w:ascii="Times New Roman" w:cs="Times New Roman" w:eastAsia="Times New Roman" w:hAnsi="Times New Roman"/>
          <w:sz w:val="21"/>
          <w:szCs w:val="21"/>
          <w:color w:val="auto"/>
        </w:rPr>
        <w:t>. As a condition to receiving the payments and benefits set forth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5.D and Section 5.E, (i) the Executive must execute and deliver to the Corporation a release of claims in a form reasonably acceptable to the Corporation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Section 12 of this Agreement, or the Proprietary Rights Agreement. The Corporation shall provide the Release to the Executive within 21 days following the date of termination. 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w:t>
      </w:r>
    </w:p>
    <w:p>
      <w:pPr>
        <w:spacing w:after="0" w:line="9" w:lineRule="exact"/>
        <w:rPr>
          <w:rFonts w:ascii="Times New Roman" w:cs="Times New Roman" w:eastAsia="Times New Roman" w:hAnsi="Times New Roman"/>
          <w:sz w:val="21"/>
          <w:szCs w:val="21"/>
          <w:color w:val="auto"/>
        </w:rPr>
      </w:pPr>
    </w:p>
    <w:p>
      <w:pPr>
        <w:jc w:val="both"/>
        <w:ind w:firstLine="8"/>
        <w:spacing w:after="0" w:line="218" w:lineRule="auto"/>
        <w:tabs>
          <w:tab w:leader="none" w:pos="38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 termination by the Corporation without Cause or by the Executive for Good Reason that occurs following a Potential Change in Control Date and before the consummation of a Change in Control result in duplicate payments or benefits to the Executive under Section 5.E.</w:t>
      </w:r>
    </w:p>
    <w:p>
      <w:pPr>
        <w:spacing w:after="0" w:line="148"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PROPRIETARY RIGHTS AGREEMENT.</w:t>
      </w:r>
    </w:p>
    <w:p>
      <w:pPr>
        <w:spacing w:after="0" w:line="17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The Executive agrees to execute and abide by the Proprietary Information and Inventions Agreement (the “</w:t>
      </w:r>
      <w:r>
        <w:rPr>
          <w:rFonts w:ascii="Times New Roman" w:cs="Times New Roman" w:eastAsia="Times New Roman" w:hAnsi="Times New Roman"/>
          <w:sz w:val="22"/>
          <w:szCs w:val="22"/>
          <w:b w:val="1"/>
          <w:bCs w:val="1"/>
          <w:i w:val="1"/>
          <w:iCs w:val="1"/>
          <w:color w:val="auto"/>
        </w:rPr>
        <w:t>Proprietary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Rights Agreement</w:t>
      </w:r>
      <w:r>
        <w:rPr>
          <w:rFonts w:ascii="Times New Roman" w:cs="Times New Roman" w:eastAsia="Times New Roman" w:hAnsi="Times New Roman"/>
          <w:sz w:val="22"/>
          <w:szCs w:val="22"/>
          <w:color w:val="auto"/>
        </w:rPr>
        <w:t>”) which the Corporation requires each employee to execute, which is attached here to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 incorporated and made part of this Agreement.</w:t>
      </w:r>
    </w:p>
    <w:p>
      <w:pPr>
        <w:spacing w:after="0" w:line="14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 ASSIGNMENT.</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148"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EXCLUSIVE EMPLOYMENT.</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During her employment with the Corporation, the Executive will not do anything to compete with the present or contemplated business of the Corporation, suffer to exist any conflict of interest in respect of her relationship with the Corporation or plan or organize any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31" w:name="page32"/>
    <w:bookmarkEnd w:id="31"/>
    <w:p>
      <w:pPr>
        <w:jc w:val="both"/>
        <w:spacing w:after="0" w:line="211" w:lineRule="auto"/>
        <w:rPr>
          <w:sz w:val="20"/>
          <w:szCs w:val="20"/>
          <w:color w:val="auto"/>
        </w:rPr>
      </w:pPr>
      <w:r>
        <w:rPr>
          <w:rFonts w:ascii="Times New Roman" w:cs="Times New Roman" w:eastAsia="Times New Roman" w:hAnsi="Times New Roman"/>
          <w:sz w:val="22"/>
          <w:szCs w:val="22"/>
          <w:color w:val="auto"/>
        </w:rPr>
        <w:t>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will not enter into any agreement that conflicts with her duties or obligations to the Corporation; all corporate opportunities which are consistent with the business and purpose of the Corporation are to be the property of the Corporation and cannot be used or disclosed by the Executive for any purpose other than performing her duties for the Corporation, and the Executive shall present to the Corporation any such opportunities of which she becomes aware; provided, however, that the provisions of this sentence are subject to the provisions of Article Eight of the Amended and Restated Certificate of Incorporation of the Corporation. The Executive shall at all times strictly comply with the Corporation’s conflicts of interest policy and any other policies adopted by the Board.</w:t>
      </w:r>
    </w:p>
    <w:p>
      <w:pPr>
        <w:spacing w:after="0" w:line="15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15" w:lineRule="auto"/>
        <w:tabs>
          <w:tab w:leader="none" w:pos="129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her employment and the provisions of this Agreement, the Executive agrees that during her employment with the Corporation, and for a period of twelve (12) months following the termination of her employment with the Corporation for any reason, she will not solicit on behalf of herself or any organization other than the Corporation any person or entity who is then or within the last twelve (12) months was a customer or vendor of the Corporation or render services directly or indirectly anywhere within the United States of America for herself or on behalf of any third-party to any organization that is a competitor of the Corporation as of the date of such termination.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that for twelve (12) months following the termination of her employment for any reason, she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her employment by Corporation, the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2"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agrees that the restrictions and agreements contained in this Section 9 are reasonable and necessary to protect the legitimate interests of the Corporation and that any violation of this Section 9 will cause substantial and irreparable harm to the Corporation that would not be quantifiable and for which no adequate remedy would exist at law. Accordingly, the Executive authorizes the issuance of injunctive relief against her, without the requirement of posting bond, for any violation of this Section 9. In addition, the parties agree that the prevailing party in any legal action to enforce this Agreement shall be entitled to recover its reasonable attorneys’ fees incurred in enforcing this Agreement from the non-prevailing party.</w:t>
      </w:r>
    </w:p>
    <w:p>
      <w:pPr>
        <w:spacing w:after="0" w:line="149"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409A COMPLIANCE.</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and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 agree that the payments, benefits and other provisions applicable to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32" w:name="page33"/>
    <w:bookmarkEnd w:id="32"/>
    <w:p>
      <w:pPr>
        <w:jc w:val="both"/>
        <w:spacing w:after="0" w:line="207" w:lineRule="auto"/>
        <w:rPr>
          <w:sz w:val="20"/>
          <w:szCs w:val="20"/>
          <w:color w:val="auto"/>
        </w:rPr>
      </w:pPr>
      <w:r>
        <w:rPr>
          <w:rFonts w:ascii="Times New Roman" w:cs="Times New Roman" w:eastAsia="Times New Roman" w:hAnsi="Times New Roman"/>
          <w:sz w:val="22"/>
          <w:szCs w:val="22"/>
          <w:color w:val="auto"/>
        </w:rPr>
        <w:t>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 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Times New Roman" w:cs="Times New Roman" w:eastAsia="Times New Roman" w:hAnsi="Times New Roman"/>
          <w:sz w:val="22"/>
          <w:szCs w:val="22"/>
          <w:b w:val="1"/>
          <w:bCs w:val="1"/>
          <w:i w:val="1"/>
          <w:iCs w:val="1"/>
          <w:color w:val="auto"/>
        </w:rPr>
        <w:t>409A Suspension Period</w:t>
      </w:r>
      <w:r>
        <w:rPr>
          <w:rFonts w:ascii="Times New Roman" w:cs="Times New Roman" w:eastAsia="Times New Roman" w:hAnsi="Times New Roman"/>
          <w:sz w:val="22"/>
          <w:szCs w:val="22"/>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409 Suspension Period beforehand). To the extent not otherwise specified in this Agreement, all (A) reimbursements and (B) in-kind benefits provided under this Agreement shall be made or provided in accordance with the requirements of Section 409A,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48"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280G.</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33" w:name="page34"/>
    <w:bookmarkEnd w:id="33"/>
    <w:p>
      <w:pPr>
        <w:jc w:val="both"/>
        <w:spacing w:after="0" w:line="211" w:lineRule="auto"/>
        <w:rPr>
          <w:sz w:val="20"/>
          <w:szCs w:val="20"/>
          <w:color w:val="auto"/>
        </w:rPr>
      </w:pPr>
      <w:r>
        <w:rPr>
          <w:rFonts w:ascii="Times New Roman" w:cs="Times New Roman" w:eastAsia="Times New Roman" w:hAnsi="Times New Roman"/>
          <w:sz w:val="22"/>
          <w:szCs w:val="22"/>
          <w:color w:val="auto"/>
        </w:rPr>
        <w:t>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Times New Roman" w:cs="Times New Roman" w:eastAsia="Times New Roman" w:hAnsi="Times New Roman"/>
          <w:sz w:val="22"/>
          <w:szCs w:val="22"/>
          <w:b w:val="1"/>
          <w:bCs w:val="1"/>
          <w:i w:val="1"/>
          <w:iCs w:val="1"/>
          <w:color w:val="auto"/>
        </w:rPr>
        <w:t>Accountants</w:t>
      </w:r>
      <w:r>
        <w:rPr>
          <w:rFonts w:ascii="Times New Roman" w:cs="Times New Roman" w:eastAsia="Times New Roman" w:hAnsi="Times New Roman"/>
          <w:sz w:val="22"/>
          <w:szCs w:val="22"/>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 request in order to make a determination under this Section 11. The Corporation shall bear all costs the Accountants may reasonably incur in connection with any calculations contemplated by this Section 11.</w:t>
      </w:r>
    </w:p>
    <w:p>
      <w:pPr>
        <w:spacing w:after="0" w:line="154"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10" w:lineRule="auto"/>
        <w:tabs>
          <w:tab w:leader="none" w:pos="129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during the course of and as a result of her employment, she has and may receive or otherwise have access to, or contribute to the production of: (i) customer or supplier lists or information, marketing plans, sales plans, management organization information (including data and other information relating to members of the Board and management), operating policies or manuals, business plans, processes and techniques, financial records, financial statements, trade secrets, intellectual property and/or other financial, commercial, or business information relating to the Corporation, its parents, subsidiaries and affiliates, or its investors or the purchase and sale of its securities or securities any of its parents or subsidiaries, or (ii) information designated as confidential or proprietary that the Corporation or its parents, subsidiaries or affiliates, if any, may receive from their suppliers, customers, or others who do business with the Corporation or any of its subsidiaries and affiliates (collectively, “</w:t>
      </w:r>
      <w:r>
        <w:rPr>
          <w:rFonts w:ascii="Times New Roman" w:cs="Times New Roman" w:eastAsia="Times New Roman" w:hAnsi="Times New Roman"/>
          <w:sz w:val="22"/>
          <w:szCs w:val="22"/>
          <w:b w:val="1"/>
          <w:bCs w:val="1"/>
          <w:i w:val="1"/>
          <w:iCs w:val="1"/>
          <w:color w:val="auto"/>
        </w:rPr>
        <w:t>Confidential and Proprietary Information</w:t>
      </w:r>
      <w:r>
        <w:rPr>
          <w:rFonts w:ascii="Times New Roman" w:cs="Times New Roman" w:eastAsia="Times New Roman" w:hAnsi="Times New Roman"/>
          <w:sz w:val="22"/>
          <w:szCs w:val="22"/>
          <w:color w:val="auto"/>
        </w:rPr>
        <w:t>”). The Executive further acknowledges that the Confidential and Proprietary Information constitutes a valuable asset of the Corporation and that the Corporation intends any such information to remain secret and confidential.</w:t>
      </w:r>
    </w:p>
    <w:p>
      <w:pPr>
        <w:spacing w:after="0" w:line="157"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such use or disclosure required in the good faith performance of her duties for the Corporation, the Executive agrees to keep all Confidential and Proprietary Information made available to her in the course of performing her duties under this Agreement strictly confidential, including but not limited to information relating to the Corporation’s business, business strategies, computer programs and processes, customers, products, services, prices, employees, sales, marketing, or financial matters. No such information may be used or disclosed by the Executive for her own benefit or for the benefit of third parties, or for any purpose other than the performance of her duties to the Corporation under this Agreement. The Executive agrees that all results, information, plans, or strategies developed during the course of this Agreement are the sole property of the Corporation and are not to be revealed to any third party either during the course of the Executive’s employment with the Corporation or at any time thereafter.</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2"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her employment with the Corporation for any reason, the Executive shall deliver promptly to the Corporation all records, manuals, books, blank forms, documents, letters, memoranda, notes, notebooks, reports, data, tables, calculations or copies thereof that relate in any way to the business, products, practices or techniques of the Corporation, and all other property, trade secrets and confidential information of the Corporation, including, but not limited to, all computer and telephone equipment, computer disks and storage devices, credit cards, and documents that in whole or in part contain any trade secrets or confidential information of the Corporation, which in any of these cases are in her possession or under her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34" w:name="page35"/>
    <w:bookmarkEnd w:id="34"/>
    <w:p>
      <w:pPr>
        <w:jc w:val="both"/>
        <w:ind w:firstLine="656"/>
        <w:spacing w:after="0" w:line="227" w:lineRule="auto"/>
        <w:tabs>
          <w:tab w:leader="none" w:pos="129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it appears that the Executive has breached the provisions of this Section 12 (or has threatened to breach such provisions), the Corporation shall be entitled to an injunction restraining the Executive from further breaches, and from providing services to any person or entity to whom or to which the Corporation’s Confidential and Proprietary Information has been or may be disclosed, or who or which would benefit from receiving the Corporation’s Confidential and Proprietary Information. The Corporation shall in addition be entitled to pursue any other available remedies, including any claim for damages.</w:t>
      </w:r>
    </w:p>
    <w:p>
      <w:pPr>
        <w:spacing w:after="0" w:line="149"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w:t>
      </w:r>
    </w:p>
    <w:p>
      <w:pPr>
        <w:spacing w:after="0" w:line="17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Corporation shall indemnify the Executive, to the maximum extent permitted by applicable law, and in the same or</w:t>
      </w:r>
    </w:p>
    <w:p>
      <w:pPr>
        <w:jc w:val="both"/>
        <w:spacing w:after="0" w:line="211" w:lineRule="auto"/>
        <w:rPr>
          <w:sz w:val="20"/>
          <w:szCs w:val="20"/>
          <w:color w:val="auto"/>
        </w:rPr>
      </w:pPr>
      <w:r>
        <w:rPr>
          <w:rFonts w:ascii="Times New Roman" w:cs="Times New Roman" w:eastAsia="Times New Roman" w:hAnsi="Times New Roman"/>
          <w:sz w:val="22"/>
          <w:szCs w:val="22"/>
          <w:color w:val="auto"/>
        </w:rPr>
        <w:t>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 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50"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DUTY TO MITIGATE</w:t>
      </w:r>
    </w:p>
    <w:p>
      <w:pPr>
        <w:spacing w:after="0" w:line="18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no event shall the Executive be obligated to seek other employment or take any other action by way of mitigation of the amounts payable to the Executive under any provisions of this Agreement.</w:t>
      </w:r>
    </w:p>
    <w:p>
      <w:pPr>
        <w:spacing w:after="0" w:line="146"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17" w:lineRule="auto"/>
        <w:tabs>
          <w:tab w:leader="none" w:pos="129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in accordance with and governed by the laws of the State of New York, without reference to the principles thereof respecting conflicts of laws. Each party to this Agreement, by her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Corporation, its permitted successors and assigns and the Executive, her heirs, executors, administrators and legal representatives.</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Proprietary Rights Agreement set forth the entire understanding of the parties hereto with respect to the employment of the Executive by the Corporation. Any and all other previous agreements and understandings between or among the parties regarding the subject matter hereof, including the Prior GeneDx Agreement and the Prior Sema4 Agreement, whether written or oral, are hereby released, merged herein and superseded by this Agreement, except as otherwise expressly set forth in Section 1.B.</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statement, representation, warranty, covenant or agreement not expressly set forth in this Agreement shall affect or be used to interpret, change or restrict the express terms and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35" w:name="page36"/>
    <w:bookmarkEnd w:id="35"/>
    <w:p>
      <w:pPr>
        <w:jc w:val="both"/>
        <w:ind w:firstLine="656"/>
        <w:spacing w:after="0" w:line="215" w:lineRule="auto"/>
        <w:tabs>
          <w:tab w:leader="none" w:pos="127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4, 5, 6, 9, 10, 12, 13, 14 and 15 shall survive any termination or expiration of this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this Agreement as of the date first above written.</w:t>
      </w:r>
    </w:p>
    <w:p>
      <w:pPr>
        <w:sectPr>
          <w:pgSz w:w="11900" w:h="16838" w:orient="portrait"/>
          <w:cols w:equalWidth="0" w:num="1">
            <w:col w:w="9880"/>
          </w:cols>
          <w:pgMar w:left="980" w:top="1395" w:right="1039" w:bottom="1440" w:gutter="0" w:footer="0" w:header="0"/>
        </w:sectPr>
      </w:pPr>
    </w:p>
    <w:p>
      <w:pPr>
        <w:spacing w:after="0" w:line="2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THE CORPORATION:</w:t>
      </w:r>
    </w:p>
    <w:p>
      <w:pPr>
        <w:spacing w:after="0" w:line="28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Sema4 Holdings Corp.</w:t>
      </w:r>
    </w:p>
    <w:p>
      <w:pPr>
        <w:spacing w:after="0" w:line="287" w:lineRule="exact"/>
        <w:rPr>
          <w:sz w:val="20"/>
          <w:szCs w:val="20"/>
          <w:color w:val="auto"/>
        </w:rPr>
      </w:pPr>
    </w:p>
    <w:tbl>
      <w:tblPr>
        <w:tblLayout w:type="fixed"/>
        <w:tblInd w:w="4600" w:type="dxa"/>
        <w:tblCellMar>
          <w:top w:w="0" w:type="dxa"/>
          <w:left w:w="0" w:type="dxa"/>
          <w:bottom w:w="0" w:type="dxa"/>
          <w:right w:w="0" w:type="dxa"/>
        </w:tblCellMar>
      </w:tblP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Joshua Ruch</w:t>
            </w:r>
          </w:p>
        </w:tc>
        <w:tc>
          <w:tcPr>
            <w:tcW w:w="0" w:type="dxa"/>
            <w:vAlign w:val="bottom"/>
          </w:tcPr>
          <w:p>
            <w:pPr>
              <w:spacing w:after="0"/>
              <w:rPr>
                <w:sz w:val="1"/>
                <w:szCs w:val="1"/>
                <w:color w:val="auto"/>
              </w:rPr>
            </w:pPr>
          </w:p>
        </w:tc>
      </w:tr>
      <w:tr>
        <w:trPr>
          <w:trHeight w:val="251"/>
        </w:trPr>
        <w:tc>
          <w:tcPr>
            <w:tcW w:w="9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98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Joshua Ruch</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280" w:type="dxa"/>
            <w:vAlign w:val="bottom"/>
            <w:gridSpan w:val="2"/>
          </w:tcPr>
          <w:p>
            <w:pPr>
              <w:spacing w:after="0" w:line="217" w:lineRule="exact"/>
              <w:rPr>
                <w:sz w:val="20"/>
                <w:szCs w:val="20"/>
                <w:color w:val="auto"/>
              </w:rPr>
            </w:pPr>
            <w:r>
              <w:rPr>
                <w:rFonts w:ascii="Times New Roman" w:cs="Times New Roman" w:eastAsia="Times New Roman" w:hAnsi="Times New Roman"/>
                <w:sz w:val="22"/>
                <w:szCs w:val="22"/>
                <w:color w:val="auto"/>
                <w:w w:val="97"/>
              </w:rPr>
              <w:t>Chairman of the Compensation Committee of the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Corporation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THE EXECUTIVE:</w:t>
      </w:r>
    </w:p>
    <w:p>
      <w:pPr>
        <w:spacing w:after="0" w:line="28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 Katherine Stueland</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-160020</wp:posOffset>
            </wp:positionV>
            <wp:extent cx="3120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ectPr>
          <w:pgSz w:w="11900" w:h="16838" w:orient="portrait"/>
          <w:cols w:equalWidth="0" w:num="1">
            <w:col w:w="9880"/>
          </w:cols>
          <w:pgMar w:left="980" w:top="1395" w:right="10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jc w:val="center"/>
        <w:spacing w:after="0"/>
        <w:rPr>
          <w:sz w:val="20"/>
          <w:szCs w:val="20"/>
          <w:color w:val="auto"/>
        </w:rPr>
      </w:pPr>
      <w:r>
        <w:rPr>
          <w:rFonts w:ascii="Times New Roman" w:cs="Times New Roman" w:eastAsia="Times New Roman" w:hAnsi="Times New Roman"/>
          <w:sz w:val="21"/>
          <w:szCs w:val="21"/>
          <w:b w:val="1"/>
          <w:bCs w:val="1"/>
          <w:color w:val="auto"/>
        </w:rPr>
        <w:t>PROPRIETARY INFORMATION AND INVENTIONS AGREEMENT</w:t>
      </w:r>
    </w:p>
    <w:p>
      <w:pPr>
        <w:sectPr>
          <w:pgSz w:w="11900" w:h="16838" w:orient="portrait"/>
          <w:cols w:equalWidth="0" w:num="1">
            <w:col w:w="9019"/>
          </w:cols>
          <w:pgMar w:left="1440" w:top="1382" w:right="1440"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Auditors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We consent to the use of our report dated March 15, 2022, with respect to the combined carve-out financial statements of GeneDx, Inc. and subsidiary included in the Proxy Statement of Sema4 Holdings Corp. dated March 31, 2022 and incorporated by reference in this Current Report on Form 8-K.</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Ernst &amp; Young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Miami, Florida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 2022</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line="281" w:lineRule="auto"/>
        <w:rPr>
          <w:sz w:val="20"/>
          <w:szCs w:val="20"/>
          <w:color w:val="auto"/>
        </w:rPr>
      </w:pPr>
      <w:r>
        <w:rPr>
          <w:rFonts w:ascii="Arial" w:cs="Arial" w:eastAsia="Arial" w:hAnsi="Arial"/>
          <w:sz w:val="32"/>
          <w:szCs w:val="32"/>
          <w:b w:val="1"/>
          <w:bCs w:val="1"/>
          <w:color w:val="auto"/>
        </w:rPr>
        <w:t>Sema4 Announces the Completion of the GeneDx Acquisition and a Streamlined Leadership Structure to Accelerate Growth of its Diagnostic and Clinical Data Platforms</w:t>
      </w:r>
    </w:p>
    <w:p>
      <w:pPr>
        <w:spacing w:after="0" w:line="44"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i w:val="1"/>
          <w:iCs w:val="1"/>
          <w:color w:val="auto"/>
        </w:rPr>
        <w:t>Acquisition creates an AI-driven advanced health intelligence company, now leveraging one of the largest genomic testing platforms in the U.S.</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Katherine Stueland, former President and CEO of GeneDx, joins Sema4 as CEO and will serve on Board of Directors</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Eric Schadt, founder and former CEO of Sema4, to serve as President and Chief Research &amp; Development Officer and to continue to serve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 Board of Directors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Sema4 closes $200 million private placement from leading growth and life sciences investors, including Pfizer</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STAMFORD, CT — May 2, 2022 — </w:t>
      </w:r>
      <w:r>
        <w:rPr>
          <w:rFonts w:ascii="Arial" w:cs="Arial" w:eastAsia="Arial" w:hAnsi="Arial"/>
          <w:sz w:val="18"/>
          <w:szCs w:val="18"/>
          <w:color w:val="auto"/>
        </w:rPr>
        <w:t>Sema4 (Nasdaq: SMFR), an AI-driven genomic and clinical data intelligence platform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it has completed the acquisition of GeneDx, LLC (“GeneDx”), a leader in genomic testing and analysis for rare disorders, from OPKO Health, Inc. (Nasdaq: OPK) (“OPKO”). The transaction establishes Sema4 as one of the largest and most advanced providers of genomic testing in the U.S. and further strengthens its health information database to transform patient care and improve therapeutic development. The acquisition accelerates Sema4’s ability to deliver precision medicine while driving efficiency in its platform as it transforms the standard of patient care.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Sema4 has streamlined its management team to enable focused execution across its top business priorities, including expanded molecular testing and data-driven health system and biopharma partnerships. Katherine Stueland, former President and CEO of GeneDx and former Chief Commercial Officer of Invitae, will serve as Sema4’s CEO and will serve on Sema4’s Board of Directors. Ms. Stueland brings more than 25 years of experience in the healthcare industry, having overseen multiple commercial organizations and corporate brand transformations.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delighted to have the opportunity to lead Sema4 as we embark on this next chapter for the combined companies with a focus on growth, operating efficiency, scaling toward profitability, and transformational partnerships,” said Ms. Stueland. “Our vision is to accelerate the use of genomics and leverage large-scale clinical data to enhance the standard of care through extensive precision medicine solutions. I look forward to realizing that vision with Sema4’s unmatched health intelligence platform, enabling comprehensive family health, from planning a pregnancy through every stage of life.”</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combined company has excellent momentum heading into the remainder of this year,” continued Ms. Stueland. “We look forward to providing a comprehensive financial update and forward looking guidance our first quarter earnings conference call on May 12th.”</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Eric Schadt, PhD, Sema4’s Founder, will serve as President and Chief Research &amp; Development Officer, reporting to Ms. Stueland, and will continue to serve on the Board of Directors.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very excited to add GeneDx’s complementary capabilities and equally thrilled to welcome Katherine as our new CEO, given her extensive leadership, commercial, and operational experience,” said Dr. Schadt. “This transformative evolution in the scale of our business positions Sema4 to further revolutionize patient care and to provide more holistic support to health system and biopharma partners. I am excited by the opportunity to redouble my efforts to drive our data platform forward and transform not only clinical practice but the way biopharma companies use data to drive innovation.”</w:t>
      </w:r>
    </w:p>
    <w:p>
      <w:pPr>
        <w:sectPr>
          <w:pgSz w:w="11900" w:h="16838" w:orient="portrait"/>
          <w:cols w:equalWidth="0" w:num="1">
            <w:col w:w="11240"/>
          </w:cols>
          <w:pgMar w:left="320" w:top="10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Summary of Transaction Details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agreement, Sema4 has acquired GeneDx for an upfront payment of $150 million in cash, subject to adjustment, plus 80.0 million shares of Sema4’s Class A common stock, with up to an additional $150 million revenue-based milestones over the next two years (which will be payable in cash or shares of Sema4 Class A common stock at Sema4’s discretion). Based on the closing stock price of Sema4’s Class A common stock as of April 29, 2022, the trading date on the closing of the transaction, the total upfront consideration represents approximately $322 million, and the total aggregate consideration including potential milestones is approximately $472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was announced on January 18, 2022 and received approval from Sema4 stockholders on April 27, 2022.</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connection with the transaction, Sema4 has also closed a private placement financing in which it sold $200 million of Sema4’s Class A common stock at a price of $4.00 per share with a syndicate of institutional investors, including Pfizer.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Sema4</w:t>
      </w:r>
    </w:p>
    <w:p>
      <w:pPr>
        <w:spacing w:after="0" w:line="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w:t>
      </w:r>
      <w:r>
        <w:rPr>
          <w:rFonts w:ascii="Arial" w:cs="Arial" w:eastAsia="Arial" w:hAnsi="Arial"/>
          <w:sz w:val="23"/>
          <w:szCs w:val="23"/>
          <w:color w:val="auto"/>
          <w:vertAlign w:val="superscript"/>
        </w:rPr>
        <w:t>®</w:t>
      </w:r>
      <w:r>
        <w:rPr>
          <w:rFonts w:ascii="Arial" w:cs="Arial" w:eastAsia="Arial" w:hAnsi="Arial"/>
          <w:sz w:val="18"/>
          <w:szCs w:val="18"/>
          <w:color w:val="auto"/>
        </w:rPr>
        <w:t>,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sema4.com and connect with Sema4 on Twitter, LinkedIn, Facebook and YouTube.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Forward-Looking Statements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highlight w:val="white"/>
        </w:rPr>
        <w:t>This press release contains certain forward-looking statements within the meaning of the federal securities laws, including statements regarding our future performance and our market opportunity, including our expectations related to our acquisition of GeneDx including its anticipated impact on our business and financial condition, our anticipated plans and strategies, and potential growth opportunities.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and (iv) the risk we may not realize the full benefits expected from the acquisition of GeneDx. The foregoing list of factors is not exhaustive. You should carefully consider the foregoing factors and the other risks and uncertainties described in the “Risk Factors” section of our Annual Report on Form 10-K for the year ended December 31, 2021, filed with the U.S. Securities and Exchange Commission (the “SEC”) on March 14, 2022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Joel Kaufman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investors@sema4.com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Radley Moss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radley.moss@sema4.com</w:t>
      </w:r>
    </w:p>
    <w:p>
      <w:pPr>
        <w:sectPr>
          <w:pgSz w:w="11900" w:h="16838" w:orient="portrait"/>
          <w:cols w:equalWidth="0" w:num="1">
            <w:col w:w="10139"/>
          </w:cols>
          <w:pgMar w:left="320" w:top="1421"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WAIVER AND AMENDMENT TO AGREEMENT AND PLAN OF MERGER AND REORGANIZATION</w:t>
      </w:r>
    </w:p>
    <w:p>
      <w:pPr>
        <w:spacing w:after="0" w:line="19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This WAIVER AND AMENDMENT TO AGREEMENT AND PLAN OF MERGER AND REORGANIZATION (this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is made and entered into as of April 29, 2022, by and between Sema4 Holdings Corp., a Delaware corporation (“</w:t>
      </w:r>
      <w:r>
        <w:rPr>
          <w:rFonts w:ascii="Times New Roman" w:cs="Times New Roman" w:eastAsia="Times New Roman" w:hAnsi="Times New Roman"/>
          <w:sz w:val="19"/>
          <w:szCs w:val="19"/>
          <w:b w:val="1"/>
          <w:bCs w:val="1"/>
          <w:i w:val="1"/>
          <w:iCs w:val="1"/>
          <w:color w:val="auto"/>
        </w:rPr>
        <w:t>Acquirer</w:t>
      </w:r>
      <w:r>
        <w:rPr>
          <w:rFonts w:ascii="Times New Roman" w:cs="Times New Roman" w:eastAsia="Times New Roman" w:hAnsi="Times New Roman"/>
          <w:sz w:val="19"/>
          <w:szCs w:val="19"/>
          <w:color w:val="auto"/>
        </w:rPr>
        <w:t>”)</w:t>
      </w:r>
    </w:p>
    <w:p>
      <w:pPr>
        <w:jc w:val="both"/>
        <w:spacing w:after="0" w:line="228" w:lineRule="auto"/>
        <w:rPr>
          <w:sz w:val="20"/>
          <w:szCs w:val="20"/>
          <w:color w:val="auto"/>
        </w:rPr>
      </w:pPr>
      <w:r>
        <w:rPr>
          <w:rFonts w:ascii="Times New Roman" w:cs="Times New Roman" w:eastAsia="Times New Roman" w:hAnsi="Times New Roman"/>
          <w:sz w:val="20"/>
          <w:szCs w:val="20"/>
          <w:color w:val="auto"/>
        </w:rPr>
        <w:t>and OPKO Health, Inc., a Delaware corporation (“</w:t>
      </w:r>
      <w:r>
        <w:rPr>
          <w:rFonts w:ascii="Times New Roman" w:cs="Times New Roman" w:eastAsia="Times New Roman" w:hAnsi="Times New Roman"/>
          <w:sz w:val="20"/>
          <w:szCs w:val="20"/>
          <w:b w:val="1"/>
          <w:bCs w:val="1"/>
          <w:i w:val="1"/>
          <w:iCs w:val="1"/>
          <w:color w:val="auto"/>
        </w:rPr>
        <w:t>Seller</w:t>
      </w:r>
      <w:r>
        <w:rPr>
          <w:rFonts w:ascii="Times New Roman" w:cs="Times New Roman" w:eastAsia="Times New Roman" w:hAnsi="Times New Roman"/>
          <w:sz w:val="20"/>
          <w:szCs w:val="20"/>
          <w:color w:val="auto"/>
        </w:rPr>
        <w:t>”). Capitalized terms not otherwise defined in this Amendment shall have the respective meanings given to them in the Merger Agreement.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19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WHEREAS, the parties hereto are parties to the Agreement and Plan of Merger and Reorganization, dated as of January 14, 2022 (the “</w:t>
      </w:r>
      <w:r>
        <w:rPr>
          <w:rFonts w:ascii="Times New Roman" w:cs="Times New Roman" w:eastAsia="Times New Roman" w:hAnsi="Times New Roman"/>
          <w:sz w:val="20"/>
          <w:szCs w:val="20"/>
          <w:b w:val="1"/>
          <w:bCs w:val="1"/>
          <w:i w:val="1"/>
          <w:iCs w:val="1"/>
          <w:color w:val="auto"/>
        </w:rPr>
        <w:t>Merger Agreement</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WHEREAS, the Merger Agreement provides that the obligations of Acquirer to consummate the Transactions are subject to the satisfaction or waiver at or prior to the Closing of, among other things, the following condition: Acquirer’s receipt from the Company Group</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of written consents, approvals, novations, amendments and terminations from (A) all Top Payors and (B) third parties in respect of Contracts so as to satisfy the Payor Revenue Threshold (the “</w:t>
      </w:r>
      <w:r>
        <w:rPr>
          <w:rFonts w:ascii="Times New Roman" w:cs="Times New Roman" w:eastAsia="Times New Roman" w:hAnsi="Times New Roman"/>
          <w:sz w:val="20"/>
          <w:szCs w:val="20"/>
          <w:b w:val="1"/>
          <w:bCs w:val="1"/>
          <w:i w:val="1"/>
          <w:iCs w:val="1"/>
          <w:color w:val="auto"/>
        </w:rPr>
        <w:t>Specified Condition</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WHEREAS, Section 2.3(a) of the Merger Agreement requires that Seller deliver the Estimated Closing Statement no less than five days prior to the Closing Date and Seller actually delivered the Estimated Closing Statement three days prior to the Closing Date;</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WHEREAS, pursuant to Section 9.6 of the Merger Agreement, the Merger Agreement may be amended by an instrument in writing signed by Acquirer and Seller and pursuant to Sections 9.6 and 6.3 of the Merger Agreement, any of the conditions thereof may be waived by an instrument in writing signed by the Party waiving compliance; and</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WHEREAS, Acquirer and Seller desire to amend the Merger Agreement as set forth in this Amendment, and Acquirer has agreed to waive the Specified Condition.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193"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are hereby acknowledged, the parties hereto, intending to be legally bound, agree as follows:</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Waiver of Specified Condition</w:t>
      </w:r>
      <w:r>
        <w:rPr>
          <w:rFonts w:ascii="Times New Roman" w:cs="Times New Roman" w:eastAsia="Times New Roman" w:hAnsi="Times New Roman"/>
          <w:sz w:val="20"/>
          <w:szCs w:val="20"/>
          <w:color w:val="auto"/>
        </w:rPr>
        <w:t>. Pursuant to Sections 9.6 and 6.3 of the Merger Agreement, Acquirer hereby waives Seller and the Company Group’s performance and completion of the Specified Condition.</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Waiver of Deadline to Deliver the Estimated Closing Statement</w:t>
      </w:r>
      <w:r>
        <w:rPr>
          <w:rFonts w:ascii="Times New Roman" w:cs="Times New Roman" w:eastAsia="Times New Roman" w:hAnsi="Times New Roman"/>
          <w:sz w:val="20"/>
          <w:szCs w:val="20"/>
          <w:color w:val="auto"/>
        </w:rPr>
        <w:t>. Acquirer hereby acknowledges receipt of the Estimated Closing Statement three days prior to the Closing Date and waives the requirement that Seller deliver such Estimated Closing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 no less than five days prior to the Closing Date.</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20"/>
          <w:szCs w:val="20"/>
          <w:u w:val="single" w:color="auto"/>
          <w:color w:val="auto"/>
        </w:rPr>
        <w:t>Amendment to Section 2.7(c) of the Merger Agreement</w:t>
      </w:r>
      <w:r>
        <w:rPr>
          <w:rFonts w:ascii="Times New Roman" w:cs="Times New Roman" w:eastAsia="Times New Roman" w:hAnsi="Times New Roman"/>
          <w:sz w:val="20"/>
          <w:szCs w:val="20"/>
          <w:color w:val="auto"/>
        </w:rPr>
        <w:t>. The parties hereto agree that the second to last sentence of</w:t>
      </w:r>
    </w:p>
    <w:p>
      <w:pPr>
        <w:spacing w:after="0"/>
        <w:rPr>
          <w:sz w:val="20"/>
          <w:szCs w:val="20"/>
          <w:color w:val="auto"/>
        </w:rPr>
      </w:pPr>
      <w:r>
        <w:rPr>
          <w:rFonts w:ascii="Times New Roman" w:cs="Times New Roman" w:eastAsia="Times New Roman" w:hAnsi="Times New Roman"/>
          <w:sz w:val="20"/>
          <w:szCs w:val="20"/>
          <w:color w:val="auto"/>
        </w:rPr>
        <w:t>Section 2.7(c) of the Merger Agreement will be amended and restated as set forth below:</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“Each Milestone Payment shall be satisfied through the payment and issuance of a combination of cash and shares of</w:t>
      </w:r>
    </w:p>
    <w:p>
      <w:pPr>
        <w:jc w:val="both"/>
        <w:ind w:left="1300"/>
        <w:spacing w:after="0" w:line="204" w:lineRule="auto"/>
        <w:rPr>
          <w:sz w:val="20"/>
          <w:szCs w:val="20"/>
          <w:color w:val="auto"/>
        </w:rPr>
      </w:pPr>
      <w:r>
        <w:rPr>
          <w:rFonts w:ascii="Times New Roman" w:cs="Times New Roman" w:eastAsia="Times New Roman" w:hAnsi="Times New Roman"/>
          <w:sz w:val="20"/>
          <w:szCs w:val="20"/>
          <w:i w:val="1"/>
          <w:iCs w:val="1"/>
          <w:color w:val="auto"/>
        </w:rPr>
        <w:t>Acquirer Stock (valued at the Share Value and equitably adjusted for any stock split, reverse stock split, stock dividend (including any dividend or distribution of securities convertible into capital stock), reorganization, reclassification,</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i w:val="1"/>
          <w:iCs w:val="1"/>
          <w:color w:val="auto"/>
        </w:rPr>
        <w:t>combination, recapitalization or other like change with respect to the Acquirer Stock occurring on or after the Closing), with such mix to be determined in</w:t>
      </w:r>
    </w:p>
    <w:p>
      <w:pPr>
        <w:sectPr>
          <w:pgSz w:w="11900" w:h="16838" w:orient="portrait"/>
          <w:cols w:equalWidth="0" w:num="1">
            <w:col w:w="11240"/>
          </w:cols>
          <w:pgMar w:left="320" w:top="104" w:right="339" w:bottom="1440" w:gutter="0" w:footer="0" w:header="0"/>
        </w:sectPr>
      </w:pPr>
    </w:p>
    <w:bookmarkStart w:id="43" w:name="page44"/>
    <w:bookmarkEnd w:id="43"/>
    <w:p>
      <w:pPr>
        <w:ind w:left="1300"/>
        <w:spacing w:after="0" w:line="245" w:lineRule="auto"/>
        <w:rPr>
          <w:sz w:val="20"/>
          <w:szCs w:val="20"/>
          <w:color w:val="auto"/>
        </w:rPr>
      </w:pPr>
      <w:r>
        <w:rPr>
          <w:rFonts w:ascii="Times New Roman" w:cs="Times New Roman" w:eastAsia="Times New Roman" w:hAnsi="Times New Roman"/>
          <w:sz w:val="20"/>
          <w:szCs w:val="20"/>
          <w:i w:val="1"/>
          <w:iCs w:val="1"/>
          <w:color w:val="auto"/>
        </w:rPr>
        <w:t>Acquirer’s sole discretion; provided that such allocation shall be determined such that the aggregate amount of cash included in the Total Merger Consideration remains consistent with the Intended Tax Treatment.”</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20"/>
          <w:szCs w:val="20"/>
          <w:u w:val="single" w:color="auto"/>
          <w:color w:val="auto"/>
        </w:rPr>
        <w:t>Amendment to Section 5.12(a)(i) of the Merger Agreement</w:t>
      </w:r>
      <w:r>
        <w:rPr>
          <w:rFonts w:ascii="Times New Roman" w:cs="Times New Roman" w:eastAsia="Times New Roman" w:hAnsi="Times New Roman"/>
          <w:sz w:val="20"/>
          <w:szCs w:val="20"/>
          <w:color w:val="auto"/>
        </w:rPr>
        <w:t>. The parties hereto agree that Section 5.12(a)(i) of the</w:t>
      </w:r>
    </w:p>
    <w:p>
      <w:pPr>
        <w:spacing w:after="0"/>
        <w:rPr>
          <w:sz w:val="20"/>
          <w:szCs w:val="20"/>
          <w:color w:val="auto"/>
        </w:rPr>
      </w:pPr>
      <w:r>
        <w:rPr>
          <w:rFonts w:ascii="Times New Roman" w:cs="Times New Roman" w:eastAsia="Times New Roman" w:hAnsi="Times New Roman"/>
          <w:sz w:val="20"/>
          <w:szCs w:val="20"/>
          <w:color w:val="auto"/>
        </w:rPr>
        <w:t>Merger Agreement will be amended and restated as set forth below:</w:t>
      </w:r>
    </w:p>
    <w:p>
      <w:pPr>
        <w:spacing w:after="0" w:line="163" w:lineRule="exact"/>
        <w:rPr>
          <w:sz w:val="20"/>
          <w:szCs w:val="20"/>
          <w:color w:val="auto"/>
        </w:rPr>
      </w:pPr>
    </w:p>
    <w:p>
      <w:pPr>
        <w:ind w:left="1300"/>
        <w:spacing w:after="0" w:line="2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Following the Closing and until the second (2</w:t>
      </w:r>
      <w:r>
        <w:rPr>
          <w:rFonts w:ascii="Times New Roman" w:cs="Times New Roman" w:eastAsia="Times New Roman" w:hAnsi="Times New Roman"/>
          <w:sz w:val="24"/>
          <w:szCs w:val="24"/>
          <w:i w:val="1"/>
          <w:iCs w:val="1"/>
          <w:color w:val="auto"/>
          <w:vertAlign w:val="superscript"/>
        </w:rPr>
        <w:t>nd</w:t>
      </w:r>
      <w:r>
        <w:rPr>
          <w:rFonts w:ascii="Times New Roman" w:cs="Times New Roman" w:eastAsia="Times New Roman" w:hAnsi="Times New Roman"/>
          <w:sz w:val="19"/>
          <w:szCs w:val="19"/>
          <w:i w:val="1"/>
          <w:iCs w:val="1"/>
          <w:color w:val="auto"/>
        </w:rPr>
        <w:t>) anniversary of the Closing Date (the “</w:t>
      </w:r>
      <w:r>
        <w:rPr>
          <w:rFonts w:ascii="Times New Roman" w:cs="Times New Roman" w:eastAsia="Times New Roman" w:hAnsi="Times New Roman"/>
          <w:sz w:val="19"/>
          <w:szCs w:val="19"/>
          <w:b w:val="1"/>
          <w:bCs w:val="1"/>
          <w:i w:val="1"/>
          <w:iCs w:val="1"/>
          <w:color w:val="auto"/>
        </w:rPr>
        <w:t>Claims Period</w:t>
      </w:r>
      <w:r>
        <w:rPr>
          <w:rFonts w:ascii="Times New Roman" w:cs="Times New Roman" w:eastAsia="Times New Roman" w:hAnsi="Times New Roman"/>
          <w:sz w:val="19"/>
          <w:szCs w:val="19"/>
          <w:i w:val="1"/>
          <w:iCs w:val="1"/>
          <w:color w:val="auto"/>
        </w:rPr>
        <w:t>”), with respect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claims for events or Damages related to the Company Products with respect to pre-Closing occurrences that are covered by</w:t>
      </w:r>
    </w:p>
    <w:p>
      <w:pPr>
        <w:ind w:left="1300"/>
        <w:spacing w:after="0" w:line="212" w:lineRule="auto"/>
        <w:rPr>
          <w:sz w:val="20"/>
          <w:szCs w:val="20"/>
          <w:color w:val="auto"/>
        </w:rPr>
      </w:pPr>
      <w:r>
        <w:rPr>
          <w:rFonts w:ascii="Times New Roman" w:cs="Times New Roman" w:eastAsia="Times New Roman" w:hAnsi="Times New Roman"/>
          <w:sz w:val="20"/>
          <w:szCs w:val="20"/>
          <w:i w:val="1"/>
          <w:iCs w:val="1"/>
          <w:color w:val="auto"/>
        </w:rPr>
        <w:t>Seller’s third-party general and professional liability insurance policies including the applicable endorsements thereto with</w:t>
      </w:r>
    </w:p>
    <w:p>
      <w:pPr>
        <w:spacing w:after="0" w:line="1" w:lineRule="exact"/>
        <w:rPr>
          <w:sz w:val="20"/>
          <w:szCs w:val="20"/>
          <w:color w:val="auto"/>
        </w:rPr>
      </w:pPr>
    </w:p>
    <w:p>
      <w:pPr>
        <w:jc w:val="both"/>
        <w:ind w:left="1300" w:right="20"/>
        <w:spacing w:after="0" w:line="215" w:lineRule="auto"/>
        <w:rPr>
          <w:sz w:val="20"/>
          <w:szCs w:val="20"/>
          <w:color w:val="auto"/>
        </w:rPr>
      </w:pPr>
      <w:r>
        <w:rPr>
          <w:rFonts w:ascii="Times New Roman" w:cs="Times New Roman" w:eastAsia="Times New Roman" w:hAnsi="Times New Roman"/>
          <w:sz w:val="19"/>
          <w:szCs w:val="19"/>
          <w:i w:val="1"/>
          <w:iCs w:val="1"/>
          <w:color w:val="auto"/>
        </w:rPr>
        <w:t>respect to the Company as in effect on the Closing Date (the “</w:t>
      </w:r>
      <w:r>
        <w:rPr>
          <w:rFonts w:ascii="Times New Roman" w:cs="Times New Roman" w:eastAsia="Times New Roman" w:hAnsi="Times New Roman"/>
          <w:sz w:val="19"/>
          <w:szCs w:val="19"/>
          <w:b w:val="1"/>
          <w:bCs w:val="1"/>
          <w:i w:val="1"/>
          <w:iCs w:val="1"/>
          <w:color w:val="auto"/>
        </w:rPr>
        <w:t>Applicable Endorsements</w:t>
      </w:r>
      <w:r>
        <w:rPr>
          <w:rFonts w:ascii="Times New Roman" w:cs="Times New Roman" w:eastAsia="Times New Roman" w:hAnsi="Times New Roman"/>
          <w:sz w:val="19"/>
          <w:szCs w:val="19"/>
          <w:i w:val="1"/>
          <w:iCs w:val="1"/>
          <w:color w:val="auto"/>
        </w:rPr>
        <w:t>” and, together with such insurance policies, the “</w:t>
      </w:r>
      <w:r>
        <w:rPr>
          <w:rFonts w:ascii="Times New Roman" w:cs="Times New Roman" w:eastAsia="Times New Roman" w:hAnsi="Times New Roman"/>
          <w:sz w:val="19"/>
          <w:szCs w:val="19"/>
          <w:b w:val="1"/>
          <w:bCs w:val="1"/>
          <w:i w:val="1"/>
          <w:iCs w:val="1"/>
          <w:color w:val="auto"/>
        </w:rPr>
        <w:t>Available Insurance Policies</w:t>
      </w:r>
      <w:r>
        <w:rPr>
          <w:rFonts w:ascii="Times New Roman" w:cs="Times New Roman" w:eastAsia="Times New Roman" w:hAnsi="Times New Roman"/>
          <w:sz w:val="19"/>
          <w:szCs w:val="19"/>
          <w:i w:val="1"/>
          <w:iCs w:val="1"/>
          <w:color w:val="auto"/>
        </w:rPr>
        <w:t>”), subject in all cases to the terms and limitations of such policies (such claims,</w:t>
      </w:r>
    </w:p>
    <w:p>
      <w:pPr>
        <w:ind w:left="1300"/>
        <w:spacing w:after="0" w:line="211" w:lineRule="auto"/>
        <w:rPr>
          <w:sz w:val="20"/>
          <w:szCs w:val="20"/>
          <w:color w:val="auto"/>
        </w:rPr>
      </w:pPr>
      <w:r>
        <w:rPr>
          <w:rFonts w:ascii="Times New Roman" w:cs="Times New Roman" w:eastAsia="Times New Roman" w:hAnsi="Times New Roman"/>
          <w:sz w:val="20"/>
          <w:szCs w:val="20"/>
          <w:i w:val="1"/>
          <w:iCs w:val="1"/>
          <w:color w:val="auto"/>
        </w:rPr>
        <w:t>the “</w:t>
      </w:r>
      <w:r>
        <w:rPr>
          <w:rFonts w:ascii="Times New Roman" w:cs="Times New Roman" w:eastAsia="Times New Roman" w:hAnsi="Times New Roman"/>
          <w:sz w:val="20"/>
          <w:szCs w:val="20"/>
          <w:b w:val="1"/>
          <w:bCs w:val="1"/>
          <w:i w:val="1"/>
          <w:iCs w:val="1"/>
          <w:color w:val="auto"/>
        </w:rPr>
        <w:t>Valid Pre-Closing Claims</w:t>
      </w:r>
      <w:r>
        <w:rPr>
          <w:rFonts w:ascii="Times New Roman" w:cs="Times New Roman" w:eastAsia="Times New Roman" w:hAnsi="Times New Roman"/>
          <w:sz w:val="20"/>
          <w:szCs w:val="20"/>
          <w:i w:val="1"/>
          <w:iCs w:val="1"/>
          <w:color w:val="auto"/>
        </w:rPr>
        <w:t>”), (A) Acquirer may promptly notify Seller in writing of any matter that is reasonably</w:t>
      </w:r>
    </w:p>
    <w:p>
      <w:pPr>
        <w:ind w:left="1300" w:right="20"/>
        <w:spacing w:after="0" w:line="204" w:lineRule="auto"/>
        <w:rPr>
          <w:sz w:val="20"/>
          <w:szCs w:val="20"/>
          <w:color w:val="auto"/>
        </w:rPr>
      </w:pPr>
      <w:r>
        <w:rPr>
          <w:rFonts w:ascii="Times New Roman" w:cs="Times New Roman" w:eastAsia="Times New Roman" w:hAnsi="Times New Roman"/>
          <w:sz w:val="20"/>
          <w:szCs w:val="20"/>
          <w:i w:val="1"/>
          <w:iCs w:val="1"/>
          <w:color w:val="auto"/>
        </w:rPr>
        <w:t>expected to give rise to a Valid Pre-Closing Claim under any such Available Insurance Policy (provided that the failure to promptly notify Seller shall not relieve Seller from its obligations under clause (B), except to the extent that such failure</w:t>
      </w:r>
    </w:p>
    <w:p>
      <w:pPr>
        <w:jc w:val="right"/>
        <w:spacing w:after="0" w:line="211" w:lineRule="auto"/>
        <w:rPr>
          <w:sz w:val="20"/>
          <w:szCs w:val="20"/>
          <w:color w:val="auto"/>
        </w:rPr>
      </w:pPr>
      <w:r>
        <w:rPr>
          <w:rFonts w:ascii="Times New Roman" w:cs="Times New Roman" w:eastAsia="Times New Roman" w:hAnsi="Times New Roman"/>
          <w:sz w:val="20"/>
          <w:szCs w:val="20"/>
          <w:i w:val="1"/>
          <w:iCs w:val="1"/>
          <w:color w:val="auto"/>
        </w:rPr>
        <w:t>invalidates the validity of any purportedly Valid Pre-Closing Claim), and (B) Seller shall, and shall cause its Affiliates to, (1)</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i w:val="1"/>
          <w:iCs w:val="1"/>
          <w:color w:val="auto"/>
        </w:rPr>
        <w:t>make Valid Pre-Closing Claims and reasonably pursue and seek to recover on such claims under the terms of the applicable Available Insurance Policies and (2) reasonably promptly deliver to Acquirer any insurance proceeds received with respect</w:t>
      </w:r>
    </w:p>
    <w:p>
      <w:pPr>
        <w:ind w:left="1300"/>
        <w:spacing w:after="0" w:line="211" w:lineRule="auto"/>
        <w:rPr>
          <w:sz w:val="20"/>
          <w:szCs w:val="20"/>
          <w:color w:val="auto"/>
        </w:rPr>
      </w:pPr>
      <w:r>
        <w:rPr>
          <w:rFonts w:ascii="Times New Roman" w:cs="Times New Roman" w:eastAsia="Times New Roman" w:hAnsi="Times New Roman"/>
          <w:sz w:val="20"/>
          <w:szCs w:val="20"/>
          <w:i w:val="1"/>
          <w:iCs w:val="1"/>
          <w:color w:val="auto"/>
        </w:rPr>
        <w:t>thereto (calculated net of reasonable expenses incurred in procuring such recovery and any increase in premiums or</w:t>
      </w:r>
    </w:p>
    <w:p>
      <w:pPr>
        <w:ind w:left="1300"/>
        <w:spacing w:after="0" w:line="204" w:lineRule="auto"/>
        <w:rPr>
          <w:sz w:val="20"/>
          <w:szCs w:val="20"/>
          <w:color w:val="auto"/>
        </w:rPr>
      </w:pPr>
      <w:r>
        <w:rPr>
          <w:rFonts w:ascii="Times New Roman" w:cs="Times New Roman" w:eastAsia="Times New Roman" w:hAnsi="Times New Roman"/>
          <w:sz w:val="20"/>
          <w:szCs w:val="20"/>
          <w:i w:val="1"/>
          <w:iCs w:val="1"/>
          <w:color w:val="auto"/>
        </w:rPr>
        <w:t>retroactive premium adjustments or chargebacks paid by or on behalf of Seller to the extent resulting from such claims, and taking into account the available coverage under each Available Insurance Policy, it being understood that such coverage</w:t>
      </w:r>
    </w:p>
    <w:p>
      <w:pPr>
        <w:spacing w:after="0" w:line="1" w:lineRule="exact"/>
        <w:rPr>
          <w:sz w:val="20"/>
          <w:szCs w:val="20"/>
          <w:color w:val="auto"/>
        </w:rPr>
      </w:pPr>
    </w:p>
    <w:p>
      <w:pPr>
        <w:jc w:val="both"/>
        <w:ind w:left="1300"/>
        <w:spacing w:after="0" w:line="215" w:lineRule="auto"/>
        <w:rPr>
          <w:sz w:val="20"/>
          <w:szCs w:val="20"/>
          <w:color w:val="auto"/>
        </w:rPr>
      </w:pPr>
      <w:r>
        <w:rPr>
          <w:rFonts w:ascii="Times New Roman" w:cs="Times New Roman" w:eastAsia="Times New Roman" w:hAnsi="Times New Roman"/>
          <w:sz w:val="19"/>
          <w:szCs w:val="19"/>
          <w:i w:val="1"/>
          <w:iCs w:val="1"/>
          <w:color w:val="auto"/>
        </w:rPr>
        <w:t xml:space="preserve">shall first be available to satisfy other claims of Seller or its Affiliates that are pending under such policy at the time the claim for the benefit of Acquirer is made);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i w:val="1"/>
          <w:iCs w:val="1"/>
          <w:color w:val="auto"/>
        </w:rPr>
        <w:t xml:space="preserve"> that, unless otherwise deducted from the proceeds received by Acquirer,</w:t>
      </w:r>
    </w:p>
    <w:p>
      <w:pPr>
        <w:ind w:left="1300"/>
        <w:spacing w:after="0" w:line="211" w:lineRule="auto"/>
        <w:rPr>
          <w:sz w:val="20"/>
          <w:szCs w:val="20"/>
          <w:color w:val="auto"/>
        </w:rPr>
      </w:pPr>
      <w:r>
        <w:rPr>
          <w:rFonts w:ascii="Times New Roman" w:cs="Times New Roman" w:eastAsia="Times New Roman" w:hAnsi="Times New Roman"/>
          <w:sz w:val="20"/>
          <w:szCs w:val="20"/>
          <w:i w:val="1"/>
          <w:iCs w:val="1"/>
          <w:color w:val="auto"/>
        </w:rPr>
        <w:t>Acquirer shall pay (or reimburse Seller for), without duplication, any deductibles, retentions, loss-sensitive, self-insurance</w:t>
      </w:r>
    </w:p>
    <w:p>
      <w:pPr>
        <w:ind w:left="1300" w:right="20"/>
        <w:spacing w:after="0" w:line="215" w:lineRule="auto"/>
        <w:rPr>
          <w:sz w:val="20"/>
          <w:szCs w:val="20"/>
          <w:color w:val="auto"/>
        </w:rPr>
      </w:pPr>
      <w:r>
        <w:rPr>
          <w:rFonts w:ascii="Times New Roman" w:cs="Times New Roman" w:eastAsia="Times New Roman" w:hAnsi="Times New Roman"/>
          <w:sz w:val="19"/>
          <w:szCs w:val="19"/>
          <w:i w:val="1"/>
          <w:iCs w:val="1"/>
          <w:color w:val="auto"/>
        </w:rPr>
        <w:t>amounts or other costs, in each case, to the extent resulting from any Valid Pre-Closing Claim made by Seller or its Affiliates on behalf of any of Acquirer or the Company Group under such policies for Valid Pre-Closing Claims. Notwithstanding</w:t>
      </w:r>
    </w:p>
    <w:p>
      <w:pPr>
        <w:ind w:left="1300"/>
        <w:spacing w:after="0" w:line="211" w:lineRule="auto"/>
        <w:rPr>
          <w:sz w:val="20"/>
          <w:szCs w:val="20"/>
          <w:color w:val="auto"/>
        </w:rPr>
      </w:pPr>
      <w:r>
        <w:rPr>
          <w:rFonts w:ascii="Times New Roman" w:cs="Times New Roman" w:eastAsia="Times New Roman" w:hAnsi="Times New Roman"/>
          <w:sz w:val="20"/>
          <w:szCs w:val="20"/>
          <w:i w:val="1"/>
          <w:iCs w:val="1"/>
          <w:color w:val="auto"/>
        </w:rPr>
        <w:t>anything to the contrary contained herein: (i) the aggregate dollar amount of Valid Pre-Closing Claims shall be limited to</w:t>
      </w:r>
    </w:p>
    <w:p>
      <w:pPr>
        <w:ind w:left="1300"/>
        <w:spacing w:after="0" w:line="215" w:lineRule="auto"/>
        <w:rPr>
          <w:sz w:val="20"/>
          <w:szCs w:val="20"/>
          <w:color w:val="auto"/>
        </w:rPr>
      </w:pPr>
      <w:r>
        <w:rPr>
          <w:rFonts w:ascii="Times New Roman" w:cs="Times New Roman" w:eastAsia="Times New Roman" w:hAnsi="Times New Roman"/>
          <w:sz w:val="19"/>
          <w:szCs w:val="19"/>
          <w:i w:val="1"/>
          <w:iCs w:val="1"/>
          <w:color w:val="auto"/>
        </w:rPr>
        <w:t>the extent necessary such that Valid Pre-Closing Claims shall in no event exceed three-million dollars ($3,000,000) for either of the two years comprising the Claims Period (with the first such year commencing on the Closing Date, and the second</w:t>
      </w:r>
    </w:p>
    <w:p>
      <w:pPr>
        <w:ind w:left="1300"/>
        <w:spacing w:after="0" w:line="211" w:lineRule="auto"/>
        <w:rPr>
          <w:sz w:val="20"/>
          <w:szCs w:val="20"/>
          <w:color w:val="auto"/>
        </w:rPr>
      </w:pPr>
      <w:r>
        <w:rPr>
          <w:rFonts w:ascii="Times New Roman" w:cs="Times New Roman" w:eastAsia="Times New Roman" w:hAnsi="Times New Roman"/>
          <w:sz w:val="20"/>
          <w:szCs w:val="20"/>
          <w:i w:val="1"/>
          <w:iCs w:val="1"/>
          <w:color w:val="auto"/>
        </w:rPr>
        <w:t>such year commencing on the first anniversary of the Closing Date); and (ii) each individual Valid Pre-Closing Claim shall</w:t>
      </w:r>
    </w:p>
    <w:p>
      <w:pPr>
        <w:ind w:left="1300"/>
        <w:spacing w:after="0" w:line="215" w:lineRule="auto"/>
        <w:rPr>
          <w:sz w:val="20"/>
          <w:szCs w:val="20"/>
          <w:color w:val="auto"/>
        </w:rPr>
      </w:pPr>
      <w:r>
        <w:rPr>
          <w:rFonts w:ascii="Times New Roman" w:cs="Times New Roman" w:eastAsia="Times New Roman" w:hAnsi="Times New Roman"/>
          <w:sz w:val="19"/>
          <w:szCs w:val="19"/>
          <w:i w:val="1"/>
          <w:iCs w:val="1"/>
          <w:color w:val="auto"/>
        </w:rPr>
        <w:t>be limited to the extent necessary such that such Valid Pre-Closing Claim does not in any event exceed one-million dollars ($1,000,000). Seller shall use its commercially reasonable efforts to maintain in force the Applicable Endorsements. For the</w:t>
      </w:r>
    </w:p>
    <w:p>
      <w:pPr>
        <w:ind w:left="1300"/>
        <w:spacing w:after="0" w:line="211" w:lineRule="auto"/>
        <w:rPr>
          <w:sz w:val="20"/>
          <w:szCs w:val="20"/>
          <w:color w:val="auto"/>
        </w:rPr>
      </w:pPr>
      <w:r>
        <w:rPr>
          <w:rFonts w:ascii="Times New Roman" w:cs="Times New Roman" w:eastAsia="Times New Roman" w:hAnsi="Times New Roman"/>
          <w:sz w:val="20"/>
          <w:szCs w:val="20"/>
          <w:i w:val="1"/>
          <w:iCs w:val="1"/>
          <w:color w:val="auto"/>
        </w:rPr>
        <w:t>avoidance of doubt, Acquirer shall be liable for all uninsured, uncovered, unavailable or uncollectible Damages associated</w:t>
      </w:r>
    </w:p>
    <w:p>
      <w:pPr>
        <w:ind w:left="1300"/>
        <w:spacing w:after="0" w:line="215" w:lineRule="auto"/>
        <w:rPr>
          <w:sz w:val="20"/>
          <w:szCs w:val="20"/>
          <w:color w:val="auto"/>
        </w:rPr>
      </w:pPr>
      <w:r>
        <w:rPr>
          <w:rFonts w:ascii="Times New Roman" w:cs="Times New Roman" w:eastAsia="Times New Roman" w:hAnsi="Times New Roman"/>
          <w:sz w:val="19"/>
          <w:szCs w:val="19"/>
          <w:i w:val="1"/>
          <w:iCs w:val="1"/>
          <w:color w:val="auto"/>
        </w:rPr>
        <w:t>with any such Valid Pre-Closing Claim. Following the Closing, if permitted under the applicable Available Insurance Policy, Seller hereby authorizes Acquirer and its Subsidiaries, under the direction and control of Seller, to notify, make and pursue</w:t>
      </w:r>
    </w:p>
    <w:p>
      <w:pPr>
        <w:ind w:left="1300"/>
        <w:spacing w:after="0" w:line="211" w:lineRule="auto"/>
        <w:rPr>
          <w:sz w:val="20"/>
          <w:szCs w:val="20"/>
          <w:color w:val="auto"/>
        </w:rPr>
      </w:pPr>
      <w:r>
        <w:rPr>
          <w:rFonts w:ascii="Times New Roman" w:cs="Times New Roman" w:eastAsia="Times New Roman" w:hAnsi="Times New Roman"/>
          <w:sz w:val="20"/>
          <w:szCs w:val="20"/>
          <w:i w:val="1"/>
          <w:iCs w:val="1"/>
          <w:color w:val="auto"/>
        </w:rPr>
        <w:t xml:space="preserve">Valid Pre-Closing Claims as contemplated by this </w:t>
      </w:r>
      <w:r>
        <w:rPr>
          <w:rFonts w:ascii="Times New Roman" w:cs="Times New Roman" w:eastAsia="Times New Roman" w:hAnsi="Times New Roman"/>
          <w:sz w:val="20"/>
          <w:szCs w:val="20"/>
          <w:i w:val="1"/>
          <w:iCs w:val="1"/>
          <w:u w:val="single" w:color="auto"/>
          <w:color w:val="auto"/>
        </w:rPr>
        <w:t>Section 5.12(a)(i)</w:t>
      </w:r>
      <w:r>
        <w:rPr>
          <w:rFonts w:ascii="Times New Roman" w:cs="Times New Roman" w:eastAsia="Times New Roman" w:hAnsi="Times New Roman"/>
          <w:sz w:val="20"/>
          <w:szCs w:val="20"/>
          <w:i w:val="1"/>
          <w:iCs w:val="1"/>
          <w:color w:val="auto"/>
        </w:rPr>
        <w:t xml:space="preserve"> under the Available Insurance Policies, subject to the</w:t>
      </w:r>
    </w:p>
    <w:p>
      <w:pPr>
        <w:ind w:left="1300"/>
        <w:spacing w:after="0" w:line="204" w:lineRule="auto"/>
        <w:rPr>
          <w:sz w:val="20"/>
          <w:szCs w:val="20"/>
          <w:color w:val="auto"/>
        </w:rPr>
      </w:pPr>
      <w:r>
        <w:rPr>
          <w:rFonts w:ascii="Times New Roman" w:cs="Times New Roman" w:eastAsia="Times New Roman" w:hAnsi="Times New Roman"/>
          <w:sz w:val="20"/>
          <w:szCs w:val="20"/>
          <w:i w:val="1"/>
          <w:iCs w:val="1"/>
          <w:color w:val="auto"/>
        </w:rPr>
        <w:t>payment and reimbursement provisions set forth in the prior sentence. Notwithstanding anything to the contrary herein, Seller shall not have any Liability or obligation to bring any Proceedings to obtain any insurance coverage for any Valid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Pre-Closing Claim.</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Agreement on Effective Time of Closing</w:t>
      </w:r>
      <w:r>
        <w:rPr>
          <w:rFonts w:ascii="Times New Roman" w:cs="Times New Roman" w:eastAsia="Times New Roman" w:hAnsi="Times New Roman"/>
          <w:sz w:val="20"/>
          <w:szCs w:val="20"/>
          <w:color w:val="auto"/>
        </w:rPr>
        <w:t>. Pursuant to Section 2.2 of the Merger Agreement, the parties hereto agree that the Closing shall take place as of 11:59 p.m., Eastern Time, on the date hereof, subject to the satisfaction or waiver of all of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conditions set forth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(other than those conditions that, by their terms, are intended to be satisfied at the Closing, but subject to the satisfaction or waiver of those conditions at the Closing).</w:t>
      </w:r>
    </w:p>
    <w:p>
      <w:pPr>
        <w:sectPr>
          <w:pgSz w:w="11900" w:h="16838" w:orient="portrait"/>
          <w:cols w:equalWidth="0" w:num="1">
            <w:col w:w="11240"/>
          </w:cols>
          <w:pgMar w:left="320" w:top="1395" w:right="339" w:bottom="1440" w:gutter="0" w:footer="0" w:header="0"/>
        </w:sectPr>
      </w:pPr>
    </w:p>
    <w:bookmarkStart w:id="44" w:name="page45"/>
    <w:bookmarkEnd w:id="44"/>
    <w:p>
      <w:pPr>
        <w:ind w:left="1940" w:hanging="636"/>
        <w:spacing w:after="0"/>
        <w:tabs>
          <w:tab w:leader="none" w:pos="19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furtherance thereof, the following defined terms shall be amended and restated or added to the Merger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applicable: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Effective Time</w:t>
      </w:r>
      <w:r>
        <w:rPr>
          <w:rFonts w:ascii="Times New Roman" w:cs="Times New Roman" w:eastAsia="Times New Roman" w:hAnsi="Times New Roman"/>
          <w:sz w:val="20"/>
          <w:szCs w:val="20"/>
          <w:i w:val="1"/>
          <w:iCs w:val="1"/>
          <w:color w:val="auto"/>
        </w:rPr>
        <w:t>” means 11:59 p.m., Eastern Time, on the Closing Date.”</w:t>
      </w:r>
    </w:p>
    <w:p>
      <w:pPr>
        <w:spacing w:after="0" w:line="189" w:lineRule="exact"/>
        <w:rPr>
          <w:sz w:val="20"/>
          <w:szCs w:val="20"/>
          <w:color w:val="auto"/>
        </w:rPr>
      </w:pPr>
    </w:p>
    <w:p>
      <w:pPr>
        <w:ind w:left="1300"/>
        <w:spacing w:after="0" w:line="245"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First Merger Effective Time</w:t>
      </w:r>
      <w:r>
        <w:rPr>
          <w:rFonts w:ascii="Times New Roman" w:cs="Times New Roman" w:eastAsia="Times New Roman" w:hAnsi="Times New Roman"/>
          <w:sz w:val="20"/>
          <w:szCs w:val="20"/>
          <w:i w:val="1"/>
          <w:iCs w:val="1"/>
          <w:color w:val="auto"/>
        </w:rPr>
        <w:t>” means the date and time at which the First Certificate of Merger is accepted for filing by the Secretary of State of the State of Delaware on the Closing Date.”</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Measurement Time</w:t>
      </w:r>
      <w:r>
        <w:rPr>
          <w:rFonts w:ascii="Times New Roman" w:cs="Times New Roman" w:eastAsia="Times New Roman" w:hAnsi="Times New Roman"/>
          <w:sz w:val="20"/>
          <w:szCs w:val="20"/>
          <w:i w:val="1"/>
          <w:iCs w:val="1"/>
          <w:color w:val="auto"/>
        </w:rPr>
        <w:t>” means 11:59 p.m., Eastern Time, on the Closing Date.”</w:t>
      </w:r>
    </w:p>
    <w:p>
      <w:pPr>
        <w:spacing w:after="0" w:line="193" w:lineRule="exact"/>
        <w:rPr>
          <w:sz w:val="20"/>
          <w:szCs w:val="20"/>
          <w:color w:val="auto"/>
        </w:rPr>
      </w:pPr>
    </w:p>
    <w:p>
      <w:pPr>
        <w:ind w:firstLine="1304"/>
        <w:spacing w:after="0"/>
        <w:tabs>
          <w:tab w:leader="none" w:pos="19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the term “Effective Time” in Section 2.1(a), Section 2.1(c), Section 2.1(d) and Section 2.4 of the Merger Agreement are hereby amended to instead refer to the First Merger Effective Time.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Effectiveness of Amendment</w:t>
      </w:r>
      <w:r>
        <w:rPr>
          <w:rFonts w:ascii="Times New Roman" w:cs="Times New Roman" w:eastAsia="Times New Roman" w:hAnsi="Times New Roman"/>
          <w:sz w:val="20"/>
          <w:szCs w:val="20"/>
          <w:color w:val="auto"/>
        </w:rPr>
        <w:t>. Upon the execution and delivery hereof, the Merger Agreement shall thereupon be deemed to be amended as set forth herein and with the same effect as if the amendment made hereby was originally set forth in the Merger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Agreement, and this Amendment and the Merger Agreement shall henceforth be read, taken and construed together as one and the same instrument.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u w:val="single" w:color="auto"/>
          <w:color w:val="auto"/>
        </w:rPr>
        <w:t>General Provisions</w:t>
      </w:r>
      <w:r>
        <w:rPr>
          <w:rFonts w:ascii="Times New Roman" w:cs="Times New Roman" w:eastAsia="Times New Roman" w:hAnsi="Times New Roman"/>
          <w:sz w:val="19"/>
          <w:szCs w:val="19"/>
          <w:color w:val="auto"/>
        </w:rPr>
        <w:t>. This Amendment may be executed in any number of counterparts (including electronically), and</w:t>
      </w:r>
    </w:p>
    <w:p>
      <w:pPr>
        <w:spacing w:after="0" w:line="204" w:lineRule="auto"/>
        <w:rPr>
          <w:sz w:val="20"/>
          <w:szCs w:val="20"/>
          <w:color w:val="auto"/>
        </w:rPr>
      </w:pPr>
      <w:r>
        <w:rPr>
          <w:rFonts w:ascii="Times New Roman" w:cs="Times New Roman" w:eastAsia="Times New Roman" w:hAnsi="Times New Roman"/>
          <w:sz w:val="20"/>
          <w:szCs w:val="20"/>
          <w:color w:val="auto"/>
        </w:rPr>
        <w:t>each such counterpart hereof shall be deemed to be an original instrument, but all such counterparts together shall constitute but one agreement. Delivery of an executed counterpart of a signature page of this Amendment by electronic mail or other electronic transmission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shall be effective as delivery of a manually executed original counterpart of this Agreement. Except as specifically provided for in this Amendment, the Merger Agreement shall remain unmodified and in full force and effect.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99" w:right="339" w:bottom="1440" w:gutter="0" w:footer="0" w:header="0"/>
        </w:sectPr>
      </w:pPr>
    </w:p>
    <w:bookmarkStart w:id="45" w:name="page46"/>
    <w:bookmarkEnd w:id="4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each of the parties hereto has caused this Amendment to be executed as of the date first written above.</w:t>
      </w:r>
    </w:p>
    <w:p>
      <w:pPr>
        <w:sectPr>
          <w:pgSz w:w="11900" w:h="16838" w:orient="portrait"/>
          <w:cols w:equalWidth="0" w:num="1">
            <w:col w:w="10300"/>
          </w:cols>
          <w:pgMar w:left="980" w:top="144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SEMA4 HOLDINGS CORP.</w:t>
      </w:r>
    </w:p>
    <w:p>
      <w:pPr>
        <w:spacing w:after="0" w:line="200" w:lineRule="exact"/>
        <w:rPr>
          <w:sz w:val="20"/>
          <w:szCs w:val="20"/>
          <w:color w:val="auto"/>
        </w:rPr>
      </w:pPr>
    </w:p>
    <w:p>
      <w:pPr>
        <w:spacing w:after="0" w:line="298"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-7620</wp:posOffset>
            </wp:positionV>
            <wp:extent cx="858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ind w:left="3880"/>
        <w:spacing w:after="0" w:line="211" w:lineRule="auto"/>
        <w:rPr>
          <w:sz w:val="20"/>
          <w:szCs w:val="20"/>
          <w:color w:val="auto"/>
        </w:rPr>
      </w:pPr>
      <w:r>
        <w:rPr>
          <w:rFonts w:ascii="Times New Roman" w:cs="Times New Roman" w:eastAsia="Times New Roman" w:hAnsi="Times New Roman"/>
          <w:sz w:val="20"/>
          <w:szCs w:val="20"/>
          <w:color w:val="auto"/>
        </w:rPr>
        <w:t>Name: Eric Schadt</w:t>
      </w:r>
    </w:p>
    <w:p>
      <w:pPr>
        <w:ind w:left="38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38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OPKO HEALTH, INC.</w:t>
      </w:r>
    </w:p>
    <w:p>
      <w:pPr>
        <w:spacing w:after="0" w:line="200" w:lineRule="exact"/>
        <w:rPr>
          <w:sz w:val="20"/>
          <w:szCs w:val="20"/>
          <w:color w:val="auto"/>
        </w:rPr>
      </w:pPr>
    </w:p>
    <w:p>
      <w:pPr>
        <w:spacing w:after="0" w:line="311"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Steven 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-7620</wp:posOffset>
            </wp:positionV>
            <wp:extent cx="1109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3880"/>
        <w:spacing w:after="0" w:line="197" w:lineRule="auto"/>
        <w:rPr>
          <w:sz w:val="20"/>
          <w:szCs w:val="20"/>
          <w:color w:val="auto"/>
        </w:rPr>
      </w:pPr>
      <w:r>
        <w:rPr>
          <w:rFonts w:ascii="Times New Roman" w:cs="Times New Roman" w:eastAsia="Times New Roman" w:hAnsi="Times New Roman"/>
          <w:sz w:val="20"/>
          <w:szCs w:val="20"/>
          <w:color w:val="auto"/>
        </w:rPr>
        <w:t>Name: Steven D. Rubin</w:t>
      </w:r>
    </w:p>
    <w:p>
      <w:pPr>
        <w:ind w:left="3880"/>
        <w:spacing w:after="0"/>
        <w:rPr>
          <w:sz w:val="20"/>
          <w:szCs w:val="20"/>
          <w:color w:val="auto"/>
        </w:rPr>
      </w:pPr>
      <w:r>
        <w:rPr>
          <w:rFonts w:ascii="Times New Roman" w:cs="Times New Roman" w:eastAsia="Times New Roman" w:hAnsi="Times New Roman"/>
          <w:sz w:val="20"/>
          <w:szCs w:val="20"/>
          <w:color w:val="auto"/>
        </w:rPr>
        <w:t>Time: Executive Vice President,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Waiver and Amendment to Agreement and Plan of Merger and Reorganization</w:t>
      </w:r>
      <w:r>
        <w:rPr>
          <w:rFonts w:ascii="Times New Roman" w:cs="Times New Roman" w:eastAsia="Times New Roman" w:hAnsi="Times New Roman"/>
          <w:sz w:val="17"/>
          <w:szCs w:val="17"/>
          <w:color w:val="auto"/>
        </w:rPr>
        <w:t>]</w:t>
      </w:r>
    </w:p>
    <w:p>
      <w:pPr>
        <w:sectPr>
          <w:pgSz w:w="11900" w:h="16838" w:orient="portrait"/>
          <w:cols w:equalWidth="0" w:num="1">
            <w:col w:w="10300"/>
          </w:cols>
          <w:pgMar w:left="980" w:top="1440" w:right="619" w:bottom="1440" w:gutter="0" w:footer="0" w:header="0"/>
          <w:type w:val="continuous"/>
        </w:sectPr>
      </w:pPr>
    </w:p>
    <w:bookmarkStart w:id="46" w:name="page47"/>
    <w:bookmarkEnd w:id="46"/>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the Company’s definitive proxy statement filed with the SEC on March 31, 2022, or the “proxy statement”. Unless otherwise indicated or the context otherwise requires, references in this section to (i) “we,” “our,” “Sema4” and the “Company” refer to Sema4 Holdings Corp., a Delaware corporation, and its consolidated subsidiary and to (ii) “GeneDx,” refers to (a) GeneDx, Inc., a New Jersey corporation prior to the Closing of the Acquisition and (b) GeneDx, LLC, a Delaware limited liability company following the Closing of the Acquisition.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are based on the historical consolidated financial statements of Sema4 and historical combined financial statements of GeneDx and are adjusted to illustrate the estimated effects of the Acquisition as described below. In order to finance the Acquisition, Sema4 entered into Subscription Agreements with the PIPE Investors. The PIPE Investment closed substantially concurrently with the closing of the Acquisition.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 Sema4 is headquartered in Stamford, Connecticut.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have pioneered panels, exome and whole genome sequencing and have developed a proprietary genomic interpretation and information services platform in support of healthcare partners and patients globally. GeneDx is headquartered in Elmwood Park in New Jersey.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balance sheet as of December 31, 2021, combines the audited historical consolidated balance sheet of Sema4 as of December 31, 2021, with the audited historical combined carve out balance sheets of GeneDx as of December 31, 2021, giving effect to the Acquisition, the PIPE Investment and all factually supportable adjustments that are directly attributable to the Transactions, as if they had been consummated as of that date.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statements of operations for the year ended December 31, 2021, combine the historical consolidated statements of comprehensive loss of Sema4 and the historical combined carve out statements of comprehensive loss of GeneDx for such periods, giving effect to the Acquisition, the PIPE Investment and all factually supportable adjustments that are directly attributable to the Transactions, as if they had been consummated on January 1, 2021, the beginning of the earliest period presented.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financial information presented is based on the estimates, assumptions and adjustments described in the accompanying notes. The unaudited pro forma combined financial information is derived from the respective historical consolidated financial statements of Sema4 and combined carve out financial statements of GeneDx as described further in Note 2 — Basis of Presentation. The unaudited pro forma combined financial information includes adjustments which are preliminary and may be revised after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PIPE Investment been completed on the dates indicated, nor is it necessarily indicative of the future operating results or financial position of Sema4 after the Acquisition. Future results may vary significantly from the results reflected because of various factors.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compiled in a manner consistent with the accounting policies adopted by Sema4. Subsequent to completion of the Acquisition, Sema4 will perform a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1" w:right="339" w:bottom="1440" w:gutter="0" w:footer="0" w:header="0"/>
        </w:sectPr>
      </w:pPr>
    </w:p>
    <w:bookmarkStart w:id="47" w:name="page48"/>
    <w:bookmarkEnd w:id="47"/>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detailed review of the GeneDx accounting policies. As a result of that review, differences could be identified between the accounting policies of the two companies that, when conformed, have a material impact on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2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8"/>
        </w:trPr>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Pro forma Adjustment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Pro Forma Balance</w:t>
            </w:r>
          </w:p>
        </w:tc>
      </w:tr>
      <w:tr>
        <w:trPr>
          <w:trHeight w:val="190"/>
        </w:trPr>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Sema4</w:t>
            </w:r>
          </w:p>
        </w:tc>
        <w:tc>
          <w:tcPr>
            <w:tcW w:w="40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30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Sheet</w:t>
            </w:r>
          </w:p>
        </w:tc>
      </w:tr>
      <w:tr>
        <w:trPr>
          <w:trHeight w:val="37"/>
        </w:trPr>
        <w:tc>
          <w:tcPr>
            <w:tcW w:w="4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0"/>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6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33"/>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400,569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49,201</w:t>
            </w: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1"/>
                <w:szCs w:val="11"/>
                <w:color w:val="auto"/>
                <w:w w:val="95"/>
              </w:rPr>
              <w:t>a1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449,914</w:t>
            </w: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46,850</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Due from related parties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41,284</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6"/>
                <w:szCs w:val="16"/>
                <w:color w:val="auto"/>
              </w:rPr>
              <w:t xml:space="preserve">(594) </w:t>
            </w:r>
            <w:r>
              <w:rPr>
                <w:rFonts w:ascii="Times New Roman" w:cs="Times New Roman" w:eastAsia="Times New Roman" w:hAnsi="Times New Roman"/>
                <w:sz w:val="10"/>
                <w:szCs w:val="10"/>
                <w:color w:val="auto"/>
              </w:rPr>
              <w:t>b5</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21,982</w:t>
            </w:r>
          </w:p>
        </w:tc>
      </w:tr>
      <w:tr>
        <w:trPr>
          <w:trHeight w:val="318"/>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5,606</w:t>
            </w:r>
          </w:p>
        </w:tc>
      </w:tr>
      <w:tr>
        <w:trPr>
          <w:trHeight w:val="297"/>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483,544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48,607</w:t>
            </w: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565,690</w:t>
            </w: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90,996</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50,112</w:t>
            </w: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1"/>
                <w:szCs w:val="11"/>
                <w:color w:val="auto"/>
                <w:w w:val="95"/>
              </w:rPr>
              <w:t>e1</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217,000</w:t>
            </w: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580" w:type="dxa"/>
            <w:vAlign w:val="bottom"/>
          </w:tcPr>
          <w:p>
            <w:pPr>
              <w:jc w:val="right"/>
              <w:ind w:right="489"/>
              <w:spacing w:after="0"/>
              <w:rPr>
                <w:sz w:val="20"/>
                <w:szCs w:val="20"/>
                <w:color w:val="auto"/>
              </w:rPr>
            </w:pPr>
            <w:r>
              <w:rPr>
                <w:rFonts w:ascii="Times New Roman" w:cs="Times New Roman" w:eastAsia="Times New Roman" w:hAnsi="Times New Roman"/>
                <w:sz w:val="8"/>
                <w:szCs w:val="8"/>
                <w:color w:val="auto"/>
                <w:w w:val="73"/>
              </w:rPr>
              <w:t>f</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288,960</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Due from Parent and its subsidiaries</w:t>
            </w:r>
          </w:p>
        </w:tc>
        <w:tc>
          <w:tcPr>
            <w:tcW w:w="3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0"/>
                <w:szCs w:val="10"/>
                <w:color w:val="auto"/>
              </w:rPr>
              <w:t>b2</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3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469"/>
              <w:spacing w:after="0"/>
              <w:rPr>
                <w:sz w:val="20"/>
                <w:szCs w:val="20"/>
                <w:color w:val="auto"/>
              </w:rPr>
            </w:pPr>
            <w:r>
              <w:rPr>
                <w:rFonts w:ascii="Times New Roman" w:cs="Times New Roman" w:eastAsia="Times New Roman" w:hAnsi="Times New Roman"/>
                <w:sz w:val="16"/>
                <w:szCs w:val="16"/>
                <w:color w:val="auto"/>
              </w:rPr>
              <w:t xml:space="preserve">(5,789) </w:t>
            </w:r>
            <w:r>
              <w:rPr>
                <w:rFonts w:ascii="Times New Roman" w:cs="Times New Roman" w:eastAsia="Times New Roman" w:hAnsi="Times New Roman"/>
                <w:sz w:val="10"/>
                <w:szCs w:val="10"/>
                <w:color w:val="auto"/>
              </w:rPr>
              <w:t>c</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in related companies</w:t>
            </w:r>
          </w:p>
        </w:tc>
        <w:tc>
          <w:tcPr>
            <w:tcW w:w="3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6"/>
                <w:szCs w:val="16"/>
                <w:color w:val="auto"/>
              </w:rPr>
              <w:t xml:space="preserve">(205) </w:t>
            </w:r>
            <w:r>
              <w:rPr>
                <w:rFonts w:ascii="Times New Roman" w:cs="Times New Roman" w:eastAsia="Times New Roman" w:hAnsi="Times New Roman"/>
                <w:sz w:val="10"/>
                <w:szCs w:val="10"/>
                <w:color w:val="auto"/>
              </w:rPr>
              <w:t>b1</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554,093</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99,656</w:t>
            </w:r>
          </w:p>
        </w:tc>
        <w:tc>
          <w:tcPr>
            <w:tcW w:w="5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1,170,529</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3"/>
        </w:trPr>
        <w:tc>
          <w:tcPr>
            <w:tcW w:w="4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64"/>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33"/>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7"/>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44,693</w:t>
            </w:r>
          </w:p>
        </w:tc>
        <w:tc>
          <w:tcPr>
            <w:tcW w:w="8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100" w:type="dxa"/>
            <w:vAlign w:val="bottom"/>
          </w:tcPr>
          <w:p>
            <w:pPr>
              <w:spacing w:after="0"/>
              <w:rPr>
                <w:sz w:val="24"/>
                <w:szCs w:val="24"/>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50,090</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35,673</w:t>
            </w: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Due to related parties</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capital lease obligations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r>
      <w:tr>
        <w:trPr>
          <w:trHeight w:val="3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contract liabilities</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3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29,968</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30,539</w:t>
            </w:r>
          </w:p>
        </w:tc>
      </w:tr>
      <w:tr>
        <w:trPr>
          <w:trHeight w:val="318"/>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payable</w:t>
            </w:r>
          </w:p>
        </w:tc>
        <w:tc>
          <w:tcPr>
            <w:tcW w:w="3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409"/>
              <w:spacing w:after="0"/>
              <w:rPr>
                <w:sz w:val="20"/>
                <w:szCs w:val="20"/>
                <w:color w:val="auto"/>
              </w:rPr>
            </w:pPr>
            <w:r>
              <w:rPr>
                <w:rFonts w:ascii="Times New Roman" w:cs="Times New Roman" w:eastAsia="Times New Roman" w:hAnsi="Times New Roman"/>
                <w:sz w:val="16"/>
                <w:szCs w:val="16"/>
                <w:color w:val="auto"/>
              </w:rPr>
              <w:t xml:space="preserve">(180) </w:t>
            </w:r>
            <w:r>
              <w:rPr>
                <w:rFonts w:ascii="Times New Roman" w:cs="Times New Roman" w:eastAsia="Times New Roman" w:hAnsi="Times New Roman"/>
                <w:sz w:val="10"/>
                <w:szCs w:val="10"/>
                <w:color w:val="auto"/>
              </w:rPr>
              <w:t>b3</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41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101,284</w:t>
            </w:r>
          </w:p>
        </w:tc>
        <w:tc>
          <w:tcPr>
            <w:tcW w:w="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5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122,817</w:t>
            </w:r>
          </w:p>
        </w:tc>
      </w:tr>
      <w:tr>
        <w:trPr>
          <w:trHeight w:val="233"/>
        </w:trPr>
        <w:tc>
          <w:tcPr>
            <w:tcW w:w="4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334"/>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Capital lease obligation, net of current portion</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w:t>
            </w:r>
          </w:p>
        </w:tc>
      </w:tr>
      <w:tr>
        <w:trPr>
          <w:trHeight w:val="233"/>
        </w:trPr>
        <w:tc>
          <w:tcPr>
            <w:tcW w:w="4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1"/>
                <w:szCs w:val="11"/>
                <w:color w:val="auto"/>
                <w:w w:val="95"/>
              </w:rPr>
              <w:t>a3</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19,280</w:t>
            </w:r>
          </w:p>
        </w:tc>
      </w:tr>
      <w:tr>
        <w:trPr>
          <w:trHeight w:val="253"/>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Earn-out liabilities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w:t>
            </w:r>
          </w:p>
        </w:tc>
      </w:tr>
      <w:tr>
        <w:trPr>
          <w:trHeight w:val="233"/>
        </w:trPr>
        <w:tc>
          <w:tcPr>
            <w:tcW w:w="4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Warrant liability</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21,555</w:t>
            </w:r>
          </w:p>
        </w:tc>
      </w:tr>
      <w:tr>
        <w:trPr>
          <w:trHeight w:val="253"/>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6"/>
                <w:szCs w:val="16"/>
                <w:color w:val="auto"/>
              </w:rPr>
              <w:t xml:space="preserve">(9,936) </w:t>
            </w:r>
            <w:r>
              <w:rPr>
                <w:rFonts w:ascii="Times New Roman" w:cs="Times New Roman" w:eastAsia="Times New Roman" w:hAnsi="Times New Roman"/>
                <w:sz w:val="10"/>
                <w:szCs w:val="10"/>
                <w:color w:val="auto"/>
              </w:rPr>
              <w:t>c</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409"/>
              <w:spacing w:after="0"/>
              <w:rPr>
                <w:sz w:val="20"/>
                <w:szCs w:val="20"/>
                <w:color w:val="auto"/>
              </w:rPr>
            </w:pPr>
            <w:r>
              <w:rPr>
                <w:rFonts w:ascii="Times New Roman" w:cs="Times New Roman" w:eastAsia="Times New Roman" w:hAnsi="Times New Roman"/>
                <w:sz w:val="16"/>
                <w:szCs w:val="16"/>
                <w:color w:val="auto"/>
              </w:rPr>
              <w:t xml:space="preserve">(24,063) </w:t>
            </w:r>
            <w:r>
              <w:rPr>
                <w:rFonts w:ascii="Times New Roman" w:cs="Times New Roman" w:eastAsia="Times New Roman" w:hAnsi="Times New Roman"/>
                <w:sz w:val="10"/>
                <w:szCs w:val="10"/>
                <w:color w:val="auto"/>
              </w:rPr>
              <w:t>b4</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41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165,990</w:t>
            </w:r>
          </w:p>
        </w:tc>
        <w:tc>
          <w:tcPr>
            <w:tcW w:w="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55,712</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(18,379)</w:t>
            </w:r>
          </w:p>
        </w:tc>
        <w:tc>
          <w:tcPr>
            <w:tcW w:w="5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203,323</w:t>
            </w:r>
          </w:p>
        </w:tc>
      </w:tr>
      <w:tr>
        <w:trPr>
          <w:trHeight w:val="324"/>
        </w:trPr>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7"/>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Sema4 Class A common stock, $0.0001 par value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580" w:type="dxa"/>
            <w:vAlign w:val="bottom"/>
          </w:tcPr>
          <w:p>
            <w:pPr>
              <w:jc w:val="right"/>
              <w:ind w:right="289"/>
              <w:spacing w:after="0"/>
              <w:rPr>
                <w:sz w:val="20"/>
                <w:szCs w:val="20"/>
                <w:color w:val="auto"/>
              </w:rPr>
            </w:pPr>
            <w:r>
              <w:rPr>
                <w:rFonts w:ascii="Times New Roman" w:cs="Times New Roman" w:eastAsia="Times New Roman" w:hAnsi="Times New Roman"/>
                <w:sz w:val="11"/>
                <w:szCs w:val="11"/>
                <w:color w:val="auto"/>
                <w:w w:val="93"/>
              </w:rPr>
              <w:t>a1,a2</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3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963,520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6"/>
                <w:szCs w:val="16"/>
                <w:color w:val="auto"/>
              </w:rPr>
              <w:t xml:space="preserve">(148,292) </w:t>
            </w:r>
            <w:r>
              <w:rPr>
                <w:rFonts w:ascii="Times New Roman" w:cs="Times New Roman" w:eastAsia="Times New Roman" w:hAnsi="Times New Roman"/>
                <w:sz w:val="10"/>
                <w:szCs w:val="10"/>
                <w:color w:val="auto"/>
              </w:rPr>
              <w:t>g</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1,475,734</w:t>
            </w:r>
          </w:p>
        </w:tc>
      </w:tr>
      <w:tr>
        <w:trPr>
          <w:trHeight w:val="318"/>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(575,441)</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(199,438)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266,314</w:t>
            </w:r>
          </w:p>
        </w:tc>
        <w:tc>
          <w:tcPr>
            <w:tcW w:w="580" w:type="dxa"/>
            <w:vAlign w:val="bottom"/>
            <w:tcBorders>
              <w:bottom w:val="single" w:sz="8" w:color="CCEEFF"/>
            </w:tcBorders>
          </w:tcPr>
          <w:p>
            <w:pPr>
              <w:jc w:val="right"/>
              <w:ind w:right="409"/>
              <w:spacing w:after="0"/>
              <w:rPr>
                <w:sz w:val="20"/>
                <w:szCs w:val="20"/>
                <w:color w:val="auto"/>
              </w:rPr>
            </w:pPr>
            <w:r>
              <w:rPr>
                <w:rFonts w:ascii="Times New Roman" w:cs="Times New Roman" w:eastAsia="Times New Roman" w:hAnsi="Times New Roman"/>
                <w:sz w:val="11"/>
                <w:szCs w:val="11"/>
                <w:color w:val="auto"/>
                <w:w w:val="90"/>
              </w:rPr>
              <w:t>b4</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(508,565)</w:t>
            </w:r>
          </w:p>
        </w:tc>
      </w:tr>
      <w:tr>
        <w:trPr>
          <w:trHeight w:val="291"/>
        </w:trPr>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388,103</w:t>
            </w:r>
          </w:p>
        </w:tc>
        <w:tc>
          <w:tcPr>
            <w:tcW w:w="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461,068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118,035</w:t>
            </w:r>
          </w:p>
        </w:tc>
        <w:tc>
          <w:tcPr>
            <w:tcW w:w="5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967,206</w:t>
            </w:r>
          </w:p>
        </w:tc>
      </w:tr>
      <w:tr>
        <w:trPr>
          <w:trHeight w:val="243"/>
        </w:trPr>
        <w:tc>
          <w:tcPr>
            <w:tcW w:w="41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554,093</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516,780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99,656</w:t>
            </w:r>
          </w:p>
        </w:tc>
        <w:tc>
          <w:tcPr>
            <w:tcW w:w="5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1,170,529</w:t>
            </w:r>
          </w:p>
        </w:tc>
      </w:tr>
      <w:tr>
        <w:trPr>
          <w:trHeight w:val="21"/>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400" w:top="117" w:right="399"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00"/>
          </w:cols>
          <w:pgMar w:left="400" w:top="117" w:right="399" w:bottom="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pro forma combined financial information.</w:t>
      </w:r>
    </w:p>
    <w:p>
      <w:pPr>
        <w:sectPr>
          <w:pgSz w:w="11900" w:h="16838" w:orient="portrait"/>
          <w:cols w:equalWidth="0" w:num="1">
            <w:col w:w="9019"/>
          </w:cols>
          <w:pgMar w:left="1440" w:top="108" w:right="1440"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00" w:type="dxa"/>
            <w:vAlign w:val="bottom"/>
          </w:tcPr>
          <w:p>
            <w:pPr>
              <w:spacing w:after="0"/>
              <w:rPr>
                <w:sz w:val="16"/>
                <w:szCs w:val="16"/>
                <w:color w:val="auto"/>
              </w:rPr>
            </w:pPr>
          </w:p>
        </w:tc>
      </w:tr>
      <w:tr>
        <w:trPr>
          <w:trHeight w:val="37"/>
        </w:trPr>
        <w:tc>
          <w:tcPr>
            <w:tcW w:w="4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r>
      <w:tr>
        <w:trPr>
          <w:trHeight w:val="171"/>
        </w:trPr>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5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 Statement of</w:t>
            </w:r>
          </w:p>
        </w:tc>
      </w:tr>
      <w:tr>
        <w:trPr>
          <w:trHeight w:val="190"/>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Sema4</w:t>
            </w:r>
          </w:p>
        </w:tc>
        <w:tc>
          <w:tcPr>
            <w:tcW w:w="40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Operations</w:t>
            </w:r>
          </w:p>
        </w:tc>
      </w:tr>
      <w:tr>
        <w:trPr>
          <w:trHeight w:val="37"/>
        </w:trPr>
        <w:tc>
          <w:tcPr>
            <w:tcW w:w="4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324"/>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Diagnostic test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205,100</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116,595</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321,695</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51"/>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r>
      <w:tr>
        <w:trPr>
          <w:trHeight w:val="277"/>
        </w:trPr>
        <w:tc>
          <w:tcPr>
            <w:tcW w:w="4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212,195</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116,595</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328,790</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313,158</w:t>
            </w:r>
          </w:p>
        </w:tc>
      </w:tr>
      <w:tr>
        <w:trPr>
          <w:trHeight w:val="277"/>
        </w:trPr>
        <w:tc>
          <w:tcPr>
            <w:tcW w:w="4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gross profit (loss)</w:t>
            </w: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84"/>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117,539</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31"/>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d1,d3</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132,102</w:t>
            </w:r>
          </w:p>
        </w:tc>
      </w:tr>
      <w:tr>
        <w:trPr>
          <w:trHeight w:val="324"/>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205,988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d2,d3</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257,395</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r>
      <w:tr>
        <w:trPr>
          <w:trHeight w:val="27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 xml:space="preserve">(16,813) </w:t>
            </w:r>
            <w:r>
              <w:rPr>
                <w:rFonts w:ascii="Times New Roman" w:cs="Times New Roman" w:eastAsia="Times New Roman" w:hAnsi="Times New Roman"/>
                <w:sz w:val="23"/>
                <w:szCs w:val="23"/>
                <w:color w:val="auto"/>
                <w:vertAlign w:val="superscript"/>
              </w:rPr>
              <w:t>e3</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2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5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(497,063)</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 and earn-out contingent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8"/>
        </w:trPr>
        <w:tc>
          <w:tcPr>
            <w:tcW w:w="42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198,401</w:t>
            </w: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b1</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200,755</w:t>
            </w:r>
          </w:p>
        </w:tc>
      </w:tr>
      <w:tr>
        <w:trPr>
          <w:trHeight w:val="237"/>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5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(296,308)</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or benefit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d4</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66,876</w:t>
            </w:r>
          </w:p>
        </w:tc>
      </w:tr>
      <w:tr>
        <w:trPr>
          <w:trHeight w:val="264"/>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52,850</w:t>
            </w:r>
          </w:p>
        </w:tc>
        <w:tc>
          <w:tcPr>
            <w:tcW w:w="5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(229,432)</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108,077,439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5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238,077,439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0"/>
        </w:trPr>
        <w:tc>
          <w:tcPr>
            <w:tcW w:w="4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pro forma combined financial information.</w:t>
      </w:r>
    </w:p>
    <w:p>
      <w:pPr>
        <w:sectPr>
          <w:pgSz w:w="11900" w:h="16838" w:orient="portrait"/>
          <w:cols w:equalWidth="0" w:num="1">
            <w:col w:w="11220"/>
          </w:cols>
          <w:pgMar w:left="340" w:top="1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INFORMATION</w:t>
      </w:r>
    </w:p>
    <w:p>
      <w:pPr>
        <w:spacing w:after="0" w:line="171"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Acquisition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14, 2022, Sema4, Merger Sub I and Merger Sub II entered into the Merger Agreement with GeneDx, a wholly-owned subsidiary of OPKO, Holdco and OPKO.</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Closing, GeneDx converted into a Delaware limited liability company and became a wholly-owned indirect subsidiary of Sema4. Subject to the terms and conditions of the Merger Agreement, Sema4 (a) agreed to pay consideration to OPKO, for the Acquisition of (i) $150 million in cash at the closing of the Acquisition, subject to certain adjustments as provided in the Acquisition Merger Agreement and (ii) 80 million shares of Sema4’s Class A common stock issued at the Closing and (b) will pay consideration to OPKO of up to $150 million payable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Class A common stock over the period of 30 trading days ended January 12, 2022), with such mix to be determined in Sema4’s sole discretion.</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in connection with entering into the Merger Agreement, Sema4 entered into Subscription Agreements for the PIPE Investment to sell $200 million in Class A common stock at a price of $4.00 per share to the PIPE Investors.</w:t>
      </w:r>
    </w:p>
    <w:p>
      <w:pPr>
        <w:spacing w:after="0" w:line="104"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Times New Roman" w:cs="Times New Roman" w:eastAsia="Times New Roman" w:hAnsi="Times New Roman"/>
          <w:sz w:val="18"/>
          <w:szCs w:val="18"/>
          <w:i w:val="1"/>
          <w:iCs w:val="1"/>
          <w:color w:val="auto"/>
        </w:rPr>
        <w:t>Regulation S-X</w:t>
      </w:r>
      <w:r>
        <w:rPr>
          <w:rFonts w:ascii="Times New Roman" w:cs="Times New Roman" w:eastAsia="Times New Roman" w:hAnsi="Times New Roman"/>
          <w:sz w:val="18"/>
          <w:szCs w:val="18"/>
          <w:color w:val="auto"/>
        </w:rPr>
        <w:t>”), using accounting policies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combined financial statements;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historical consolidated financial statements of Sema4 as of December 31, 2021, and the related notes, in each case, included in the proxy statement;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audited historical combined carve out financial statements of GeneDx as of and for the year ended December 31, 2021, and the related notes, in each case, included in the proxy statement; and</w:t>
      </w:r>
    </w:p>
    <w:p>
      <w:pPr>
        <w:spacing w:after="0" w:line="10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the proxy statement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the other financial information included elsewhere in the proxy statement.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elected not to present any adjustments related to synergies or dis-synergies that may exist.</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periods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will be accounted for using the acquisition method of accounting in accordance with Accounting Standards Codification (“ASC”) 805 - 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are preliminary because valuation of the net assets is still being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Accordingly, the pro forma adjustments related to the purchase price allocations and certain other estimates, assumptions, and adjustments are preliminary and subject to change, which changes could be significant.</w:t>
      </w:r>
    </w:p>
    <w:p>
      <w:pPr>
        <w:spacing w:after="0" w:line="104"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GeneDx Accounting Policies Historical Financial Statement Reclassification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GeneDx’s historical combined carve out financial statements were prepared in accordance with U.S. GAAP. Sema4 performed certain procedures for the purposes of identifying material differences in significant accounting policies between Sema4 and GeneDx, and any accounting adjustments that would be required in connection with adopting uniform policies. These procedures included a review of GeneDx’s standalone combined carve out financial statements and preliminary discussion with GeneDx management. Sema4 does not believe there are any differences in the accounting policies that will result in material adjustments to Sema4’s consolidated financial statements. Subsequent to completion of the Acquisition, or as more information becomes available, Sema4 will perform a more detailed review of the GeneDx accounting policies. As a result of that review, differences could be identified between the accounting policies of the two companies that, when conformed, could have a material impact on the combined financial statements.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$12.1 million included as selling, general and administrative in GeneDx’s historical financial information included within the unaudited pro forma combined financial information has been reclassified to selling and marketing to conform the presentation to that of Sema4.</w:t>
      </w:r>
    </w:p>
    <w:p>
      <w:pPr>
        <w:spacing w:after="0" w:line="104"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combined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included in the unaudited preliminary pro forma combined financial statements are as follows:</w:t>
      </w:r>
    </w:p>
    <w:p>
      <w:pPr>
        <w:spacing w:after="0" w:line="17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a)</w:t>
        <w:tab/>
        <w:t>Estimated aggregate purchase price consideration and allocation: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purchase price consideration is estimated to be approximately $478.8 million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Closing Net Working Capital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3"/>
          <w:szCs w:val="23"/>
          <w:color w:val="auto"/>
          <w:vertAlign w:val="superscript"/>
        </w:rPr>
        <w:t>(a1)</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Add: Stock Consideration </w:t>
      </w:r>
      <w:r>
        <w:rPr>
          <w:rFonts w:ascii="Times New Roman" w:cs="Times New Roman" w:eastAsia="Times New Roman" w:hAnsi="Times New Roman"/>
          <w:sz w:val="23"/>
          <w:szCs w:val="23"/>
          <w:color w:val="auto"/>
          <w:vertAlign w:val="superscript"/>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Add: Fair value of Contingent Consideration </w:t>
      </w:r>
      <w:r>
        <w:rPr>
          <w:rFonts w:ascii="Times New Roman" w:cs="Times New Roman" w:eastAsia="Times New Roman" w:hAnsi="Times New Roman"/>
          <w:sz w:val="22"/>
          <w:szCs w:val="22"/>
          <w:color w:val="auto"/>
          <w:vertAlign w:val="superscript"/>
        </w:rPr>
        <w:t>(a3)</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Purchase Price Consideration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068" w:hanging="1068"/>
        <w:spacing w:after="0"/>
        <w:tabs>
          <w:tab w:leader="none" w:pos="10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w:t>
      </w:r>
    </w:p>
    <w:p>
      <w:pPr>
        <w:spacing w:after="0" w:line="63" w:lineRule="exact"/>
        <w:rPr>
          <w:rFonts w:ascii="Times New Roman" w:cs="Times New Roman" w:eastAsia="Times New Roman" w:hAnsi="Times New Roman"/>
          <w:sz w:val="18"/>
          <w:szCs w:val="18"/>
          <w:color w:val="auto"/>
        </w:rPr>
      </w:pPr>
    </w:p>
    <w:p>
      <w:pPr>
        <w:ind w:left="10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11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139.8</w:t>
      </w:r>
    </w:p>
    <w:p>
      <w:pPr>
        <w:spacing w:after="0" w:line="144"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323.2</w:t>
      </w:r>
    </w:p>
    <w:p>
      <w:pPr>
        <w:spacing w:after="0" w:line="144" w:lineRule="exact"/>
        <w:rPr>
          <w:sz w:val="20"/>
          <w:szCs w:val="20"/>
          <w:color w:val="auto"/>
        </w:rPr>
      </w:pPr>
    </w:p>
    <w:p>
      <w:pPr>
        <w:ind w:left="1168"/>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9944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57" w:lineRule="exact"/>
        <w:rPr>
          <w:sz w:val="20"/>
          <w:szCs w:val="20"/>
          <w:color w:val="auto"/>
        </w:rPr>
      </w:pPr>
    </w:p>
    <w:p>
      <w:pPr>
        <w:ind w:left="1068" w:hanging="1068"/>
        <w:spacing w:after="0"/>
        <w:tabs>
          <w:tab w:leader="none" w:pos="10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9944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60325</wp:posOffset>
            </wp:positionV>
            <wp:extent cx="994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972" w:space="720"/>
            <w:col w:w="1548"/>
          </w:cols>
          <w:pgMar w:left="320" w:top="1417" w:right="339" w:bottom="1440" w:gutter="0" w:footer="0" w:header="0"/>
          <w:type w:val="continuous"/>
        </w:sectPr>
      </w:pPr>
    </w:p>
    <w:p>
      <w:pPr>
        <w:spacing w:after="0" w:line="120"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This represents cash consideration estimated net of net working capital adjustment ($10.2 million) based on the closing net working capital target of $22 million, as stated in the Merger Agreement. This cash consideration is offset by gross proceeds of $200 million which is based on 50 million shares of Class A common stock at a price of $4.00 per share in accordance with the Subscription Agreements that have been entered into with PIPE investors. The $200 million gross proceeds are offset by the estimated incremental transaction costs to be paid by Sema4 for $11 million, resulting in an approximately $49 million adjustment to cash and cash equivalents. These amounts are estimates.</w:t>
      </w:r>
    </w:p>
    <w:p>
      <w:pPr>
        <w:spacing w:after="0" w:line="13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80 million shares of Sema4 Class A common stock were issued to the seller upon closing of the Acquisition. We estimated the Stock Consideration based on a per share price of $4.04, which was the closing price of the Class A common stock on January 14, 2022, the date the Merger Agreement was signed. The closing price of Sema4 Class A common stock on April 29, 2022 was $2.15 which would change the value of the purchase price by approximately $151.2 million.</w:t>
      </w:r>
    </w:p>
    <w:p>
      <w:pPr>
        <w:spacing w:after="0" w:line="12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The fair value of the $15.8 million Milestone Payment is estimated using a Monte Carlo simulation valuation model. Pay-out of this consideration is dependent upon GeneDx achieving 2022 and 2023 revenue target of $163 million and $219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type w:val="continuous"/>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The purchase price allocations for the assets acquired and liabilities assumed are based on preliminary valuations and are subject to change as we obtain additional information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Identifiable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b1,b2,c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b4,c</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200" w:hanging="1195"/>
        <w:spacing w:after="0"/>
        <w:tabs>
          <w:tab w:leader="none" w:pos="12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w:t>
      </w:r>
    </w:p>
    <w:p>
      <w:pPr>
        <w:spacing w:after="0" w:line="6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20,341</w:t>
      </w:r>
    </w:p>
    <w:p>
      <w:pPr>
        <w:spacing w:after="0" w:line="63"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7,828</w:t>
      </w:r>
    </w:p>
    <w:p>
      <w:pPr>
        <w:spacing w:after="0" w:line="63"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4,632</w:t>
      </w:r>
    </w:p>
    <w:p>
      <w:pPr>
        <w:spacing w:after="0" w:line="6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28,330</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(21,533)</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(66,876)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986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(27,134)</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288,960</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217,000</w:t>
      </w:r>
    </w:p>
    <w:p>
      <w:pPr>
        <w:spacing w:after="0" w:line="77" w:lineRule="exact"/>
        <w:rPr>
          <w:sz w:val="20"/>
          <w:szCs w:val="20"/>
          <w:color w:val="auto"/>
        </w:rPr>
      </w:pPr>
    </w:p>
    <w:p>
      <w:pPr>
        <w:ind w:left="880" w:hanging="875"/>
        <w:spacing w:after="0"/>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986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8400" w:space="720"/>
            <w:col w:w="340" w:space="240"/>
            <w:col w:w="1540"/>
          </w:cols>
          <w:pgMar w:left="320" w:top="1417" w:right="339" w:bottom="1440" w:gutter="0" w:footer="0" w:header="0"/>
          <w:type w:val="continuous"/>
        </w:sect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value of the purchase price consideration does not purport to represent the actual value of the total Merger Consideration that was paid when the Acquisition was completed. As discussed above, the Stock Consideration would change the purchase price by approximately $151.2 million based on the closing price of Sema4 Class A common stock on April 29, 2022 of $2.15.</w:t>
      </w:r>
    </w:p>
    <w:p>
      <w:pPr>
        <w:spacing w:after="0" w:line="122"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GeneDx’s historical balance sheet accounts that are not acquired or assumed by Sema4:</w:t>
      </w:r>
    </w:p>
    <w:p>
      <w:pPr>
        <w:spacing w:after="0" w:line="17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b1)As part of the pre-closing condition, GeneDx exited the joint venture investment that had a carrying value of $0.2 million. Therefore, the related investment balance and impairment loss of $0.04 million is eliminated.</w:t>
      </w:r>
    </w:p>
    <w:p>
      <w:pPr>
        <w:spacing w:after="0" w:line="10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b2)Represents adjustment to eliminate the carrying value of intercompany receivables.</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b3)</w:t>
      </w:r>
      <w:r>
        <w:rPr>
          <w:rFonts w:ascii="Times New Roman" w:cs="Times New Roman" w:eastAsia="Times New Roman" w:hAnsi="Times New Roman"/>
          <w:sz w:val="17"/>
          <w:szCs w:val="17"/>
          <w:color w:val="auto"/>
        </w:rPr>
        <w:t>Represents adjustment to eliminate the income tax payable.</w:t>
      </w:r>
    </w:p>
    <w:p>
      <w:pPr>
        <w:spacing w:after="0" w:line="171" w:lineRule="exact"/>
        <w:rPr>
          <w:rFonts w:ascii="Times New Roman" w:cs="Times New Roman" w:eastAsia="Times New Roman" w:hAnsi="Times New Roman"/>
          <w:sz w:val="18"/>
          <w:szCs w:val="18"/>
          <w:color w:val="auto"/>
        </w:rPr>
      </w:pPr>
    </w:p>
    <w:p>
      <w:pPr>
        <w:ind w:left="130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b4)Deferred tax liabilities of $24.1 million were adjusted due to certain deferred tax assets being absorbed by OPKO and the write off of historical intangible assets. Therefore, they do not carry over. Additionally, there are deferred tax liabilities recorded for $66.9 million related to intangible assets that will result in the release of Sema4’s valuation allowance in a corresponding amount. The impact of the valuation allowance release is reflected in the unaudited pro forma combined statement of operations as well as the accumulated deficit.</w:t>
      </w:r>
    </w:p>
    <w:p>
      <w:pPr>
        <w:spacing w:after="0" w:line="1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b5)Represents adjustment to eliminate the prepaid bonus of GeneDx executives.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eliminating the affect of the ASC 842, Leases (“ASC 842”) which was adopted by GeneDx because Sema4 did not adopt the ASC 842 as of December 31, 2021. Therefore, the adjustment removed the carrying value of the right of use assets ($5.8 million) and lease liabilities ($9.9 million). As an emerging growth company, the Company elected to adopt the ASC 842 under the extended transition period available, which will be effective for the annual period beginning on January 1, 2022 and all interim periods within the year ended December 31, 2023. Early adoption is permitted.</w:t>
      </w:r>
    </w:p>
    <w:p>
      <w:pPr>
        <w:spacing w:after="0" w:line="12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GeneDx’s historical income statement accounts relates to the following (in millions):</w:t>
      </w:r>
    </w:p>
    <w:p>
      <w:pPr>
        <w:spacing w:after="0" w:line="17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d1)Adjustment of $7.2 million of selling and marketing expense is primarily related to the amortization expense of identifiable intangible assets (e2) and stock-based compensation adjustment (d3).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type w:val="continuous"/>
        </w:sectPr>
      </w:pPr>
    </w:p>
    <w:bookmarkStart w:id="54" w:name="page55"/>
    <w:bookmarkEnd w:id="54"/>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d2)</w:t>
      </w:r>
      <w:r>
        <w:rPr>
          <w:sz w:val="20"/>
          <w:szCs w:val="20"/>
          <w:color w:val="auto"/>
        </w:rPr>
        <w:tab/>
      </w:r>
      <w:r>
        <w:rPr>
          <w:rFonts w:ascii="Times New Roman" w:cs="Times New Roman" w:eastAsia="Times New Roman" w:hAnsi="Times New Roman"/>
          <w:sz w:val="18"/>
          <w:szCs w:val="18"/>
          <w:color w:val="auto"/>
        </w:rPr>
        <w:t>Adjustment of $11.1 million of general and administrative expense is primarily related to the amortization expense of identifiable intangible assets (e2) and stock-based compensation adjustment (d3).</w:t>
      </w:r>
    </w:p>
    <w:p>
      <w:pPr>
        <w:spacing w:after="0" w:line="108"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d3)</w:t>
      </w:r>
      <w:r>
        <w:rPr>
          <w:sz w:val="20"/>
          <w:szCs w:val="20"/>
          <w:color w:val="auto"/>
        </w:rPr>
        <w:tab/>
      </w:r>
      <w:r>
        <w:rPr>
          <w:rFonts w:ascii="Times New Roman" w:cs="Times New Roman" w:eastAsia="Times New Roman" w:hAnsi="Times New Roman"/>
          <w:sz w:val="18"/>
          <w:szCs w:val="18"/>
          <w:color w:val="auto"/>
        </w:rPr>
        <w:t>Stock-based compensation adjustment represents estimated $6.2 million of Sema4 stock awards that are agreed to be granted to certain executives following the transaction closing. We only considered the contingent grants made to certain GeneDx executives who are continuing their employment with Sema4. The grant date fair value for options were calculated using a Black-Scholes option-pricing model, using the closing share price as of January 14, 2022 of $4.04, risk free rate of 1.64%, expected life of 5.5 years, volatility 65.2% and dividend yield of zero. The fair value of the restricted stock units are calculated using Sema4’s closing share price as of January 14, 2022, $4.04. The expense is reduced by $1.2 million of stock-based compensation recorded for the executives and reflected in GeneDx financial information under their current employment agreement with GeneDx.</w:t>
      </w:r>
    </w:p>
    <w:p>
      <w:pPr>
        <w:spacing w:after="0" w:line="13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d4)</w:t>
      </w:r>
      <w:r>
        <w:rPr>
          <w:sz w:val="20"/>
          <w:szCs w:val="20"/>
          <w:color w:val="auto"/>
        </w:rPr>
        <w:tab/>
      </w:r>
      <w:r>
        <w:rPr>
          <w:rFonts w:ascii="Times New Roman" w:cs="Times New Roman" w:eastAsia="Times New Roman" w:hAnsi="Times New Roman"/>
          <w:sz w:val="18"/>
          <w:szCs w:val="18"/>
          <w:color w:val="auto"/>
        </w:rPr>
        <w:t>Income tax benefit of $12.5 million is eliminated as we expect GeneDx’s parent company to absorb this benefit. In addition, we adjust for $66.9 million of income tax benefit related to the deferred tax liabilities of identifiable intangible assets created in connection with the Acquisition.</w:t>
      </w:r>
    </w:p>
    <w:p>
      <w:pPr>
        <w:spacing w:after="0" w:line="12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Reflects the adjustment to record the fair values of the identifiable intangible assets created in connection with the Acquisition.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GeneDx’s trade name and trademarks and developed technology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customer relationships was calculated using a multi-period excess earnings method, a form of the income approach, which incorporates the estimated future cash flows to be generated from GeneDx’s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customer attrition rate, determination of excess earnings, and an appropriate rate of return.</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GeneDx’s identifiable intangible assets and their estimated useful lives determined (in million):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Trade Names and Trademarks (General and administrative)</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Developed Technology (General and administrative)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Customer Relationships (Selling and marketing)</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Less: Historic GeneDx Intangible Assets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 forma adjustment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Pr>
          <w:p>
            <w:pPr>
              <w:spacing w:after="0"/>
              <w:rPr>
                <w:sz w:val="16"/>
                <w:szCs w:val="16"/>
                <w:color w:val="auto"/>
              </w:rPr>
            </w:pPr>
          </w:p>
        </w:tc>
        <w:tc>
          <w:tcPr>
            <w:tcW w:w="19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700" w:type="dxa"/>
            <w:vAlign w:val="bottom"/>
            <w:gridSpan w:val="2"/>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Annual Amortization</w:t>
            </w:r>
          </w:p>
        </w:tc>
      </w:tr>
      <w:tr>
        <w:trPr>
          <w:trHeight w:val="37"/>
        </w:trPr>
        <w:tc>
          <w:tcPr>
            <w:tcW w:w="1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77"/>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4"/>
                <w:szCs w:val="24"/>
                <w:color w:val="auto"/>
              </w:rPr>
            </w:pPr>
          </w:p>
        </w:tc>
      </w:tr>
      <w:tr>
        <w:trPr>
          <w:trHeight w:val="351"/>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4"/>
                <w:szCs w:val="24"/>
                <w:color w:val="auto"/>
              </w:rPr>
            </w:pPr>
          </w:p>
        </w:tc>
      </w:tr>
      <w:tr>
        <w:trPr>
          <w:trHeight w:val="351"/>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24"/>
                <w:szCs w:val="24"/>
                <w:color w:val="auto"/>
              </w:rPr>
            </w:pPr>
          </w:p>
        </w:tc>
      </w:tr>
      <w:tr>
        <w:trPr>
          <w:trHeight w:val="27"/>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95"/>
              </w:rPr>
              <w:t>e2</w:t>
            </w:r>
          </w:p>
        </w:tc>
      </w:tr>
      <w:tr>
        <w:trPr>
          <w:trHeight w:val="378"/>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21"/>
                <w:szCs w:val="21"/>
                <w:color w:val="auto"/>
                <w:vertAlign w:val="superscript"/>
              </w:rPr>
              <w:t>e3</w:t>
            </w:r>
          </w:p>
        </w:tc>
      </w:tr>
      <w:tr>
        <w:trPr>
          <w:trHeight w:val="250"/>
        </w:trPr>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620" w:type="dxa"/>
            <w:vAlign w:val="bottom"/>
            <w:gridSpan w:val="3"/>
          </w:tcPr>
          <w:p>
            <w:pPr>
              <w:jc w:val="right"/>
              <w:ind w:right="500"/>
              <w:spacing w:after="0"/>
              <w:rPr>
                <w:sz w:val="20"/>
                <w:szCs w:val="20"/>
                <w:color w:val="auto"/>
              </w:rPr>
            </w:pPr>
            <w:r>
              <w:rPr>
                <w:rFonts w:ascii="Times New Roman" w:cs="Times New Roman" w:eastAsia="Times New Roman" w:hAnsi="Times New Roman"/>
                <w:sz w:val="11"/>
                <w:szCs w:val="11"/>
                <w:color w:val="auto"/>
                <w:w w:val="95"/>
              </w:rPr>
              <w:t>e1</w:t>
            </w: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-1276350</wp:posOffset>
            </wp:positionV>
            <wp:extent cx="684911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49110" cy="20574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-847725</wp:posOffset>
            </wp:positionV>
            <wp:extent cx="684911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49110" cy="22288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-445135</wp:posOffset>
            </wp:positionV>
            <wp:extent cx="684911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4911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760"/>
          </w:cols>
          <w:pgMar w:left="320" w:top="1417" w:right="339" w:bottom="1440" w:gutter="0" w:footer="0" w:header="0"/>
          <w:type w:val="continuous"/>
        </w:sectPr>
      </w:pPr>
    </w:p>
    <w:p>
      <w:pPr>
        <w:spacing w:after="0" w:line="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e3)</w:t>
      </w:r>
      <w:r>
        <w:rPr>
          <w:sz w:val="20"/>
          <w:szCs w:val="20"/>
          <w:color w:val="auto"/>
        </w:rPr>
        <w:tab/>
      </w:r>
      <w:r>
        <w:rPr>
          <w:rFonts w:ascii="Times New Roman" w:cs="Times New Roman" w:eastAsia="Times New Roman" w:hAnsi="Times New Roman"/>
          <w:sz w:val="17"/>
          <w:szCs w:val="17"/>
          <w:color w:val="auto"/>
        </w:rPr>
        <w:t>Represents adjustment to eliminate the amortization of historic GeneDx intangible assets of $16.8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type w:val="continuous"/>
        </w:sectPr>
      </w:pPr>
    </w:p>
    <w:bookmarkStart w:id="55" w:name="page56"/>
    <w:bookmarkEnd w:id="55"/>
    <w:p>
      <w:pPr>
        <w:ind w:left="660" w:hanging="328"/>
        <w:spacing w:after="0" w:line="282" w:lineRule="auto"/>
        <w:tabs>
          <w:tab w:leader="none" w:pos="65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preliminary purchase price allocations performed, the estimated goodwill of $289.0 million is recognized from the Acquisition resulting the adjustment of $7.0 million. The historic GeneDx goodwill of $282.0 million is eliminated.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elimination of GeneDx’s historical additional paid-in capital and adjustment to Sema4’s common stock and additional paid capital for the stock considerations and PIPE financing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 capital</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GeneDx historical additional paid-in capital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r>
      <w:tr>
        <w:trPr>
          <w:trHeight w:val="24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consideration a2)</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financing a1)</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4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PIPE financing cost a1)</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lowerLetter"/>
      <w:start w:val="1"/>
    </w:lvl>
  </w:abstractNum>
  <w:abstractNum w:abstractNumId="2">
    <w:nsid w:val="5577F8E1"/>
    <w:multiLevelType w:val="hybridMultilevel"/>
    <w:lvl w:ilvl="0">
      <w:lvlJc w:val="left"/>
      <w:lvlText w:val="(%1)"/>
      <w:numFmt w:val="lowerLetter"/>
      <w:start w:val="4"/>
    </w:lvl>
  </w:abstractNum>
  <w:abstractNum w:abstractNumId="3">
    <w:nsid w:val="440BADFC"/>
    <w:multiLevelType w:val="hybridMultilevel"/>
    <w:lvl w:ilvl="0">
      <w:lvlJc w:val="left"/>
      <w:lvlText w:val="%1"/>
      <w:numFmt w:val="decimal"/>
      <w:start w:val="104"/>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lvl w:ilvl="1">
      <w:lvlJc w:val="left"/>
      <w:lvlText w:val="(%2)"/>
      <w:numFmt w:val="lowerLetter"/>
      <w:start w:val="1"/>
    </w:lvl>
  </w:abstractNum>
  <w:abstractNum w:abstractNumId="6">
    <w:nsid w:val="77465F0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
    <w:nsid w:val="7724C67E"/>
    <w:multiLevelType w:val="hybridMultilevel"/>
    <w:lvl w:ilvl="0">
      <w:lvlJc w:val="left"/>
      <w:lvlText w:val="%1"/>
      <w:numFmt w:val="lowerRoman"/>
      <w:start w:val="1"/>
    </w:lvl>
    <w:lvl w:ilvl="1">
      <w:lvlJc w:val="left"/>
      <w:lvlText w:val="(%2)"/>
      <w:numFmt w:val="lowerRoman"/>
      <w:start w:val="3"/>
    </w:lvl>
  </w:abstractNum>
  <w:abstractNum w:abstractNumId="8">
    <w:nsid w:val="5C482A97"/>
    <w:multiLevelType w:val="hybridMultilevel"/>
    <w:lvl w:ilvl="0">
      <w:lvlJc w:val="left"/>
      <w:lvlText w:val="(%1)"/>
      <w:numFmt w:val="lowerRoman"/>
      <w:start w:val="4"/>
    </w:lvl>
    <w:lvl w:ilvl="1">
      <w:lvlJc w:val="left"/>
      <w:lvlText w:val="%2"/>
      <w:numFmt w:val="lowerRoman"/>
      <w:start w:val="1"/>
    </w:lvl>
  </w:abstractNum>
  <w:abstractNum w:abstractNumId="9">
    <w:nsid w:val="2463B9EA"/>
    <w:multiLevelType w:val="hybridMultilevel"/>
    <w:lvl w:ilvl="0">
      <w:lvlJc w:val="left"/>
      <w:lvlText w:val="(%1)"/>
      <w:numFmt w:val="lowerLetter"/>
      <w:start w:val="8"/>
    </w:lvl>
  </w:abstractNum>
  <w:abstractNum w:abstractNumId="10">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3">
    <w:nsid w:val="580BD78F"/>
    <w:multiLevelType w:val="hybridMultilevel"/>
    <w:lvl w:ilvl="0">
      <w:lvlJc w:val="left"/>
      <w:lvlText w:val="(%1)"/>
      <w:numFmt w:val="lowerRoman"/>
      <w:start w:val="2"/>
    </w:lvl>
    <w:lvl w:ilvl="1">
      <w:lvlJc w:val="left"/>
      <w:lvlText w:val="(%2)"/>
      <w:numFmt w:val="decimal"/>
      <w:start w:val="1"/>
    </w:lvl>
  </w:abstractNum>
  <w:abstractNum w:abstractNumId="14">
    <w:nsid w:val="153EA438"/>
    <w:multiLevelType w:val="hybridMultilevel"/>
    <w:lvl w:ilvl="0">
      <w:lvlJc w:val="left"/>
      <w:lvlText w:val="%1."/>
      <w:numFmt w:val="decimal"/>
      <w:start w:val="4"/>
    </w:lvl>
    <w:lvl w:ilvl="1">
      <w:lvlJc w:val="left"/>
      <w:lvlText w:val="(%2)"/>
      <w:numFmt w:val="lowerLetter"/>
      <w:start w:val="1"/>
    </w:lvl>
  </w:abstractNum>
  <w:abstractNum w:abstractNumId="15">
    <w:nsid w:val="3855585C"/>
    <w:multiLevelType w:val="hybridMultilevel"/>
    <w:lvl w:ilvl="0">
      <w:lvlJc w:val="left"/>
      <w:lvlText w:val="%1"/>
      <w:numFmt w:val="decimal"/>
      <w:start w:val="1"/>
    </w:lvl>
    <w:lvl w:ilvl="1">
      <w:lvlJc w:val="left"/>
      <w:lvlText w:val="(%2)"/>
      <w:numFmt w:val="lowerLetter"/>
      <w:start w:val="6"/>
    </w:lvl>
  </w:abstractNum>
  <w:abstractNum w:abstractNumId="16">
    <w:nsid w:val="70A64E2A"/>
    <w:multiLevelType w:val="hybridMultilevel"/>
    <w:lvl w:ilvl="0">
      <w:lvlJc w:val="left"/>
      <w:lvlText w:val="%1."/>
      <w:numFmt w:val="decimal"/>
      <w:start w:val="5"/>
    </w:lvl>
    <w:lvl w:ilvl="1">
      <w:lvlJc w:val="left"/>
      <w:lvlText w:val="(%2)"/>
      <w:numFmt w:val="lowerLetter"/>
      <w:start w:val="1"/>
    </w:lvl>
  </w:abstractNum>
  <w:abstractNum w:abstractNumId="17">
    <w:nsid w:val="6A2342EC"/>
    <w:multiLevelType w:val="hybridMultilevel"/>
    <w:lvl w:ilvl="0">
      <w:lvlJc w:val="left"/>
      <w:lvlText w:val="%1."/>
      <w:numFmt w:val="decimal"/>
      <w:start w:val="7"/>
    </w:lvl>
    <w:lvl w:ilvl="1">
      <w:lvlJc w:val="left"/>
      <w:lvlText w:val="(%2)"/>
      <w:numFmt w:val="lowerLetter"/>
      <w:start w:val="1"/>
    </w:lvl>
  </w:abstractNum>
  <w:abstractNum w:abstractNumId="18">
    <w:nsid w:val="2A487CB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9">
    <w:nsid w:val="1D4ED43B"/>
    <w:multiLevelType w:val="hybridMultilevel"/>
    <w:lvl w:ilvl="0">
      <w:lvlJc w:val="left"/>
      <w:lvlText w:val="%1"/>
      <w:numFmt w:val="lowerLetter"/>
      <w:start w:val="1"/>
    </w:lvl>
    <w:lvl w:ilvl="1">
      <w:lvlJc w:val="left"/>
      <w:lvlText w:val="(%2)"/>
      <w:numFmt w:val="lowerLetter"/>
      <w:start w:val="4"/>
    </w:lvl>
  </w:abstractNum>
  <w:abstractNum w:abstractNumId="20">
    <w:nsid w:val="725A06FB"/>
    <w:multiLevelType w:val="hybridMultilevel"/>
    <w:lvl w:ilvl="0">
      <w:lvlJc w:val="left"/>
      <w:lvlText w:val="(%1)"/>
      <w:numFmt w:val="lowerLetter"/>
      <w:start w:val="9"/>
    </w:lvl>
    <w:lvl w:ilvl="1">
      <w:lvlJc w:val="left"/>
      <w:lvlText w:val="%2"/>
      <w:numFmt w:val="lowerLetter"/>
      <w:start w:val="1"/>
    </w:lvl>
  </w:abstractNum>
  <w:abstractNum w:abstractNumId="21">
    <w:nsid w:val="2CD89A32"/>
    <w:multiLevelType w:val="hybridMultilevel"/>
    <w:lvl w:ilvl="0">
      <w:lvlJc w:val="left"/>
      <w:lvlText w:val="%1."/>
      <w:numFmt w:val="decimal"/>
      <w:start w:val="9"/>
    </w:lvl>
    <w:lvl w:ilvl="1">
      <w:lvlJc w:val="left"/>
      <w:lvlText w:val="(%2)"/>
      <w:numFmt w:val="lowerLetter"/>
      <w:start w:val="1"/>
    </w:lvl>
  </w:abstractNum>
  <w:abstractNum w:abstractNumId="22">
    <w:nsid w:val="57E4CCAF"/>
    <w:multiLevelType w:val="hybridMultilevel"/>
    <w:lvl w:ilvl="0">
      <w:lvlJc w:val="left"/>
      <w:lvlText w:val="(%1)"/>
      <w:numFmt w:val="lowerLetter"/>
      <w:start w:val="3"/>
    </w:lvl>
  </w:abstractNum>
  <w:abstractNum w:abstractNumId="23">
    <w:nsid w:val="7A6D8D3C"/>
    <w:multiLevelType w:val="hybridMultilevel"/>
    <w:lvl w:ilvl="0">
      <w:lvlJc w:val="left"/>
      <w:lvlText w:val="(%1)"/>
      <w:numFmt w:val="lowerLetter"/>
      <w:start w:val="8"/>
    </w:lvl>
  </w:abstractNum>
  <w:abstractNum w:abstractNumId="24">
    <w:nsid w:val="4B588F54"/>
    <w:multiLevelType w:val="hybridMultilevel"/>
    <w:lvl w:ilvl="0">
      <w:lvlJc w:val="left"/>
      <w:lvlText w:val="(%1)"/>
      <w:numFmt w:val="lowerLetter"/>
      <w:start w:val="9"/>
    </w:lvl>
  </w:abstractNum>
  <w:abstractNum w:abstractNumId="25">
    <w:nsid w:val="542289EC"/>
    <w:multiLevelType w:val="hybridMultilevel"/>
    <w:lvl w:ilvl="0">
      <w:lvlJc w:val="left"/>
      <w:lvlText w:val="%1."/>
      <w:numFmt w:val="decimal"/>
      <w:start w:val="1"/>
    </w:lvl>
    <w:lvl w:ilvl="1">
      <w:lvlJc w:val="left"/>
      <w:lvlText w:val="%2"/>
      <w:numFmt w:val="upperLetter"/>
      <w:start w:val="1"/>
    </w:lvl>
  </w:abstractNum>
  <w:abstractNum w:abstractNumId="26">
    <w:nsid w:val="6DE91B18"/>
    <w:multiLevelType w:val="hybridMultilevel"/>
    <w:lvl w:ilvl="0">
      <w:lvlJc w:val="left"/>
      <w:lvlText w:val="(%1)"/>
      <w:numFmt w:val="lowerRoman"/>
      <w:start w:val="2"/>
    </w:lvl>
    <w:lvl w:ilvl="1">
      <w:lvlJc w:val="left"/>
      <w:lvlText w:val="%2."/>
      <w:numFmt w:val="upperLetter"/>
      <w:start w:val="2"/>
    </w:lvl>
  </w:abstractNum>
  <w:abstractNum w:abstractNumId="27">
    <w:nsid w:val="38437FDB"/>
    <w:multiLevelType w:val="hybridMultilevel"/>
    <w:lvl w:ilvl="0">
      <w:lvlJc w:val="left"/>
      <w:lvlText w:val="%1."/>
      <w:numFmt w:val="decimal"/>
      <w:start w:val="2"/>
    </w:lvl>
  </w:abstractNum>
  <w:abstractNum w:abstractNumId="28">
    <w:nsid w:val="7644A45C"/>
    <w:multiLevelType w:val="hybridMultilevel"/>
    <w:lvl w:ilvl="0">
      <w:lvlJc w:val="left"/>
      <w:lvlText w:val="%1."/>
      <w:numFmt w:val="decimal"/>
      <w:start w:val="3"/>
    </w:lvl>
    <w:lvl w:ilvl="1">
      <w:lvlJc w:val="left"/>
      <w:lvlText w:val="%2."/>
      <w:numFmt w:val="upperLetter"/>
      <w:start w:val="1"/>
    </w:lvl>
  </w:abstractNum>
  <w:abstractNum w:abstractNumId="29">
    <w:nsid w:val="32FFF902"/>
    <w:multiLevelType w:val="hybridMultilevel"/>
    <w:lvl w:ilvl="0">
      <w:lvlJc w:val="left"/>
      <w:lvlText w:val="%1"/>
      <w:numFmt w:val="decimal"/>
      <w:start w:val="1"/>
    </w:lvl>
    <w:lvl w:ilvl="1">
      <w:lvlJc w:val="left"/>
      <w:lvlText w:val="%2."/>
      <w:numFmt w:val="upperLetter"/>
      <w:start w:val="3"/>
    </w:lvl>
  </w:abstractNum>
  <w:abstractNum w:abstractNumId="30">
    <w:nsid w:val="684A481A"/>
    <w:multiLevelType w:val="hybridMultilevel"/>
    <w:lvl w:ilvl="0">
      <w:lvlJc w:val="left"/>
      <w:lvlText w:val="%1."/>
      <w:numFmt w:val="decimal"/>
      <w:start w:val="4"/>
    </w:lvl>
    <w:lvl w:ilvl="1">
      <w:lvlJc w:val="left"/>
      <w:lvlText w:val="%2."/>
      <w:numFmt w:val="upperLetter"/>
      <w:start w:val="1"/>
    </w:lvl>
  </w:abstractNum>
  <w:abstractNum w:abstractNumId="31">
    <w:nsid w:val="579478FE"/>
    <w:multiLevelType w:val="hybridMultilevel"/>
    <w:lvl w:ilvl="0">
      <w:lvlJc w:val="left"/>
      <w:lvlText w:val="%1"/>
      <w:numFmt w:val="decimal"/>
      <w:start w:val="1"/>
    </w:lvl>
    <w:lvl w:ilvl="1">
      <w:lvlJc w:val="left"/>
      <w:lvlText w:val="%2."/>
      <w:numFmt w:val="upperLetter"/>
      <w:start w:val="2"/>
    </w:lvl>
  </w:abstractNum>
  <w:abstractNum w:abstractNumId="32">
    <w:nsid w:val="749ABB43"/>
    <w:multiLevelType w:val="hybridMultilevel"/>
    <w:lvl w:ilvl="0">
      <w:lvlJc w:val="left"/>
      <w:lvlText w:val="%1."/>
      <w:numFmt w:val="decimal"/>
      <w:start w:val="5"/>
    </w:lvl>
    <w:lvl w:ilvl="1">
      <w:lvlJc w:val="left"/>
      <w:lvlText w:val="%2."/>
      <w:numFmt w:val="upperLetter"/>
      <w:start w:val="1"/>
    </w:lvl>
  </w:abstractNum>
  <w:abstractNum w:abstractNumId="33">
    <w:nsid w:val="3DC240FB"/>
    <w:multiLevelType w:val="hybridMultilevel"/>
    <w:lvl w:ilvl="0">
      <w:lvlJc w:val="left"/>
      <w:lvlText w:val="(%1)"/>
      <w:numFmt w:val="decimal"/>
      <w:start w:val="365"/>
    </w:lvl>
  </w:abstractNum>
  <w:abstractNum w:abstractNumId="34">
    <w:nsid w:val="1BA026FA"/>
    <w:multiLevelType w:val="hybridMultilevel"/>
    <w:lvl w:ilvl="0">
      <w:lvlJc w:val="left"/>
      <w:lvlText w:val="(%1)"/>
      <w:numFmt w:val="decimal"/>
      <w:start w:val="3"/>
    </w:lvl>
  </w:abstractNum>
  <w:abstractNum w:abstractNumId="35">
    <w:nsid w:val="79A1DEAA"/>
    <w:multiLevelType w:val="hybridMultilevel"/>
    <w:lvl w:ilvl="0">
      <w:lvlJc w:val="left"/>
      <w:lvlText w:val="%1."/>
      <w:numFmt w:val="upperLetter"/>
      <w:start w:val="2"/>
    </w:lvl>
    <w:lvl w:ilvl="1">
      <w:lvlJc w:val="left"/>
      <w:lvlText w:val="(%2)"/>
      <w:numFmt w:val="lowerRoman"/>
      <w:start w:val="1"/>
    </w:lvl>
  </w:abstractNum>
  <w:abstractNum w:abstractNumId="36">
    <w:nsid w:val="75C6C33A"/>
    <w:multiLevelType w:val="hybridMultilevel"/>
    <w:lvl w:ilvl="0">
      <w:lvlJc w:val="left"/>
      <w:lvlText w:val="%1"/>
      <w:numFmt w:val="lowerLetter"/>
      <w:start w:val="1"/>
    </w:lvl>
    <w:lvl w:ilvl="1">
      <w:lvlJc w:val="left"/>
      <w:lvlText w:val="%2."/>
      <w:numFmt w:val="upperLetter"/>
      <w:start w:val="4"/>
    </w:lvl>
    <w:lvl w:ilvl="2">
      <w:lvlJc w:val="left"/>
      <w:lvlText w:val="(%3)"/>
      <w:numFmt w:val="lowerRoman"/>
      <w:start w:val="1"/>
    </w:lvl>
  </w:abstractNum>
  <w:abstractNum w:abstractNumId="37">
    <w:nsid w:val="12E685FB"/>
    <w:multiLevelType w:val="hybridMultilevel"/>
    <w:lvl w:ilvl="0">
      <w:lvlJc w:val="left"/>
      <w:lvlText w:val="(%1)"/>
      <w:numFmt w:val="lowerLetter"/>
      <w:start w:val="2"/>
    </w:lvl>
    <w:lvl w:ilvl="1">
      <w:lvlJc w:val="left"/>
      <w:lvlText w:val="%2."/>
      <w:numFmt w:val="upperLetter"/>
      <w:start w:val="4"/>
    </w:lvl>
    <w:lvl w:ilvl="2">
      <w:lvlJc w:val="left"/>
      <w:lvlText w:val="(%3)"/>
      <w:numFmt w:val="lowerRoman"/>
      <w:start w:val="3"/>
    </w:lvl>
  </w:abstractNum>
  <w:abstractNum w:abstractNumId="38">
    <w:nsid w:val="70C6A529"/>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39">
    <w:nsid w:val="520EEDD1"/>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40">
    <w:nsid w:val="374A3FE6"/>
    <w:multiLevelType w:val="hybridMultilevel"/>
    <w:lvl w:ilvl="0">
      <w:lvlJc w:val="left"/>
      <w:lvlText w:val="(%1)"/>
      <w:numFmt w:val="upperLetter"/>
      <w:start w:val="2"/>
    </w:lvl>
    <w:lvl w:ilvl="1">
      <w:lvlJc w:val="left"/>
      <w:lvlText w:val="%2"/>
      <w:numFmt w:val="upperLetter"/>
      <w:start w:val="1"/>
    </w:lvl>
    <w:lvl w:ilvl="2">
      <w:lvlJc w:val="left"/>
      <w:lvlText w:val="(%3)"/>
      <w:numFmt w:val="lowerRoman"/>
      <w:start w:val="2"/>
    </w:lvl>
  </w:abstractNum>
  <w:abstractNum w:abstractNumId="41">
    <w:nsid w:val="4F4EF005"/>
    <w:multiLevelType w:val="hybridMultilevel"/>
    <w:lvl w:ilvl="0">
      <w:lvlJc w:val="left"/>
      <w:lvlText w:val="%1"/>
      <w:numFmt w:val="upperLetter"/>
      <w:start w:val="1"/>
    </w:lvl>
    <w:lvl w:ilvl="1">
      <w:lvlJc w:val="left"/>
      <w:lvlText w:val="%2."/>
      <w:numFmt w:val="upperLetter"/>
      <w:start w:val="6"/>
    </w:lvl>
  </w:abstractNum>
  <w:abstractNum w:abstractNumId="42">
    <w:nsid w:val="23F9C13C"/>
    <w:multiLevelType w:val="hybridMultilevel"/>
    <w:lvl w:ilvl="0">
      <w:lvlJc w:val="left"/>
      <w:lvlText w:val="(%1)"/>
      <w:numFmt w:val="upperLetter"/>
      <w:start w:val="3"/>
    </w:lvl>
    <w:lvl w:ilvl="1">
      <w:lvlJc w:val="left"/>
      <w:lvlText w:val="%2."/>
      <w:numFmt w:val="upperLetter"/>
      <w:start w:val="7"/>
    </w:lvl>
  </w:abstractNum>
  <w:abstractNum w:abstractNumId="43">
    <w:nsid w:val="649BB77C"/>
    <w:multiLevelType w:val="hybridMultilevel"/>
    <w:lvl w:ilvl="0">
      <w:lvlJc w:val="left"/>
      <w:lvlText w:val="%1."/>
      <w:numFmt w:val="decimal"/>
      <w:start w:val="6"/>
    </w:lvl>
  </w:abstractNum>
  <w:abstractNum w:abstractNumId="44">
    <w:nsid w:val="275AC794"/>
    <w:multiLevelType w:val="hybridMultilevel"/>
    <w:lvl w:ilvl="0">
      <w:lvlJc w:val="left"/>
      <w:lvlText w:val="%1."/>
      <w:numFmt w:val="decimal"/>
      <w:start w:val="7"/>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9"/>
    </w:lvl>
    <w:lvl w:ilvl="1">
      <w:lvlJc w:val="left"/>
      <w:lvlText w:val="%2."/>
      <w:numFmt w:val="upperLetter"/>
      <w:start w:val="1"/>
    </w:lvl>
  </w:abstractNum>
  <w:abstractNum w:abstractNumId="47">
    <w:nsid w:val="180115BE"/>
    <w:multiLevelType w:val="hybridMultilevel"/>
    <w:lvl w:ilvl="0">
      <w:lvlJc w:val="left"/>
      <w:lvlText w:val="%1."/>
      <w:numFmt w:val="decimal"/>
      <w:start w:val="11"/>
    </w:lvl>
  </w:abstractNum>
  <w:abstractNum w:abstractNumId="48">
    <w:nsid w:val="235BA861"/>
    <w:multiLevelType w:val="hybridMultilevel"/>
    <w:lvl w:ilvl="0">
      <w:lvlJc w:val="left"/>
      <w:lvlText w:val="%1."/>
      <w:numFmt w:val="decimal"/>
      <w:start w:val="12"/>
    </w:lvl>
    <w:lvl w:ilvl="1">
      <w:lvlJc w:val="left"/>
      <w:lvlText w:val="%2."/>
      <w:numFmt w:val="upperLetter"/>
      <w:start w:val="1"/>
    </w:lvl>
  </w:abstractNum>
  <w:abstractNum w:abstractNumId="49">
    <w:nsid w:val="47398C89"/>
    <w:multiLevelType w:val="hybridMultilevel"/>
    <w:lvl w:ilvl="0">
      <w:lvlJc w:val="left"/>
      <w:lvlText w:val="%1"/>
      <w:numFmt w:val="decimal"/>
      <w:start w:val="1"/>
    </w:lvl>
    <w:lvl w:ilvl="1">
      <w:lvlJc w:val="left"/>
      <w:lvlText w:val="%2."/>
      <w:numFmt w:val="upperLetter"/>
      <w:start w:val="4"/>
    </w:lvl>
  </w:abstractNum>
  <w:abstractNum w:abstractNumId="50">
    <w:nsid w:val="354FE9F9"/>
    <w:multiLevelType w:val="hybridMultilevel"/>
    <w:lvl w:ilvl="0">
      <w:lvlJc w:val="left"/>
      <w:lvlText w:val="%1."/>
      <w:numFmt w:val="decimal"/>
      <w:start w:val="13"/>
    </w:lvl>
    <w:lvl w:ilvl="1">
      <w:lvlJc w:val="left"/>
      <w:lvlText w:val="%2"/>
      <w:numFmt w:val="upperLetter"/>
      <w:start w:val="1"/>
    </w:lvl>
  </w:abstractNum>
  <w:abstractNum w:abstractNumId="51">
    <w:nsid w:val="15B5AF5C"/>
    <w:multiLevelType w:val="hybridMultilevel"/>
    <w:lvl w:ilvl="0">
      <w:lvlJc w:val="left"/>
      <w:lvlText w:val="%1."/>
      <w:numFmt w:val="decimal"/>
      <w:start w:val="14"/>
    </w:lvl>
  </w:abstractNum>
  <w:abstractNum w:abstractNumId="52">
    <w:nsid w:val="741226BB"/>
    <w:multiLevelType w:val="hybridMultilevel"/>
    <w:lvl w:ilvl="0">
      <w:lvlJc w:val="left"/>
      <w:lvlText w:val="%1."/>
      <w:numFmt w:val="decimal"/>
      <w:start w:val="15"/>
    </w:lvl>
    <w:lvl w:ilvl="1">
      <w:lvlJc w:val="left"/>
      <w:lvlText w:val="%2."/>
      <w:numFmt w:val="upperLetter"/>
      <w:start w:val="1"/>
    </w:lvl>
  </w:abstractNum>
  <w:abstractNum w:abstractNumId="53">
    <w:nsid w:val="D34B6A8"/>
    <w:multiLevelType w:val="hybridMultilevel"/>
    <w:lvl w:ilvl="0">
      <w:lvlJc w:val="left"/>
      <w:lvlText w:val="%1."/>
      <w:numFmt w:val="upperLetter"/>
      <w:start w:val="6"/>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lowerLetter"/>
      <w:start w:val="2"/>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2"/>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decimal"/>
      <w:start w:val="3"/>
    </w:lvl>
  </w:abstractNum>
  <w:abstractNum w:abstractNumId="60">
    <w:nsid w:val="310C50B3"/>
    <w:multiLevelType w:val="hybridMultilevel"/>
    <w:lvl w:ilvl="0">
      <w:lvlJc w:val="left"/>
      <w:lvlText w:val="%1."/>
      <w:numFmt w:val="decimal"/>
      <w:start w:val="4"/>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1)"/>
      <w:numFmt w:val="lowerLetter"/>
      <w:start w:val="2"/>
    </w:lvl>
  </w:abstractNum>
  <w:abstractNum w:abstractNumId="66">
    <w:nsid w:val="1F48EAA1"/>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5" Type="http://schemas.openxmlformats.org/officeDocument/2006/relationships/hyperlink" Target="https://www.sec.gov/Archives/edgar/data/1818331/000162828022008073/sema4-2022finalproxy.htm#i9dc8683d5f754346aae9d53d48e80fdd_1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2022-05-02T07:33:28Z</dcterms:created>
  <dcterms:modified xsi:type="dcterms:W3CDTF">2022-05-02T07:33:28Z</dcterms:modified>
</cp:coreProperties>
</file>