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012026_080508.xml.htm"/>
      <w:bookmarkStart w:id="1" w:name="ksform405012026_0805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95,388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65.2</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93,234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64.12</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93,216</w:t>
            </w:r>
            <w:r>
              <w:rPr>
                <w:rFonts w:ascii="Times;serif" w:hAnsi="Times;serif"/>
                <w:color w:val="008000"/>
                <w:position w:val="7"/>
                <w:sz w:val="16"/>
                <w:sz w:val="20"/>
                <w:shd w:fill="FFFFFF" w:val="clear"/>
              </w:rPr>
              <w:t>(3)</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Following the reported sale undertaken to satisfy tax withholding liabilities, in addition to the 93,216 shares of Class A Common Stock beneficially owned by the Reporting Person, the Reporting Person beneficially owned RSUs representing contingent rights to receive up to an aggregate of 330,821 shares of Class A Common Stock and options to purchase up to an aggregate of 107,610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total award vested on each of April 29, 2023 and April 29, 2024, and an additional 6.25% of the total award vested or vests thereafter on each quarterly anniversary, subject to the Reporting Person's continued service to the Issuer on each vesting date, with the last tranche vesting on April 29, 2026.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575"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842</Words>
  <Characters>4442</Characters>
  <CharactersWithSpaces>5201</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