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201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Prentice Anthony</w:t>
              </w:r>
            </w:hyperlink>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Sema4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SMFR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900" w:type="dxa"/>
            <w:vAlign w:val="bottom"/>
            <w:tcBorders>
              <w:top w:val="single" w:sz="8" w:color="0000EE"/>
            </w:tcBorders>
          </w:tcPr>
          <w:p>
            <w:pPr>
              <w:spacing w:after="0"/>
              <w:rPr>
                <w:sz w:val="5"/>
                <w:szCs w:val="5"/>
                <w:color w:val="auto"/>
              </w:rPr>
            </w:pPr>
          </w:p>
        </w:tc>
        <w:tc>
          <w:tcPr>
            <w:tcW w:w="1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60" w:type="dxa"/>
            <w:vAlign w:val="bottom"/>
          </w:tcPr>
          <w:p>
            <w:pPr>
              <w:ind w:left="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SEMA4 HOLDINGS CORP.</w:t>
            </w:r>
          </w:p>
        </w:tc>
        <w:tc>
          <w:tcPr>
            <w:tcW w:w="1260" w:type="dxa"/>
            <w:vAlign w:val="bottom"/>
          </w:tcPr>
          <w:p>
            <w:pPr>
              <w:spacing w:after="0"/>
              <w:rPr>
                <w:sz w:val="19"/>
                <w:szCs w:val="19"/>
                <w:color w:val="auto"/>
              </w:rPr>
            </w:pPr>
          </w:p>
        </w:tc>
        <w:tc>
          <w:tcPr>
            <w:tcW w:w="20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07/25/2022</w:t>
            </w: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360" w:type="dxa"/>
            <w:vAlign w:val="bottom"/>
            <w:gridSpan w:val="3"/>
            <w:vMerge w:val="continue"/>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194"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854"/>
        <w:spacing w:after="0"/>
        <w:rPr>
          <w:sz w:val="20"/>
          <w:szCs w:val="20"/>
          <w:color w:val="auto"/>
        </w:rPr>
      </w:pPr>
      <w:r>
        <w:rPr>
          <w:rFonts w:ascii="Times New Roman" w:cs="Times New Roman" w:eastAsia="Times New Roman" w:hAnsi="Times New Roman"/>
          <w:sz w:val="17"/>
          <w:szCs w:val="17"/>
          <w:color w:val="0000FF"/>
        </w:rPr>
        <w:t>Chief Product Officer</w:t>
      </w:r>
    </w:p>
    <w:p>
      <w:pPr>
        <w:spacing w:after="0" w:line="391" w:lineRule="exact"/>
        <w:rPr>
          <w:sz w:val="20"/>
          <w:szCs w:val="20"/>
          <w:color w:val="auto"/>
        </w:rPr>
      </w:pPr>
    </w:p>
    <w:p>
      <w:pPr>
        <w:sectPr>
          <w:pgSz w:w="11900" w:h="16838" w:orient="portrait"/>
          <w:cols w:equalWidth="0" w:num="2">
            <w:col w:w="7660" w:space="66"/>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80" w:type="dxa"/>
            <w:vAlign w:val="bottom"/>
            <w:gridSpan w:val="8"/>
          </w:tcPr>
          <w:p>
            <w:pPr>
              <w:jc w:val="center"/>
              <w:spacing w:after="0" w:line="148" w:lineRule="exact"/>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0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60" w:type="dxa"/>
            <w:vAlign w:val="bottom"/>
            <w:gridSpan w:val="9"/>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1"/>
              </w:rPr>
              <w:t>CT</w:t>
            </w:r>
          </w:p>
        </w:tc>
        <w:tc>
          <w:tcPr>
            <w:tcW w:w="98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06902</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4"/>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07/25/2022</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41"/>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3"/>
              </w:rPr>
              <w:t>3,940</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4"/>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13,800</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20" w:type="dxa"/>
            <w:vAlign w:val="bottom"/>
            <w:tcBorders>
              <w:bottom w:val="single" w:sz="8" w:color="2C2C2C"/>
            </w:tcBorders>
            <w:gridSpan w:val="5"/>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07/26/2022</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1,698</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1.47</w:t>
            </w:r>
            <w:r>
              <w:rPr>
                <w:rFonts w:ascii="Times New Roman" w:cs="Times New Roman" w:eastAsia="Times New Roman" w:hAnsi="Times New Roman"/>
                <w:sz w:val="21"/>
                <w:szCs w:val="21"/>
                <w:color w:val="008000"/>
                <w:vertAlign w:val="superscript"/>
              </w:rPr>
              <w:t>(3)</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12,102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4"/>
          </w:tcPr>
          <w:p>
            <w:pPr>
              <w:jc w:val="center"/>
              <w:ind w:left="73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80" w:type="dxa"/>
            <w:vAlign w:val="bottom"/>
            <w:gridSpan w:val="12"/>
          </w:tcPr>
          <w:p>
            <w:pPr>
              <w:jc w:val="center"/>
              <w:ind w:left="3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(4)</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3,940</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07/25/2022</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3,940</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47,289</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40" w:right="16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$1.47 to $1.51, inclusive.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 in quarterly installments over the four-year period commencing on July 25, 2021 until fully vested, subject to the Reporting Person's continued service to the Issuer on each vesting 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Daniel Clark, Attorney-in-</w:t>
            </w:r>
          </w:p>
        </w:tc>
        <w:tc>
          <w:tcPr>
            <w:tcW w:w="2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07/27/2022</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901"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2022-07-27T17:26:55Z</dcterms:created>
  <dcterms:modified xsi:type="dcterms:W3CDTF">2022-07-27T17:26:55Z</dcterms:modified>
</cp:coreProperties>
</file>