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January 9, 2023</w:t>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09"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64770</wp:posOffset>
            </wp:positionV>
            <wp:extent cx="1045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1714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88900</wp:posOffset>
            </wp:positionV>
            <wp:extent cx="10458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5845" cy="1714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GENEDX HOLDINGS CORP.</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30" w:lineRule="exact"/>
        <w:rPr>
          <w:sz w:val="24"/>
          <w:szCs w:val="24"/>
          <w:color w:val="auto"/>
        </w:rPr>
      </w:pPr>
    </w:p>
    <w:tbl>
      <w:tblPr>
        <w:tblLayout w:type="fixed"/>
        <w:tblInd w:w="1720" w:type="dxa"/>
        <w:tblCellMar>
          <w:top w:w="0" w:type="dxa"/>
          <w:left w:w="0" w:type="dxa"/>
          <w:bottom w:w="0" w:type="dxa"/>
          <w:right w:w="0" w:type="dxa"/>
        </w:tblCellMar>
      </w:tblPr>
      <w:tr>
        <w:trPr>
          <w:trHeight w:val="210"/>
        </w:trPr>
        <w:tc>
          <w:tcPr>
            <w:tcW w:w="4140" w:type="dxa"/>
            <w:vAlign w:val="bottom"/>
          </w:tcPr>
          <w:p>
            <w:pPr>
              <w:jc w:val="center"/>
              <w:ind w:right="1879"/>
              <w:spacing w:after="0"/>
              <w:rPr>
                <w:sz w:val="20"/>
                <w:szCs w:val="20"/>
                <w:color w:val="auto"/>
              </w:rPr>
            </w:pPr>
            <w:r>
              <w:rPr>
                <w:rFonts w:ascii="Arial" w:cs="Arial" w:eastAsia="Arial" w:hAnsi="Arial"/>
                <w:sz w:val="16"/>
                <w:szCs w:val="16"/>
                <w:b w:val="1"/>
                <w:bCs w:val="1"/>
                <w:color w:val="auto"/>
                <w:w w:val="93"/>
              </w:rPr>
              <w:t>Delaware</w:t>
            </w:r>
          </w:p>
        </w:tc>
        <w:tc>
          <w:tcPr>
            <w:tcW w:w="3160" w:type="dxa"/>
            <w:vAlign w:val="bottom"/>
          </w:tcPr>
          <w:p>
            <w:pPr>
              <w:jc w:val="center"/>
              <w:ind w:left="1899"/>
              <w:spacing w:after="0"/>
              <w:rPr>
                <w:sz w:val="20"/>
                <w:szCs w:val="20"/>
                <w:color w:val="auto"/>
              </w:rPr>
            </w:pPr>
            <w:r>
              <w:rPr>
                <w:rFonts w:ascii="Arial" w:cs="Arial" w:eastAsia="Arial" w:hAnsi="Arial"/>
                <w:sz w:val="16"/>
                <w:szCs w:val="16"/>
                <w:b w:val="1"/>
                <w:bCs w:val="1"/>
                <w:color w:val="auto"/>
                <w:w w:val="91"/>
              </w:rPr>
              <w:t>85-1966622</w:t>
            </w:r>
          </w:p>
        </w:tc>
      </w:tr>
      <w:tr>
        <w:trPr>
          <w:trHeight w:val="226"/>
        </w:trPr>
        <w:tc>
          <w:tcPr>
            <w:tcW w:w="4140" w:type="dxa"/>
            <w:vAlign w:val="bottom"/>
          </w:tcPr>
          <w:p>
            <w:pPr>
              <w:jc w:val="center"/>
              <w:ind w:right="1899"/>
              <w:spacing w:after="0"/>
              <w:rPr>
                <w:sz w:val="20"/>
                <w:szCs w:val="20"/>
                <w:color w:val="auto"/>
              </w:rPr>
            </w:pPr>
            <w:r>
              <w:rPr>
                <w:rFonts w:ascii="Arial" w:cs="Arial" w:eastAsia="Arial" w:hAnsi="Arial"/>
                <w:sz w:val="16"/>
                <w:szCs w:val="16"/>
                <w:color w:val="auto"/>
                <w:w w:val="92"/>
              </w:rPr>
              <w:t>(State or Other Jurisdiction</w:t>
            </w:r>
          </w:p>
        </w:tc>
        <w:tc>
          <w:tcPr>
            <w:tcW w:w="3160" w:type="dxa"/>
            <w:vAlign w:val="bottom"/>
          </w:tcPr>
          <w:p>
            <w:pPr>
              <w:jc w:val="center"/>
              <w:ind w:left="1899"/>
              <w:spacing w:after="0"/>
              <w:rPr>
                <w:sz w:val="20"/>
                <w:szCs w:val="20"/>
                <w:color w:val="auto"/>
              </w:rPr>
            </w:pPr>
            <w:r>
              <w:rPr>
                <w:rFonts w:ascii="Arial" w:cs="Arial" w:eastAsia="Arial" w:hAnsi="Arial"/>
                <w:sz w:val="16"/>
                <w:szCs w:val="16"/>
                <w:color w:val="auto"/>
                <w:w w:val="93"/>
              </w:rPr>
              <w:t>(I.R.S. Employer</w:t>
            </w:r>
          </w:p>
        </w:tc>
      </w:tr>
      <w:tr>
        <w:trPr>
          <w:trHeight w:val="206"/>
        </w:trPr>
        <w:tc>
          <w:tcPr>
            <w:tcW w:w="4140" w:type="dxa"/>
            <w:vAlign w:val="bottom"/>
          </w:tcPr>
          <w:p>
            <w:pPr>
              <w:jc w:val="center"/>
              <w:ind w:right="1879"/>
              <w:spacing w:after="0"/>
              <w:rPr>
                <w:sz w:val="20"/>
                <w:szCs w:val="20"/>
                <w:color w:val="auto"/>
              </w:rPr>
            </w:pPr>
            <w:r>
              <w:rPr>
                <w:rFonts w:ascii="Arial" w:cs="Arial" w:eastAsia="Arial" w:hAnsi="Arial"/>
                <w:sz w:val="16"/>
                <w:szCs w:val="16"/>
                <w:color w:val="auto"/>
                <w:w w:val="94"/>
              </w:rPr>
              <w:t>of Incorporation or Organization)</w:t>
            </w:r>
          </w:p>
        </w:tc>
        <w:tc>
          <w:tcPr>
            <w:tcW w:w="3160" w:type="dxa"/>
            <w:vAlign w:val="bottom"/>
          </w:tcPr>
          <w:p>
            <w:pPr>
              <w:jc w:val="center"/>
              <w:ind w:left="1879"/>
              <w:spacing w:after="0"/>
              <w:rPr>
                <w:sz w:val="20"/>
                <w:szCs w:val="20"/>
                <w:color w:val="auto"/>
              </w:rPr>
            </w:pPr>
            <w:r>
              <w:rPr>
                <w:rFonts w:ascii="Arial" w:cs="Arial" w:eastAsia="Arial" w:hAnsi="Arial"/>
                <w:sz w:val="16"/>
                <w:szCs w:val="16"/>
                <w:color w:val="auto"/>
                <w:w w:val="96"/>
              </w:rPr>
              <w:t>Identification No.)</w:t>
            </w:r>
          </w:p>
        </w:tc>
      </w:tr>
    </w:tbl>
    <w:p>
      <w:pPr>
        <w:spacing w:after="0" w:line="3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22" w:lineRule="auto"/>
        <w:rPr>
          <w:sz w:val="20"/>
          <w:szCs w:val="20"/>
          <w:color w:val="auto"/>
        </w:rPr>
      </w:pPr>
      <w:r>
        <w:rPr>
          <w:rFonts w:ascii="Arial" w:cs="Arial" w:eastAsia="Arial" w:hAnsi="Arial"/>
          <w:sz w:val="18"/>
          <w:szCs w:val="18"/>
          <w:b w:val="1"/>
          <w:bCs w:val="1"/>
          <w:color w:val="auto"/>
        </w:rPr>
        <w:t>Stamford, Connecticut 06902</w:t>
      </w: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GENEDX HOLDINGS CORP. 2021 EQUITY INCENTIVE PLAN</w:t>
      </w:r>
    </w:p>
    <w:p>
      <w:pPr>
        <w:jc w:val="center"/>
        <w:spacing w:after="0" w:line="211" w:lineRule="auto"/>
        <w:rPr>
          <w:sz w:val="20"/>
          <w:szCs w:val="20"/>
          <w:color w:val="auto"/>
        </w:rPr>
      </w:pPr>
      <w:r>
        <w:rPr>
          <w:rFonts w:ascii="Arial" w:cs="Arial" w:eastAsia="Arial" w:hAnsi="Arial"/>
          <w:sz w:val="16"/>
          <w:szCs w:val="16"/>
          <w:b w:val="1"/>
          <w:bCs w:val="1"/>
          <w:color w:val="auto"/>
        </w:rPr>
        <w:t>GENEDX HOLDINGS CORP. 2021 EMPLOYEE STOCK PURCHASE PLAN</w:t>
      </w:r>
    </w:p>
    <w:p>
      <w:pPr>
        <w:jc w:val="center"/>
        <w:spacing w:after="0"/>
        <w:rPr>
          <w:sz w:val="20"/>
          <w:szCs w:val="20"/>
          <w:color w:val="auto"/>
        </w:rPr>
      </w:pPr>
      <w:r>
        <w:rPr>
          <w:rFonts w:ascii="Arial" w:cs="Arial" w:eastAsia="Arial" w:hAnsi="Arial"/>
          <w:sz w:val="16"/>
          <w:szCs w:val="16"/>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206375</wp:posOffset>
            </wp:positionV>
            <wp:extent cx="1045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Katherine Stueland</w:t>
      </w:r>
    </w:p>
    <w:p>
      <w:pPr>
        <w:ind w:left="4720"/>
        <w:spacing w:after="0" w:line="205" w:lineRule="auto"/>
        <w:rPr>
          <w:sz w:val="20"/>
          <w:szCs w:val="20"/>
          <w:color w:val="auto"/>
        </w:rPr>
      </w:pPr>
      <w:r>
        <w:rPr>
          <w:rFonts w:ascii="Arial" w:cs="Arial" w:eastAsia="Arial" w:hAnsi="Arial"/>
          <w:sz w:val="18"/>
          <w:szCs w:val="18"/>
          <w:b w:val="1"/>
          <w:bCs w:val="1"/>
          <w:color w:val="auto"/>
        </w:rPr>
        <w:t>Chief Executive Officer</w:t>
      </w:r>
    </w:p>
    <w:p>
      <w:pPr>
        <w:jc w:val="center"/>
        <w:spacing w:after="0" w:line="204" w:lineRule="auto"/>
        <w:rPr>
          <w:sz w:val="20"/>
          <w:szCs w:val="20"/>
          <w:color w:val="auto"/>
        </w:rPr>
      </w:pPr>
      <w:r>
        <w:rPr>
          <w:rFonts w:ascii="Arial" w:cs="Arial" w:eastAsia="Arial" w:hAnsi="Arial"/>
          <w:sz w:val="18"/>
          <w:szCs w:val="18"/>
          <w:b w:val="1"/>
          <w:bCs w:val="1"/>
          <w:color w:val="auto"/>
        </w:rPr>
        <w:t>333 Ludlow Street, North Tower, 8th Floor</w:t>
      </w:r>
    </w:p>
    <w:p>
      <w:pPr>
        <w:jc w:val="center"/>
        <w:spacing w:after="0" w:line="222" w:lineRule="auto"/>
        <w:rPr>
          <w:sz w:val="20"/>
          <w:szCs w:val="20"/>
          <w:color w:val="auto"/>
        </w:rPr>
      </w:pPr>
      <w:r>
        <w:rPr>
          <w:rFonts w:ascii="Arial" w:cs="Arial" w:eastAsia="Arial" w:hAnsi="Arial"/>
          <w:sz w:val="18"/>
          <w:szCs w:val="18"/>
          <w:b w:val="1"/>
          <w:bCs w:val="1"/>
          <w:color w:val="auto"/>
        </w:rPr>
        <w:t>Stamford, Connecticut 06902</w:t>
      </w:r>
    </w:p>
    <w:p>
      <w:pPr>
        <w:jc w:val="center"/>
        <w:spacing w:after="0" w:line="208" w:lineRule="auto"/>
        <w:rPr>
          <w:sz w:val="20"/>
          <w:szCs w:val="20"/>
          <w:color w:val="auto"/>
        </w:rPr>
      </w:pPr>
      <w:r>
        <w:rPr>
          <w:rFonts w:ascii="Arial" w:cs="Arial" w:eastAsia="Arial" w:hAnsi="Arial"/>
          <w:sz w:val="16"/>
          <w:szCs w:val="16"/>
          <w:color w:val="auto"/>
        </w:rPr>
        <w:t>(Name and Address of Agent For Service)</w:t>
      </w:r>
    </w:p>
    <w:p>
      <w:pPr>
        <w:jc w:val="center"/>
        <w:spacing w:after="0" w:line="206" w:lineRule="auto"/>
        <w:rPr>
          <w:sz w:val="20"/>
          <w:szCs w:val="20"/>
          <w:color w:val="auto"/>
        </w:rPr>
      </w:pPr>
      <w:r>
        <w:rPr>
          <w:rFonts w:ascii="Arial" w:cs="Arial" w:eastAsia="Arial" w:hAnsi="Arial"/>
          <w:sz w:val="18"/>
          <w:szCs w:val="18"/>
          <w:b w:val="1"/>
          <w:bCs w:val="1"/>
          <w:color w:val="auto"/>
        </w:rPr>
        <w:t>(800) 298-6470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69215</wp:posOffset>
            </wp:positionV>
            <wp:extent cx="1045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tbl>
      <w:tblPr>
        <w:tblLayout w:type="fixed"/>
        <w:tblInd w:w="176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5500" w:type="dxa"/>
            <w:vAlign w:val="bottom"/>
          </w:tcPr>
          <w:p>
            <w:pPr>
              <w:ind w:left="680"/>
              <w:spacing w:after="0"/>
              <w:rPr>
                <w:sz w:val="20"/>
                <w:szCs w:val="20"/>
                <w:color w:val="auto"/>
              </w:rPr>
            </w:pPr>
            <w:r>
              <w:rPr>
                <w:rFonts w:ascii="Arial" w:cs="Arial" w:eastAsia="Arial" w:hAnsi="Arial"/>
                <w:sz w:val="18"/>
                <w:szCs w:val="18"/>
                <w:b w:val="1"/>
                <w:bCs w:val="1"/>
                <w:color w:val="auto"/>
              </w:rPr>
              <w:t>Copies to:</w:t>
            </w:r>
          </w:p>
        </w:tc>
      </w:tr>
      <w:tr>
        <w:trPr>
          <w:trHeight w:val="229"/>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Ethan Skerry</w:t>
            </w:r>
          </w:p>
        </w:tc>
        <w:tc>
          <w:tcPr>
            <w:tcW w:w="550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Kevin Feeley</w:t>
            </w:r>
          </w:p>
        </w:tc>
      </w:tr>
      <w:tr>
        <w:trPr>
          <w:trHeight w:val="216"/>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3"/>
              </w:rPr>
              <w:t>Per B. Chilstrom</w:t>
            </w:r>
          </w:p>
        </w:tc>
        <w:tc>
          <w:tcPr>
            <w:tcW w:w="5500" w:type="dxa"/>
            <w:vAlign w:val="bottom"/>
          </w:tcPr>
          <w:p>
            <w:pPr>
              <w:jc w:val="center"/>
              <w:ind w:left="21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175"/>
        </w:trPr>
        <w:tc>
          <w:tcPr>
            <w:tcW w:w="2800" w:type="dxa"/>
            <w:vAlign w:val="bottom"/>
          </w:tcPr>
          <w:p>
            <w:pPr>
              <w:jc w:val="center"/>
              <w:ind w:right="590"/>
              <w:spacing w:after="0" w:line="176" w:lineRule="exact"/>
              <w:rPr>
                <w:sz w:val="20"/>
                <w:szCs w:val="20"/>
                <w:color w:val="auto"/>
              </w:rPr>
            </w:pPr>
            <w:r>
              <w:rPr>
                <w:rFonts w:ascii="Arial" w:cs="Arial" w:eastAsia="Arial" w:hAnsi="Arial"/>
                <w:sz w:val="18"/>
                <w:szCs w:val="18"/>
                <w:b w:val="1"/>
                <w:bCs w:val="1"/>
                <w:color w:val="auto"/>
                <w:w w:val="95"/>
              </w:rPr>
              <w:t>Fenwick &amp; West LLP</w:t>
            </w:r>
          </w:p>
        </w:tc>
        <w:tc>
          <w:tcPr>
            <w:tcW w:w="5500" w:type="dxa"/>
            <w:vAlign w:val="bottom"/>
          </w:tcPr>
          <w:p>
            <w:pPr>
              <w:jc w:val="center"/>
              <w:ind w:left="2130"/>
              <w:spacing w:after="0" w:line="176" w:lineRule="exact"/>
              <w:rPr>
                <w:sz w:val="20"/>
                <w:szCs w:val="20"/>
                <w:color w:val="auto"/>
              </w:rPr>
            </w:pPr>
            <w:r>
              <w:rPr>
                <w:rFonts w:ascii="Arial" w:cs="Arial" w:eastAsia="Arial" w:hAnsi="Arial"/>
                <w:sz w:val="18"/>
                <w:szCs w:val="18"/>
                <w:b w:val="1"/>
                <w:bCs w:val="1"/>
                <w:color w:val="auto"/>
                <w:w w:val="91"/>
              </w:rPr>
              <w:t>GeneDx Holdings Corp.</w:t>
            </w:r>
          </w:p>
        </w:tc>
      </w:tr>
      <w:tr>
        <w:trPr>
          <w:trHeight w:val="189"/>
        </w:trPr>
        <w:tc>
          <w:tcPr>
            <w:tcW w:w="2800" w:type="dxa"/>
            <w:vAlign w:val="bottom"/>
          </w:tcPr>
          <w:p>
            <w:pPr>
              <w:jc w:val="center"/>
              <w:ind w:right="590"/>
              <w:spacing w:after="0" w:line="189" w:lineRule="exact"/>
              <w:rPr>
                <w:sz w:val="20"/>
                <w:szCs w:val="20"/>
                <w:color w:val="auto"/>
              </w:rPr>
            </w:pPr>
            <w:r>
              <w:rPr>
                <w:rFonts w:ascii="Arial" w:cs="Arial" w:eastAsia="Arial" w:hAnsi="Arial"/>
                <w:sz w:val="18"/>
                <w:szCs w:val="18"/>
                <w:b w:val="1"/>
                <w:bCs w:val="1"/>
                <w:color w:val="auto"/>
                <w:w w:val="92"/>
              </w:rPr>
              <w:t>902 Broadway</w:t>
            </w:r>
          </w:p>
        </w:tc>
        <w:tc>
          <w:tcPr>
            <w:tcW w:w="5500" w:type="dxa"/>
            <w:vAlign w:val="bottom"/>
          </w:tcPr>
          <w:p>
            <w:pPr>
              <w:jc w:val="center"/>
              <w:ind w:left="2130"/>
              <w:spacing w:after="0" w:line="189" w:lineRule="exact"/>
              <w:rPr>
                <w:sz w:val="20"/>
                <w:szCs w:val="20"/>
                <w:color w:val="auto"/>
              </w:rPr>
            </w:pPr>
            <w:r>
              <w:rPr>
                <w:rFonts w:ascii="Arial" w:cs="Arial" w:eastAsia="Arial" w:hAnsi="Arial"/>
                <w:sz w:val="18"/>
                <w:szCs w:val="18"/>
                <w:b w:val="1"/>
                <w:bCs w:val="1"/>
                <w:color w:val="auto"/>
                <w:w w:val="91"/>
              </w:rPr>
              <w:t>333 Ludlow Street, North Tower, 8th Floor</w:t>
            </w:r>
          </w:p>
        </w:tc>
      </w:tr>
      <w:tr>
        <w:trPr>
          <w:trHeight w:val="176"/>
        </w:trPr>
        <w:tc>
          <w:tcPr>
            <w:tcW w:w="2800" w:type="dxa"/>
            <w:vAlign w:val="bottom"/>
          </w:tcPr>
          <w:p>
            <w:pPr>
              <w:jc w:val="center"/>
              <w:ind w:right="590"/>
              <w:spacing w:after="0" w:line="176" w:lineRule="exact"/>
              <w:rPr>
                <w:sz w:val="20"/>
                <w:szCs w:val="20"/>
                <w:color w:val="auto"/>
              </w:rPr>
            </w:pPr>
            <w:r>
              <w:rPr>
                <w:rFonts w:ascii="Arial" w:cs="Arial" w:eastAsia="Arial" w:hAnsi="Arial"/>
                <w:sz w:val="18"/>
                <w:szCs w:val="18"/>
                <w:b w:val="1"/>
                <w:bCs w:val="1"/>
                <w:color w:val="auto"/>
                <w:w w:val="92"/>
              </w:rPr>
              <w:t>New York, New York 10010</w:t>
            </w:r>
          </w:p>
        </w:tc>
        <w:tc>
          <w:tcPr>
            <w:tcW w:w="5500" w:type="dxa"/>
            <w:vAlign w:val="bottom"/>
          </w:tcPr>
          <w:p>
            <w:pPr>
              <w:jc w:val="center"/>
              <w:ind w:left="2130"/>
              <w:spacing w:after="0" w:line="176" w:lineRule="exact"/>
              <w:rPr>
                <w:sz w:val="20"/>
                <w:szCs w:val="20"/>
                <w:color w:val="auto"/>
              </w:rPr>
            </w:pPr>
            <w:r>
              <w:rPr>
                <w:rFonts w:ascii="Arial" w:cs="Arial" w:eastAsia="Arial" w:hAnsi="Arial"/>
                <w:sz w:val="18"/>
                <w:szCs w:val="18"/>
                <w:b w:val="1"/>
                <w:bCs w:val="1"/>
                <w:color w:val="auto"/>
                <w:w w:val="90"/>
              </w:rPr>
              <w:t>Stamford, Connecticut 06902</w:t>
            </w:r>
          </w:p>
        </w:tc>
      </w:tr>
      <w:tr>
        <w:trPr>
          <w:trHeight w:val="234"/>
        </w:trPr>
        <w:tc>
          <w:tcPr>
            <w:tcW w:w="28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(212) 430-2600</w:t>
            </w:r>
          </w:p>
        </w:tc>
        <w:tc>
          <w:tcPr>
            <w:tcW w:w="5500" w:type="dxa"/>
            <w:vAlign w:val="bottom"/>
          </w:tcPr>
          <w:p>
            <w:pPr>
              <w:jc w:val="center"/>
              <w:ind w:left="2130"/>
              <w:spacing w:after="0"/>
              <w:rPr>
                <w:sz w:val="20"/>
                <w:szCs w:val="20"/>
                <w:color w:val="auto"/>
              </w:rPr>
            </w:pPr>
            <w:r>
              <w:rPr>
                <w:rFonts w:ascii="Arial" w:cs="Arial" w:eastAsia="Arial" w:hAnsi="Arial"/>
                <w:sz w:val="18"/>
                <w:szCs w:val="18"/>
                <w:b w:val="1"/>
                <w:bCs w:val="1"/>
                <w:color w:val="auto"/>
                <w:w w:val="90"/>
              </w:rPr>
              <w:t>(800) 298-6470</w:t>
            </w:r>
          </w:p>
        </w:tc>
      </w:tr>
    </w:tbl>
    <w:p>
      <w:pPr>
        <w:spacing w:after="0" w:line="66"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43" w:lineRule="exact"/>
        <w:rPr>
          <w:sz w:val="24"/>
          <w:szCs w:val="24"/>
          <w:color w:val="auto"/>
        </w:rPr>
      </w:pPr>
    </w:p>
    <w:p>
      <w:pPr>
        <w:ind w:left="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2" w:lineRule="exact"/>
        <w:rPr>
          <w:sz w:val="24"/>
          <w:szCs w:val="24"/>
          <w:color w:val="auto"/>
        </w:rPr>
      </w:pPr>
    </w:p>
    <w:p>
      <w:pPr>
        <w:sectPr>
          <w:pgSz w:w="11900" w:h="16838" w:orient="portrait"/>
          <w:cols w:equalWidth="0" w:num="2">
            <w:col w:w="4480" w:space="720"/>
            <w:col w:w="6040"/>
          </w:cols>
          <w:pgMar w:left="320" w:top="1440" w:right="339" w:bottom="1440" w:gutter="0" w:footer="0" w:header="0"/>
          <w:type w:val="continuous"/>
        </w:sectPr>
      </w:pPr>
    </w:p>
    <w:p>
      <w:pPr>
        <w:ind w:left="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2">
            <w:col w:w="4480" w:space="720"/>
            <w:col w:w="6040"/>
          </w:cols>
          <w:pgMar w:left="320" w:top="1440" w:right="339" w:bottom="1440" w:gutter="0" w:footer="0" w:header="0"/>
          <w:type w:val="continuous"/>
        </w:sectPr>
      </w:pPr>
    </w:p>
    <w:p>
      <w:pPr>
        <w:ind w:left="60" w:right="54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REGISTRATION OF ADDITIONAL SHARES PURSUANT TO GENERAL INSTRUCTION 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Pursuant to General Instruction E of Form S-8, GeneDx Holdings Corp. (f/k/a Sema4 Holdings Corp.), a Delaware corporation (the “Registrant”), is filing this registration statement on Form S-8 (this “Registration Statement”) with the Securities and Exchange Commission (the “Commission”) to register (a) 19,425,557 additional shares of Class A common stock (“Class A Common Stock”) available for issuance under the GeneDx Holdings Corp. 2021 Equity Incentive Plan (the “2021 EIP”), pursuant to the evergreen provisions of the 2021 EIP providing for an annual 5% automatic increase in the number of shares reserved for issuance under the 2021 EIP, and (b) 3,885,112 additional shares of Class A Common Stock available for issuance under the GeneDx Holdings Corp. 2021 Employee Stock Purchase Plan (the “2021 ESPP”), pursuant to the evergreen provisions of the 2021 ESPP providing for an annual 1% automatic increase in the number of shares reserved for issuance under the 2021 ESPP.</w:t>
      </w:r>
    </w:p>
    <w:p>
      <w:pPr>
        <w:spacing w:after="0" w:line="207" w:lineRule="exact"/>
        <w:rPr>
          <w:sz w:val="20"/>
          <w:szCs w:val="20"/>
          <w:color w:val="auto"/>
        </w:rPr>
      </w:pPr>
    </w:p>
    <w:p>
      <w:pPr>
        <w:jc w:val="both"/>
        <w:ind w:firstLine="648"/>
        <w:spacing w:after="0" w:line="241" w:lineRule="auto"/>
        <w:rPr>
          <w:rFonts w:ascii="Arial" w:cs="Arial" w:eastAsia="Arial" w:hAnsi="Arial"/>
          <w:sz w:val="16"/>
          <w:szCs w:val="16"/>
          <w:color w:val="auto"/>
        </w:rPr>
      </w:pPr>
      <w:r>
        <w:rPr>
          <w:rFonts w:ascii="Arial" w:cs="Arial" w:eastAsia="Arial" w:hAnsi="Arial"/>
          <w:sz w:val="16"/>
          <w:szCs w:val="16"/>
          <w:color w:val="auto"/>
        </w:rPr>
        <w:t>In accordance with General Instruction E of Form S-8, this Registration Statement hereby incorporates by reference the contents of the Registrant’s prior registration statements on Form S-8 filed with the Commission on September 27, 2021 (</w:t>
      </w:r>
      <w:hyperlink r:id="rId12">
        <w:r>
          <w:rPr>
            <w:rFonts w:ascii="Arial" w:cs="Arial" w:eastAsia="Arial" w:hAnsi="Arial"/>
            <w:sz w:val="16"/>
            <w:szCs w:val="16"/>
            <w:u w:val="single" w:color="auto"/>
            <w:color w:val="0000FF"/>
          </w:rPr>
          <w:t>Registration No. 333-259815</w:t>
        </w:r>
      </w:hyperlink>
      <w:r>
        <w:rPr>
          <w:rFonts w:ascii="Arial" w:cs="Arial" w:eastAsia="Arial" w:hAnsi="Arial"/>
          <w:sz w:val="16"/>
          <w:szCs w:val="16"/>
          <w:color w:val="auto"/>
        </w:rPr>
        <w:t>) (the “First Prior Registration Statement”) and January 25, 2022 (</w:t>
      </w:r>
      <w:hyperlink r:id="rId13">
        <w:r>
          <w:rPr>
            <w:rFonts w:ascii="Arial" w:cs="Arial" w:eastAsia="Arial" w:hAnsi="Arial"/>
            <w:sz w:val="16"/>
            <w:szCs w:val="16"/>
            <w:u w:val="single" w:color="auto"/>
            <w:color w:val="0000FF"/>
          </w:rPr>
          <w:t>Registration No. 333-262338</w:t>
        </w:r>
      </w:hyperlink>
      <w:r>
        <w:rPr>
          <w:rFonts w:ascii="Arial" w:cs="Arial" w:eastAsia="Arial" w:hAnsi="Arial"/>
          <w:sz w:val="16"/>
          <w:szCs w:val="16"/>
          <w:color w:val="auto"/>
        </w:rPr>
        <w:t>) (including the reoffer prospectus contained therein (which reoffer prospectus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superseded and replaced the reoffer prospectus contained in the First Prior Registration Statement), the “Second Prior Registration Statement”), except to the extent supplemented, amended or superseded by the information set forth herein.</w:t>
      </w:r>
    </w:p>
    <w:p>
      <w:pPr>
        <w:sectPr>
          <w:pgSz w:w="11900" w:h="16838" w:orient="portrait"/>
          <w:cols w:equalWidth="0" w:num="1">
            <w:col w:w="11240"/>
          </w:cols>
          <w:pgMar w:left="320" w:top="14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35" w:lineRule="exact"/>
        <w:rPr>
          <w:sz w:val="20"/>
          <w:szCs w:val="20"/>
          <w:color w:val="auto"/>
        </w:rPr>
      </w:pPr>
    </w:p>
    <w:p>
      <w:pPr>
        <w:ind w:firstLine="648"/>
        <w:spacing w:after="0" w:line="233" w:lineRule="auto"/>
        <w:rPr>
          <w:sz w:val="20"/>
          <w:szCs w:val="20"/>
          <w:color w:val="auto"/>
        </w:rPr>
      </w:pPr>
      <w:r>
        <w:rPr>
          <w:rFonts w:ascii="Arial" w:cs="Arial" w:eastAsia="Arial" w:hAnsi="Arial"/>
          <w:sz w:val="17"/>
          <w:szCs w:val="17"/>
          <w:color w:val="auto"/>
        </w:rPr>
        <w:t>The following documents filed by GeneDx Holdings Corp. (f/k/a Sema4 Holdings Corp.) (the “Registrant”) with the Securities and Exchange Commission (“Commission”) pursuant to the Securities Act of 1933, as amended (the “Securities Act”), and the Securities Exchange Act of 1934,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amended (the “Exchange Act”), are incorporated herein by reference:</w:t>
      </w:r>
    </w:p>
    <w:p>
      <w:pPr>
        <w:spacing w:after="0" w:line="115" w:lineRule="exact"/>
        <w:rPr>
          <w:sz w:val="20"/>
          <w:szCs w:val="20"/>
          <w:color w:val="auto"/>
        </w:rPr>
      </w:pPr>
    </w:p>
    <w:p>
      <w:pPr>
        <w:ind w:left="980" w:right="520" w:hanging="324"/>
        <w:spacing w:after="0" w:line="235" w:lineRule="auto"/>
        <w:tabs>
          <w:tab w:leader="none" w:pos="977"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fiscal year ended December 31, 2021 (the “2021 Annual Report on Form 10-K”), filed with the Commission on </w:t>
      </w:r>
      <w:hyperlink r:id="rId14">
        <w:r>
          <w:rPr>
            <w:rFonts w:ascii="Arial" w:cs="Arial" w:eastAsia="Arial" w:hAnsi="Arial"/>
            <w:sz w:val="18"/>
            <w:szCs w:val="18"/>
            <w:u w:val="single" w:color="auto"/>
            <w:color w:val="0000FF"/>
          </w:rPr>
          <w:t>March 14, 2022</w:t>
        </w:r>
      </w:hyperlink>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80" w:right="540" w:hanging="324"/>
        <w:spacing w:after="0" w:line="235" w:lineRule="auto"/>
        <w:tabs>
          <w:tab w:leader="none" w:pos="92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quarterly periods ended March 31, 2022, June 30, 2022 and September 30, 2022, filed with the Commission on </w:t>
      </w:r>
      <w:hyperlink r:id="rId15">
        <w:r>
          <w:rPr>
            <w:rFonts w:ascii="Arial" w:cs="Arial" w:eastAsia="Arial" w:hAnsi="Arial"/>
            <w:sz w:val="18"/>
            <w:szCs w:val="18"/>
            <w:u w:val="single" w:color="auto"/>
            <w:color w:val="0000FF"/>
          </w:rPr>
          <w:t>May 12, 2022</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FF"/>
          </w:rPr>
          <w:t>August 15,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7">
        <w:r>
          <w:rPr>
            <w:rFonts w:ascii="Arial" w:cs="Arial" w:eastAsia="Arial" w:hAnsi="Arial"/>
            <w:sz w:val="18"/>
            <w:szCs w:val="18"/>
            <w:u w:val="single" w:color="auto"/>
            <w:color w:val="0000FF"/>
          </w:rPr>
          <w:t>November 14, 2022</w:t>
        </w:r>
      </w:hyperlink>
      <w:r>
        <w:rPr>
          <w:rFonts w:ascii="Arial" w:cs="Arial" w:eastAsia="Arial" w:hAnsi="Arial"/>
          <w:sz w:val="18"/>
          <w:szCs w:val="18"/>
          <w:color w:val="auto"/>
        </w:rPr>
        <w:t>, respectively;</w:t>
      </w:r>
    </w:p>
    <w:p>
      <w:pPr>
        <w:spacing w:after="0" w:line="107" w:lineRule="exact"/>
        <w:rPr>
          <w:rFonts w:ascii="Arial" w:cs="Arial" w:eastAsia="Arial" w:hAnsi="Arial"/>
          <w:sz w:val="18"/>
          <w:szCs w:val="18"/>
          <w:color w:val="auto"/>
        </w:rPr>
      </w:pPr>
    </w:p>
    <w:p>
      <w:pPr>
        <w:jc w:val="right"/>
        <w:ind w:left="980" w:right="520" w:hanging="324"/>
        <w:spacing w:after="0" w:line="248" w:lineRule="auto"/>
        <w:tabs>
          <w:tab w:leader="none" w:pos="900" w:val="left"/>
        </w:tabs>
        <w:numPr>
          <w:ilvl w:val="0"/>
          <w:numId w:val="1"/>
        </w:numPr>
        <w:rPr>
          <w:rFonts w:ascii="Arial" w:cs="Arial" w:eastAsia="Arial" w:hAnsi="Arial"/>
          <w:sz w:val="16"/>
          <w:szCs w:val="16"/>
          <w:color w:val="0000FF"/>
          <w:highlight w:val="white"/>
        </w:rPr>
      </w:pPr>
      <w:r>
        <w:rPr>
          <w:rFonts w:ascii="Arial" w:cs="Arial" w:eastAsia="Arial" w:hAnsi="Arial"/>
          <w:sz w:val="16"/>
          <w:szCs w:val="16"/>
          <w:color w:val="auto"/>
        </w:rPr>
        <w:t xml:space="preserve">the Registrant’s Current Reports on Form 8-K filed with the Commission on </w:t>
      </w:r>
      <w:hyperlink r:id="rId18">
        <w:r>
          <w:rPr>
            <w:rFonts w:ascii="Arial" w:cs="Arial" w:eastAsia="Arial" w:hAnsi="Arial"/>
            <w:sz w:val="16"/>
            <w:szCs w:val="16"/>
            <w:u w:val="single" w:color="auto"/>
            <w:color w:val="0000FF"/>
          </w:rPr>
          <w:t>January 18, 2022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(but only with respect to Items 1.01, 3.02 and 5.02, and Exhibits 2.1, 10.1, 10.2, 10.3 and 10.4 thereto), </w:t>
      </w:r>
      <w:hyperlink r:id="rId19">
        <w:r>
          <w:rPr>
            <w:rFonts w:ascii="Arial" w:cs="Arial" w:eastAsia="Arial" w:hAnsi="Arial"/>
            <w:sz w:val="16"/>
            <w:szCs w:val="16"/>
            <w:color w:val="0000FF"/>
          </w:rPr>
          <w:t>January 31, 2022</w:t>
        </w:r>
      </w:hyperlink>
      <w:r>
        <w:rPr>
          <w:rFonts w:ascii="Arial" w:cs="Arial" w:eastAsia="Arial" w:hAnsi="Arial"/>
          <w:sz w:val="16"/>
          <w:szCs w:val="16"/>
          <w:color w:val="auto"/>
        </w:rPr>
        <w:t xml:space="preserve">, </w:t>
      </w:r>
      <w:hyperlink r:id="rId20">
        <w:r>
          <w:rPr>
            <w:rFonts w:ascii="Arial" w:cs="Arial" w:eastAsia="Arial" w:hAnsi="Arial"/>
            <w:sz w:val="16"/>
            <w:szCs w:val="16"/>
            <w:color w:val="0000FF"/>
          </w:rPr>
          <w:t>March 14, 2022</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(but only with respect to Items 4.02 and 9.01 thereto), </w:t>
      </w:r>
      <w:hyperlink r:id="rId21">
        <w:r>
          <w:rPr>
            <w:rFonts w:ascii="Arial" w:cs="Arial" w:eastAsia="Arial" w:hAnsi="Arial"/>
            <w:sz w:val="16"/>
            <w:szCs w:val="16"/>
            <w:color w:val="0000FF"/>
          </w:rPr>
          <w:t>April 27, 2022</w:t>
        </w:r>
      </w:hyperlink>
      <w:r>
        <w:rPr>
          <w:rFonts w:ascii="Arial" w:cs="Arial" w:eastAsia="Arial" w:hAnsi="Arial"/>
          <w:sz w:val="16"/>
          <w:szCs w:val="16"/>
          <w:color w:val="auto"/>
          <w:highlight w:val="white"/>
        </w:rPr>
        <w:t>,</w:t>
      </w:r>
      <w:r>
        <w:rPr>
          <w:rFonts w:ascii="Arial" w:cs="Arial" w:eastAsia="Arial" w:hAnsi="Arial"/>
          <w:sz w:val="16"/>
          <w:szCs w:val="16"/>
          <w:color w:val="auto"/>
        </w:rPr>
        <w:t xml:space="preserve"> </w:t>
      </w:r>
      <w:hyperlink r:id="rId22">
        <w:r>
          <w:rPr>
            <w:rFonts w:ascii="Arial" w:cs="Arial" w:eastAsia="Arial" w:hAnsi="Arial"/>
            <w:sz w:val="16"/>
            <w:szCs w:val="16"/>
            <w:color w:val="0000FF"/>
            <w:highlight w:val="white"/>
          </w:rPr>
          <w:t>May 2, 2022</w:t>
        </w:r>
        <w:r>
          <w:rPr>
            <w:rFonts w:ascii="Arial" w:cs="Arial" w:eastAsia="Arial" w:hAnsi="Arial"/>
            <w:sz w:val="16"/>
            <w:szCs w:val="16"/>
            <w:color w:val="auto"/>
          </w:rPr>
          <w:t xml:space="preserve"> </w:t>
        </w:r>
      </w:hyperlink>
      <w:r>
        <w:rPr>
          <w:rFonts w:ascii="Arial" w:cs="Arial" w:eastAsia="Arial" w:hAnsi="Arial"/>
          <w:sz w:val="16"/>
          <w:szCs w:val="16"/>
          <w:color w:val="auto"/>
        </w:rPr>
        <w:t xml:space="preserve">(but only with respect to Items 1.01, 2.01, 3.02, 5.02, 5.03, 8.01, 9.01(a) and 9.01(b), </w:t>
      </w:r>
      <w:hyperlink r:id="rId23">
        <w:r>
          <w:rPr>
            <w:rFonts w:ascii="Arial" w:cs="Arial" w:eastAsia="Arial" w:hAnsi="Arial"/>
            <w:sz w:val="16"/>
            <w:szCs w:val="16"/>
            <w:color w:val="auto"/>
            <w:highlight w:val="white"/>
          </w:rPr>
          <w:t xml:space="preserve">and Exhibits 2.1, 3.1, 10.1, 10.2, 23.1, 99.2 and 99.3 thereto), </w:t>
        </w:r>
        <w:r>
          <w:rPr>
            <w:rFonts w:ascii="Arial" w:cs="Arial" w:eastAsia="Arial" w:hAnsi="Arial"/>
            <w:sz w:val="16"/>
            <w:szCs w:val="16"/>
            <w:u w:val="single" w:color="auto"/>
            <w:color w:val="0000FF"/>
            <w:highlight w:val="white"/>
          </w:rPr>
          <w:t>June 14, 2022</w:t>
        </w:r>
        <w:r>
          <w:rPr>
            <w:rFonts w:ascii="Arial" w:cs="Arial" w:eastAsia="Arial" w:hAnsi="Arial"/>
            <w:sz w:val="16"/>
            <w:szCs w:val="16"/>
            <w:color w:val="auto"/>
            <w:highlight w:val="white"/>
          </w:rPr>
          <w:t xml:space="preserve"> </w:t>
        </w:r>
        <w:r>
          <w:rPr>
            <w:rFonts w:ascii="Arial" w:cs="Arial" w:eastAsia="Arial" w:hAnsi="Arial"/>
            <w:sz w:val="16"/>
            <w:szCs w:val="16"/>
            <w:color w:val="auto"/>
          </w:rPr>
          <w:t>(but only with respect to Items 5.02 and 9.01),</w:t>
        </w:r>
        <w:r>
          <w:rPr>
            <w:rFonts w:ascii="Arial" w:cs="Arial" w:eastAsia="Arial" w:hAnsi="Arial"/>
            <w:sz w:val="16"/>
            <w:szCs w:val="16"/>
            <w:color w:val="auto"/>
            <w:highlight w:val="white"/>
          </w:rPr>
          <w:t xml:space="preserve"> </w:t>
        </w:r>
        <w:r>
          <w:rPr>
            <w:rFonts w:ascii="Arial" w:cs="Arial" w:eastAsia="Arial" w:hAnsi="Arial"/>
            <w:sz w:val="16"/>
            <w:szCs w:val="16"/>
            <w:u w:val="single" w:color="auto"/>
            <w:color w:val="0000FF"/>
          </w:rPr>
          <w:t>July 1,</w:t>
        </w:r>
      </w:hyperlink>
      <w:r>
        <w:rPr>
          <w:rFonts w:ascii="Arial" w:cs="Arial" w:eastAsia="Arial" w:hAnsi="Arial"/>
          <w:sz w:val="16"/>
          <w:szCs w:val="16"/>
          <w:color w:val="auto"/>
          <w:highlight w:val="white"/>
        </w:rPr>
        <w:t xml:space="preserve"> </w:t>
      </w:r>
      <w:hyperlink r:id="rId24">
        <w:r>
          <w:rPr>
            <w:rFonts w:ascii="Arial" w:cs="Arial" w:eastAsia="Arial" w:hAnsi="Arial"/>
            <w:sz w:val="16"/>
            <w:szCs w:val="16"/>
            <w:color w:val="0000FF"/>
            <w:highlight w:val="white"/>
          </w:rPr>
          <w:t>2022</w:t>
        </w:r>
        <w:r>
          <w:rPr>
            <w:rFonts w:ascii="Arial" w:cs="Arial" w:eastAsia="Arial" w:hAnsi="Arial"/>
            <w:sz w:val="16"/>
            <w:szCs w:val="16"/>
            <w:color w:val="000000"/>
            <w:highlight w:val="white"/>
          </w:rPr>
          <w:t>,</w:t>
        </w:r>
        <w:r>
          <w:rPr>
            <w:rFonts w:ascii="Arial" w:cs="Arial" w:eastAsia="Arial" w:hAnsi="Arial"/>
            <w:sz w:val="16"/>
            <w:szCs w:val="16"/>
            <w:color w:val="0000FF"/>
            <w:highlight w:val="white"/>
          </w:rPr>
          <w:t xml:space="preserve"> August 26, 2022 </w:t>
        </w:r>
        <w:r>
          <w:rPr>
            <w:rFonts w:ascii="Arial" w:cs="Arial" w:eastAsia="Arial" w:hAnsi="Arial"/>
            <w:sz w:val="16"/>
            <w:szCs w:val="16"/>
            <w:color w:val="000000"/>
            <w:highlight w:val="white"/>
          </w:rPr>
          <w:t>(but only with respect to Items 5.02, 8.01, 9.01(a) and 9.01(b), and Exhibits 10.1, 99.2 and 99.3),</w:t>
        </w:r>
        <w:r>
          <w:rPr>
            <w:rFonts w:ascii="Arial" w:cs="Arial" w:eastAsia="Arial" w:hAnsi="Arial"/>
            <w:sz w:val="16"/>
            <w:szCs w:val="16"/>
            <w:color w:val="0000FF"/>
            <w:highlight w:val="white"/>
          </w:rPr>
          <w:t xml:space="preserve"> November 14,</w:t>
        </w:r>
      </w:hyperlink>
      <w:r>
        <w:rPr>
          <w:rFonts w:ascii="Arial" w:cs="Arial" w:eastAsia="Arial" w:hAnsi="Arial"/>
          <w:sz w:val="16"/>
          <w:szCs w:val="16"/>
          <w:color w:val="0000FF"/>
          <w:highlight w:val="white"/>
        </w:rPr>
        <w:t xml:space="preserve"> </w:t>
      </w:r>
      <w:hyperlink r:id="rId24">
        <w:r>
          <w:rPr>
            <w:rFonts w:ascii="Arial" w:cs="Arial" w:eastAsia="Arial" w:hAnsi="Arial"/>
            <w:sz w:val="16"/>
            <w:szCs w:val="16"/>
            <w:u w:val="single" w:color="auto"/>
            <w:color w:val="0000FF"/>
            <w:highlight w:val="white"/>
          </w:rPr>
          <w:t>2022</w:t>
        </w:r>
        <w:r>
          <w:rPr>
            <w:rFonts w:ascii="Arial" w:cs="Arial" w:eastAsia="Arial" w:hAnsi="Arial"/>
            <w:sz w:val="16"/>
            <w:szCs w:val="16"/>
            <w:color w:val="0000FF"/>
            <w:highlight w:val="white"/>
          </w:rPr>
          <w:t xml:space="preserve"> </w:t>
        </w:r>
        <w:r>
          <w:rPr>
            <w:rFonts w:ascii="Arial" w:cs="Arial" w:eastAsia="Arial" w:hAnsi="Arial"/>
            <w:sz w:val="16"/>
            <w:szCs w:val="16"/>
            <w:color w:val="000000"/>
            <w:highlight w:val="white"/>
          </w:rPr>
          <w:t>(but only with respect to Item 2.05 thereto),</w:t>
        </w:r>
        <w:r>
          <w:rPr>
            <w:rFonts w:ascii="Arial" w:cs="Arial" w:eastAsia="Arial" w:hAnsi="Arial"/>
            <w:sz w:val="16"/>
            <w:szCs w:val="16"/>
            <w:color w:val="0000FF"/>
            <w:highlight w:val="white"/>
          </w:rPr>
          <w:t xml:space="preserve"> </w:t>
        </w:r>
      </w:hyperlink>
      <w:hyperlink r:id="rId25">
        <w:r>
          <w:rPr>
            <w:rFonts w:ascii="Arial" w:cs="Arial" w:eastAsia="Arial" w:hAnsi="Arial"/>
            <w:sz w:val="16"/>
            <w:szCs w:val="16"/>
            <w:u w:val="single" w:color="auto"/>
            <w:color w:val="0000FF"/>
            <w:highlight w:val="white"/>
          </w:rPr>
          <w:t>December 30, 2022</w:t>
        </w:r>
      </w:hyperlink>
      <w:hyperlink r:id="rId24">
        <w:r>
          <w:rPr>
            <w:rFonts w:ascii="Arial" w:cs="Arial" w:eastAsia="Arial" w:hAnsi="Arial"/>
            <w:sz w:val="16"/>
            <w:szCs w:val="16"/>
            <w:color w:val="000000"/>
            <w:highlight w:val="white"/>
          </w:rPr>
          <w:t>, and</w:t>
        </w:r>
        <w:r>
          <w:rPr>
            <w:rFonts w:ascii="Arial" w:cs="Arial" w:eastAsia="Arial" w:hAnsi="Arial"/>
            <w:sz w:val="16"/>
            <w:szCs w:val="16"/>
            <w:color w:val="0000FF"/>
            <w:highlight w:val="white"/>
          </w:rPr>
          <w:t xml:space="preserve"> </w:t>
        </w:r>
      </w:hyperlink>
      <w:hyperlink r:id="rId26">
        <w:r>
          <w:rPr>
            <w:rFonts w:ascii="Arial" w:cs="Arial" w:eastAsia="Arial" w:hAnsi="Arial"/>
            <w:sz w:val="16"/>
            <w:szCs w:val="16"/>
            <w:u w:val="single" w:color="auto"/>
            <w:color w:val="0000FF"/>
            <w:highlight w:val="white"/>
          </w:rPr>
          <w:t xml:space="preserve">January 9, 2023 </w:t>
        </w:r>
      </w:hyperlink>
      <w:hyperlink r:id="rId24">
        <w:r>
          <w:rPr>
            <w:rFonts w:ascii="Arial" w:cs="Arial" w:eastAsia="Arial" w:hAnsi="Arial"/>
            <w:sz w:val="16"/>
            <w:szCs w:val="16"/>
            <w:color w:val="000000"/>
            <w:highlight w:val="white"/>
          </w:rPr>
          <w:t>(but only with respect to Item 5.03 thereto);</w:t>
        </w:r>
      </w:hyperlink>
    </w:p>
    <w:p>
      <w:pPr>
        <w:spacing w:after="0" w:line="101" w:lineRule="exact"/>
        <w:rPr>
          <w:rFonts w:ascii="Arial" w:cs="Arial" w:eastAsia="Arial" w:hAnsi="Arial"/>
          <w:sz w:val="16"/>
          <w:szCs w:val="16"/>
          <w:color w:val="0000FF"/>
          <w:highlight w:val="white"/>
        </w:rPr>
      </w:pPr>
    </w:p>
    <w:p>
      <w:pPr>
        <w:jc w:val="both"/>
        <w:ind w:left="980" w:right="520" w:hanging="324"/>
        <w:spacing w:after="0" w:line="223" w:lineRule="auto"/>
        <w:tabs>
          <w:tab w:leader="none" w:pos="92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Registrant’s definitive proxy statement filed with the Commission on </w:t>
      </w:r>
      <w:hyperlink r:id="rId27">
        <w:r>
          <w:rPr>
            <w:rFonts w:ascii="Arial" w:cs="Arial" w:eastAsia="Arial" w:hAnsi="Arial"/>
            <w:sz w:val="18"/>
            <w:szCs w:val="18"/>
            <w:u w:val="single" w:color="auto"/>
            <w:color w:val="0000FF"/>
          </w:rPr>
          <w:t>March 31</w:t>
        </w:r>
      </w:hyperlink>
      <w:r>
        <w:rPr>
          <w:rFonts w:ascii="Arial" w:cs="Arial" w:eastAsia="Arial" w:hAnsi="Arial"/>
          <w:sz w:val="18"/>
          <w:szCs w:val="18"/>
          <w:color w:val="auto"/>
        </w:rPr>
        <w:t>, which contains the audited combined carve out balance sheets of GeneDx and subsidiary as of December 31, 2021 and 2020, the related audited combined carve out statements of comprehensive loss, equity and cash flows for each of the two years in the period ended December 31, 2021, and the related notes beginning on page F-41; and</w:t>
      </w:r>
    </w:p>
    <w:p>
      <w:pPr>
        <w:spacing w:after="0" w:line="202" w:lineRule="exact"/>
        <w:rPr>
          <w:rFonts w:ascii="Arial" w:cs="Arial" w:eastAsia="Arial" w:hAnsi="Arial"/>
          <w:sz w:val="18"/>
          <w:szCs w:val="18"/>
          <w:color w:val="auto"/>
        </w:rPr>
      </w:pPr>
    </w:p>
    <w:p>
      <w:pPr>
        <w:jc w:val="both"/>
        <w:ind w:left="980" w:right="520" w:hanging="324"/>
        <w:spacing w:after="0" w:line="223" w:lineRule="auto"/>
        <w:tabs>
          <w:tab w:leader="none" w:pos="103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Class A common stock contained in the Registrant’s Registration Statement on </w:t>
      </w:r>
      <w:hyperlink r:id="rId28">
        <w:r>
          <w:rPr>
            <w:rFonts w:ascii="Arial" w:cs="Arial" w:eastAsia="Arial" w:hAnsi="Arial"/>
            <w:sz w:val="18"/>
            <w:szCs w:val="18"/>
            <w:color w:val="0000FF"/>
          </w:rPr>
          <w:t>Form 8-A</w:t>
        </w:r>
        <w:r>
          <w:rPr>
            <w:rFonts w:ascii="Arial" w:cs="Arial" w:eastAsia="Arial" w:hAnsi="Arial"/>
            <w:sz w:val="18"/>
            <w:szCs w:val="18"/>
            <w:color w:val="auto"/>
          </w:rPr>
          <w:t xml:space="preserve"> </w:t>
        </w:r>
      </w:hyperlink>
      <w:r>
        <w:rPr>
          <w:rFonts w:ascii="Arial" w:cs="Arial" w:eastAsia="Arial" w:hAnsi="Arial"/>
          <w:sz w:val="18"/>
          <w:szCs w:val="18"/>
          <w:color w:val="auto"/>
          <w:highlight w:val="white"/>
        </w:rPr>
        <w:t>filed</w:t>
      </w:r>
      <w:r>
        <w:rPr>
          <w:rFonts w:ascii="Arial" w:cs="Arial" w:eastAsia="Arial" w:hAnsi="Arial"/>
          <w:sz w:val="18"/>
          <w:szCs w:val="18"/>
          <w:color w:val="auto"/>
        </w:rPr>
        <w:t xml:space="preserve"> </w:t>
      </w:r>
      <w:r>
        <w:rPr>
          <w:rFonts w:ascii="Arial" w:cs="Arial" w:eastAsia="Arial" w:hAnsi="Arial"/>
          <w:sz w:val="18"/>
          <w:szCs w:val="18"/>
          <w:color w:val="auto"/>
          <w:highlight w:val="white"/>
        </w:rPr>
        <w:t>with</w:t>
      </w:r>
      <w:r>
        <w:rPr>
          <w:rFonts w:ascii="Arial" w:cs="Arial" w:eastAsia="Arial" w:hAnsi="Arial"/>
          <w:sz w:val="18"/>
          <w:szCs w:val="18"/>
          <w:color w:val="auto"/>
        </w:rPr>
        <w:t xml:space="preserve"> the Commission on August 31, 2020, as updated by the description of the Registrant’s </w:t>
      </w:r>
      <w:r>
        <w:rPr>
          <w:rFonts w:ascii="Arial" w:cs="Arial" w:eastAsia="Arial" w:hAnsi="Arial"/>
          <w:sz w:val="18"/>
          <w:szCs w:val="18"/>
          <w:color w:val="auto"/>
          <w:highlight w:val="white"/>
        </w:rPr>
        <w:t>Class A common stock contained in Exhibit 4.4</w:t>
      </w:r>
      <w:r>
        <w:rPr>
          <w:rFonts w:ascii="Arial" w:cs="Arial" w:eastAsia="Arial" w:hAnsi="Arial"/>
          <w:sz w:val="18"/>
          <w:szCs w:val="18"/>
          <w:color w:val="auto"/>
        </w:rPr>
        <w:t xml:space="preserve"> to the Registrant’s 2021 Annual Report on </w:t>
      </w:r>
      <w:hyperlink r:id="rId29">
        <w:r>
          <w:rPr>
            <w:rFonts w:ascii="Arial" w:cs="Arial" w:eastAsia="Arial" w:hAnsi="Arial"/>
            <w:sz w:val="18"/>
            <w:szCs w:val="18"/>
            <w:u w:val="single" w:color="auto"/>
            <w:color w:val="0000FF"/>
            <w:highlight w:val="white"/>
          </w:rPr>
          <w:t>Form 10-K</w:t>
        </w:r>
      </w:hyperlink>
      <w:r>
        <w:rPr>
          <w:rFonts w:ascii="Arial" w:cs="Arial" w:eastAsia="Arial" w:hAnsi="Arial"/>
          <w:sz w:val="18"/>
          <w:szCs w:val="18"/>
          <w:color w:val="auto"/>
          <w:highlight w:val="white"/>
        </w:rPr>
        <w:t>,</w:t>
      </w:r>
      <w:r>
        <w:rPr>
          <w:rFonts w:ascii="Arial" w:cs="Arial" w:eastAsia="Arial" w:hAnsi="Arial"/>
          <w:sz w:val="18"/>
          <w:szCs w:val="18"/>
          <w:color w:val="auto"/>
        </w:rPr>
        <w:t xml:space="preserve"> </w:t>
      </w:r>
      <w:r>
        <w:rPr>
          <w:rFonts w:ascii="Arial" w:cs="Arial" w:eastAsia="Arial" w:hAnsi="Arial"/>
          <w:sz w:val="18"/>
          <w:szCs w:val="18"/>
          <w:color w:val="auto"/>
          <w:highlight w:val="white"/>
        </w:rPr>
        <w:t>including any subsequent amendments or reports filed for the purpose of</w:t>
      </w:r>
      <w:r>
        <w:rPr>
          <w:rFonts w:ascii="Arial" w:cs="Arial" w:eastAsia="Arial" w:hAnsi="Arial"/>
          <w:sz w:val="18"/>
          <w:szCs w:val="18"/>
          <w:color w:val="auto"/>
        </w:rPr>
        <w:t xml:space="preserve"> updating such description.</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2799715</wp:posOffset>
            </wp:positionH>
            <wp:positionV relativeFrom="paragraph">
              <wp:posOffset>-1764665</wp:posOffset>
            </wp:positionV>
            <wp:extent cx="400304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extLst>
                    </a:blip>
                    <a:srcRect/>
                    <a:stretch>
                      <a:fillRect/>
                    </a:stretch>
                  </pic:blipFill>
                  <pic:spPr bwMode="auto">
                    <a:xfrm>
                      <a:off x="0" y="0"/>
                      <a:ext cx="4003040" cy="3511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-1310005</wp:posOffset>
            </wp:positionV>
            <wp:extent cx="4763"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142" w:lineRule="exact"/>
        <w:rPr>
          <w:rFonts w:ascii="Arial" w:cs="Arial" w:eastAsia="Arial" w:hAnsi="Arial"/>
          <w:sz w:val="18"/>
          <w:szCs w:val="18"/>
          <w:color w:val="auto"/>
        </w:rPr>
      </w:pPr>
    </w:p>
    <w:p>
      <w:pPr>
        <w:jc w:val="both"/>
        <w:ind w:firstLine="648"/>
        <w:spacing w:after="0" w:line="248" w:lineRule="auto"/>
        <w:rPr>
          <w:sz w:val="20"/>
          <w:szCs w:val="20"/>
          <w:color w:val="auto"/>
        </w:rPr>
      </w:pPr>
      <w:r>
        <w:rPr>
          <w:rFonts w:ascii="Arial" w:cs="Arial" w:eastAsia="Arial" w:hAnsi="Arial"/>
          <w:sz w:val="16"/>
          <w:szCs w:val="16"/>
          <w:color w:val="auto"/>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w:t>
      </w:r>
    </w:p>
    <w:p>
      <w:pPr>
        <w:jc w:val="both"/>
        <w:spacing w:after="0" w:line="231" w:lineRule="auto"/>
        <w:rPr>
          <w:sz w:val="20"/>
          <w:szCs w:val="20"/>
          <w:color w:val="auto"/>
        </w:rPr>
      </w:pPr>
      <w:r>
        <w:rPr>
          <w:rFonts w:ascii="Arial" w:cs="Arial" w:eastAsia="Arial" w:hAnsi="Arial"/>
          <w:sz w:val="17"/>
          <w:szCs w:val="17"/>
          <w:color w:val="auto"/>
        </w:rPr>
        <w:t>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spacing w:after="0" w:line="176" w:lineRule="exact"/>
        <w:rPr>
          <w:rFonts w:ascii="Arial" w:cs="Arial" w:eastAsia="Arial" w:hAnsi="Arial"/>
          <w:sz w:val="18"/>
          <w:szCs w:val="18"/>
          <w:color w:val="auto"/>
        </w:rPr>
      </w:pPr>
    </w:p>
    <w:p>
      <w:pPr>
        <w:jc w:val="both"/>
        <w:ind w:firstLine="648"/>
        <w:spacing w:after="0" w:line="241" w:lineRule="auto"/>
        <w:rPr>
          <w:sz w:val="20"/>
          <w:szCs w:val="20"/>
          <w:color w:val="auto"/>
        </w:rPr>
      </w:pPr>
      <w:r>
        <w:rPr>
          <w:rFonts w:ascii="Arial" w:cs="Arial" w:eastAsia="Arial" w:hAnsi="Arial"/>
          <w:sz w:val="16"/>
          <w:szCs w:val="16"/>
          <w:color w:val="auto"/>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w:t>
      </w:r>
    </w:p>
    <w:p>
      <w:pPr>
        <w:spacing w:after="0" w:line="2" w:lineRule="exact"/>
        <w:rPr>
          <w:rFonts w:ascii="Arial" w:cs="Arial" w:eastAsia="Arial" w:hAnsi="Arial"/>
          <w:sz w:val="18"/>
          <w:szCs w:val="18"/>
          <w:color w:val="auto"/>
        </w:rPr>
      </w:pPr>
    </w:p>
    <w:p>
      <w:pPr>
        <w:jc w:val="both"/>
        <w:spacing w:after="0" w:line="226" w:lineRule="auto"/>
        <w:rPr>
          <w:sz w:val="20"/>
          <w:szCs w:val="20"/>
          <w:color w:val="auto"/>
        </w:rPr>
      </w:pPr>
      <w:r>
        <w:rPr>
          <w:rFonts w:ascii="Arial" w:cs="Arial" w:eastAsia="Arial" w:hAnsi="Arial"/>
          <w:sz w:val="18"/>
          <w:szCs w:val="18"/>
          <w:color w:val="auto"/>
        </w:rPr>
        <w:t>such earlier statement. Any statement so modified or superseded shall not be deemed, except as so modified or superseded, to constitute a part of this Registration Statement.</w:t>
      </w:r>
    </w:p>
    <w:p>
      <w:pPr>
        <w:sectPr>
          <w:pgSz w:w="11900" w:h="16838" w:orient="portrait"/>
          <w:cols w:equalWidth="0" w:num="1">
            <w:col w:w="11240"/>
          </w:cols>
          <w:pgMar w:left="320" w:top="1404" w:right="339" w:bottom="1440" w:gutter="0" w:footer="0" w:header="0"/>
        </w:sectPr>
      </w:pPr>
    </w:p>
    <w:bookmarkStart w:id="3" w:name="page4"/>
    <w:bookmarkEnd w:id="3"/>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3760" w:type="dxa"/>
            <w:vAlign w:val="bottom"/>
            <w:gridSpan w:val="16"/>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6"/>
        </w:trPr>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gridSpan w:val="15"/>
          </w:tcPr>
          <w:p>
            <w:pPr>
              <w:spacing w:after="0"/>
              <w:rPr>
                <w:rFonts w:ascii="Arial" w:cs="Arial" w:eastAsia="Arial" w:hAnsi="Arial"/>
                <w:sz w:val="16"/>
                <w:szCs w:val="16"/>
                <w:color w:val="0000FF"/>
              </w:rPr>
            </w:pPr>
            <w:hyperlink r:id="rId32">
              <w:r>
                <w:rPr>
                  <w:rFonts w:ascii="Arial" w:cs="Arial" w:eastAsia="Arial" w:hAnsi="Arial"/>
                  <w:sz w:val="16"/>
                  <w:szCs w:val="16"/>
                  <w:color w:val="0000FF"/>
                </w:rPr>
                <w:t>Third Amended and Restated Certificate of</w:t>
              </w:r>
            </w:hyperlink>
          </w:p>
        </w:tc>
        <w:tc>
          <w:tcPr>
            <w:tcW w:w="0" w:type="dxa"/>
            <w:vAlign w:val="bottom"/>
          </w:tcPr>
          <w:p>
            <w:pPr>
              <w:spacing w:after="0"/>
              <w:rPr>
                <w:sz w:val="1"/>
                <w:szCs w:val="1"/>
                <w:color w:val="auto"/>
              </w:rPr>
            </w:pPr>
          </w:p>
        </w:tc>
      </w:tr>
      <w:tr>
        <w:trPr>
          <w:trHeight w:val="82"/>
        </w:trPr>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0" w:type="dxa"/>
            <w:vAlign w:val="bottom"/>
            <w:tcBorders>
              <w:top w:val="single" w:sz="8" w:color="0000FF"/>
            </w:tcBorders>
            <w:gridSpan w:val="5"/>
            <w:vMerge w:val="restart"/>
          </w:tcPr>
          <w:p>
            <w:pPr>
              <w:spacing w:after="0" w:line="142" w:lineRule="exact"/>
              <w:rPr>
                <w:rFonts w:ascii="Arial" w:cs="Arial" w:eastAsia="Arial" w:hAnsi="Arial"/>
                <w:sz w:val="16"/>
                <w:szCs w:val="16"/>
                <w:color w:val="0000FF"/>
              </w:rPr>
            </w:pPr>
            <w:hyperlink r:id="rId32">
              <w:r>
                <w:rPr>
                  <w:rFonts w:ascii="Arial" w:cs="Arial" w:eastAsia="Arial" w:hAnsi="Arial"/>
                  <w:sz w:val="16"/>
                  <w:szCs w:val="16"/>
                  <w:color w:val="0000FF"/>
                </w:rPr>
                <w:t>Incorporation of the Registrant</w:t>
              </w:r>
            </w:hyperlink>
          </w:p>
        </w:tc>
        <w:tc>
          <w:tcPr>
            <w:tcW w:w="900" w:type="dxa"/>
            <w:vAlign w:val="bottom"/>
            <w:gridSpan w:val="10"/>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0" w:type="dxa"/>
            <w:vAlign w:val="bottom"/>
            <w:gridSpan w:val="5"/>
            <w:vMerge w:val="continue"/>
          </w:tcPr>
          <w:p>
            <w:pPr>
              <w:spacing w:after="0"/>
              <w:rPr>
                <w:sz w:val="5"/>
                <w:szCs w:val="5"/>
                <w:color w:val="auto"/>
              </w:rPr>
            </w:pPr>
          </w:p>
        </w:tc>
        <w:tc>
          <w:tcPr>
            <w:tcW w:w="9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bottom w:val="single" w:sz="8" w:color="0000FF"/>
            </w:tcBorders>
            <w:gridSpan w:val="10"/>
          </w:tcPr>
          <w:p>
            <w:pPr>
              <w:spacing w:after="0"/>
              <w:rPr>
                <w:rFonts w:ascii="Arial" w:cs="Arial" w:eastAsia="Arial" w:hAnsi="Arial"/>
                <w:sz w:val="16"/>
                <w:szCs w:val="16"/>
                <w:color w:val="0000FF"/>
                <w:w w:val="92"/>
              </w:rPr>
            </w:pPr>
            <w:hyperlink r:id="rId33">
              <w:r>
                <w:rPr>
                  <w:rFonts w:ascii="Arial" w:cs="Arial" w:eastAsia="Arial" w:hAnsi="Arial"/>
                  <w:sz w:val="16"/>
                  <w:szCs w:val="16"/>
                  <w:color w:val="0000FF"/>
                  <w:w w:val="92"/>
                </w:rPr>
                <w:t>Certificate of Amendment to the Third Amended and</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700" w:type="dxa"/>
            <w:vAlign w:val="bottom"/>
            <w:gridSpan w:val="15"/>
            <w:vMerge w:val="restart"/>
          </w:tcPr>
          <w:p>
            <w:pPr>
              <w:spacing w:after="0" w:line="142" w:lineRule="exact"/>
              <w:rPr>
                <w:rFonts w:ascii="Arial" w:cs="Arial" w:eastAsia="Arial" w:hAnsi="Arial"/>
                <w:sz w:val="16"/>
                <w:szCs w:val="16"/>
                <w:color w:val="0000FF"/>
                <w:w w:val="97"/>
              </w:rPr>
            </w:pPr>
            <w:hyperlink r:id="rId33">
              <w:r>
                <w:rPr>
                  <w:rFonts w:ascii="Arial" w:cs="Arial" w:eastAsia="Arial" w:hAnsi="Arial"/>
                  <w:sz w:val="16"/>
                  <w:szCs w:val="16"/>
                  <w:color w:val="0000FF"/>
                  <w:w w:val="97"/>
                </w:rPr>
                <w:t>Restated Certificate of Incorporation of the Registrant</w:t>
              </w:r>
            </w:hyperlink>
          </w:p>
        </w:tc>
        <w:tc>
          <w:tcPr>
            <w:tcW w:w="0" w:type="dxa"/>
            <w:vAlign w:val="bottom"/>
          </w:tcPr>
          <w:p>
            <w:pPr>
              <w:spacing w:after="0"/>
              <w:rPr>
                <w:sz w:val="1"/>
                <w:szCs w:val="1"/>
                <w:color w:val="auto"/>
              </w:rPr>
            </w:pPr>
          </w:p>
        </w:tc>
      </w:tr>
      <w:tr>
        <w:trPr>
          <w:trHeight w:val="60"/>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70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60" w:type="dxa"/>
            <w:vAlign w:val="bottom"/>
            <w:tcBorders>
              <w:top w:val="single" w:sz="8" w:color="0000FF"/>
              <w:bottom w:val="single" w:sz="8" w:color="0000FF"/>
            </w:tcBorders>
            <w:gridSpan w:val="10"/>
          </w:tcPr>
          <w:p>
            <w:pPr>
              <w:spacing w:after="0"/>
              <w:rPr>
                <w:rFonts w:ascii="Arial" w:cs="Arial" w:eastAsia="Arial" w:hAnsi="Arial"/>
                <w:sz w:val="16"/>
                <w:szCs w:val="16"/>
                <w:color w:val="0000FF"/>
                <w:w w:val="92"/>
              </w:rPr>
            </w:pPr>
            <w:hyperlink r:id="rId34">
              <w:r>
                <w:rPr>
                  <w:rFonts w:ascii="Arial" w:cs="Arial" w:eastAsia="Arial" w:hAnsi="Arial"/>
                  <w:sz w:val="16"/>
                  <w:szCs w:val="16"/>
                  <w:color w:val="0000FF"/>
                  <w:w w:val="92"/>
                </w:rPr>
                <w:t>Certificate of Amendment to the Third Amended and</w:t>
              </w:r>
            </w:hyperlink>
          </w:p>
        </w:tc>
        <w:tc>
          <w:tcPr>
            <w:tcW w:w="40" w:type="dxa"/>
            <w:vAlign w:val="bottom"/>
            <w:tcBorders>
              <w:top w:val="single" w:sz="8" w:color="0000FF"/>
            </w:tcBorders>
          </w:tcPr>
          <w:p>
            <w:pPr>
              <w:spacing w:after="0"/>
              <w:rPr>
                <w:sz w:val="24"/>
                <w:szCs w:val="24"/>
                <w:color w:val="auto"/>
              </w:rPr>
            </w:pPr>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700" w:type="dxa"/>
            <w:vAlign w:val="bottom"/>
            <w:gridSpan w:val="15"/>
            <w:vMerge w:val="restart"/>
          </w:tcPr>
          <w:p>
            <w:pPr>
              <w:spacing w:after="0" w:line="142" w:lineRule="exact"/>
              <w:rPr>
                <w:rFonts w:ascii="Arial" w:cs="Arial" w:eastAsia="Arial" w:hAnsi="Arial"/>
                <w:sz w:val="16"/>
                <w:szCs w:val="16"/>
                <w:color w:val="0000FF"/>
                <w:w w:val="97"/>
              </w:rPr>
            </w:pPr>
            <w:hyperlink r:id="rId34">
              <w:r>
                <w:rPr>
                  <w:rFonts w:ascii="Arial" w:cs="Arial" w:eastAsia="Arial" w:hAnsi="Arial"/>
                  <w:sz w:val="16"/>
                  <w:szCs w:val="16"/>
                  <w:color w:val="0000FF"/>
                  <w:w w:val="97"/>
                </w:rPr>
                <w:t>Restated Certificate of Incorporation of the Registrant</w:t>
              </w:r>
            </w:hyperlink>
          </w:p>
        </w:tc>
        <w:tc>
          <w:tcPr>
            <w:tcW w:w="0" w:type="dxa"/>
            <w:vAlign w:val="bottom"/>
          </w:tcPr>
          <w:p>
            <w:pPr>
              <w:spacing w:after="0"/>
              <w:rPr>
                <w:sz w:val="1"/>
                <w:szCs w:val="1"/>
                <w:color w:val="auto"/>
              </w:rPr>
            </w:pPr>
          </w:p>
        </w:tc>
      </w:tr>
      <w:tr>
        <w:trPr>
          <w:trHeight w:val="47"/>
        </w:trPr>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700" w:type="dxa"/>
            <w:vAlign w:val="bottom"/>
            <w:gridSpan w:val="1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740" w:type="dxa"/>
            <w:vAlign w:val="bottom"/>
          </w:tcPr>
          <w:p>
            <w:pPr>
              <w:jc w:val="center"/>
              <w:spacing w:after="0"/>
              <w:rPr>
                <w:sz w:val="20"/>
                <w:szCs w:val="20"/>
                <w:color w:val="auto"/>
              </w:rPr>
            </w:pPr>
            <w:r>
              <w:rPr>
                <w:rFonts w:ascii="Arial" w:cs="Arial" w:eastAsia="Arial" w:hAnsi="Arial"/>
                <w:sz w:val="16"/>
                <w:szCs w:val="16"/>
                <w:color w:val="auto"/>
                <w:w w:val="89"/>
              </w:rPr>
              <w:t>4.4</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Borders>
              <w:top w:val="single" w:sz="8" w:color="0000FF"/>
            </w:tcBorders>
            <w:gridSpan w:val="11"/>
          </w:tcPr>
          <w:p>
            <w:pPr>
              <w:spacing w:after="0"/>
              <w:rPr>
                <w:rFonts w:ascii="Arial" w:cs="Arial" w:eastAsia="Arial" w:hAnsi="Arial"/>
                <w:sz w:val="16"/>
                <w:szCs w:val="16"/>
                <w:color w:val="0000FF"/>
              </w:rPr>
            </w:pPr>
            <w:hyperlink r:id="rId35">
              <w:r>
                <w:rPr>
                  <w:rFonts w:ascii="Arial" w:cs="Arial" w:eastAsia="Arial" w:hAnsi="Arial"/>
                  <w:sz w:val="16"/>
                  <w:szCs w:val="16"/>
                  <w:color w:val="0000FF"/>
                </w:rPr>
                <w:t>Bylaws of the Registrant as currently in effect</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4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tcBorders>
              <w:top w:val="single" w:sz="8" w:color="0000FF"/>
            </w:tcBorders>
            <w:gridSpan w:val="7"/>
          </w:tcPr>
          <w:p>
            <w:pPr>
              <w:spacing w:after="0"/>
              <w:rPr>
                <w:sz w:val="20"/>
                <w:szCs w:val="20"/>
                <w:color w:val="auto"/>
              </w:rPr>
            </w:pPr>
            <w:r>
              <w:rPr>
                <w:rFonts w:ascii="Arial" w:cs="Arial" w:eastAsia="Arial" w:hAnsi="Arial"/>
                <w:sz w:val="16"/>
                <w:szCs w:val="16"/>
                <w:color w:val="0000FF"/>
              </w:rPr>
              <w:t>Opinion of Fenwick &amp; West LLP</w:t>
            </w:r>
          </w:p>
        </w:tc>
        <w:tc>
          <w:tcPr>
            <w:tcW w:w="7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23.1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1"/>
              </w:rPr>
              <w:t>Consent of Ernst &amp; Young LLP, Independent Registered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20" w:type="dxa"/>
            <w:vAlign w:val="bottom"/>
            <w:gridSpan w:val="9"/>
            <w:vMerge w:val="restart"/>
          </w:tcPr>
          <w:p>
            <w:pPr>
              <w:spacing w:after="0" w:line="142" w:lineRule="exact"/>
              <w:rPr>
                <w:sz w:val="20"/>
                <w:szCs w:val="20"/>
                <w:color w:val="auto"/>
              </w:rPr>
            </w:pPr>
            <w:r>
              <w:rPr>
                <w:rFonts w:ascii="Arial" w:cs="Arial" w:eastAsia="Arial" w:hAnsi="Arial"/>
                <w:sz w:val="16"/>
                <w:szCs w:val="16"/>
                <w:color w:val="0000FF"/>
                <w:w w:val="94"/>
              </w:rPr>
              <w:t>Public Accounting Firm for GeneDx Holdings Corp.</w:t>
            </w:r>
          </w:p>
        </w:tc>
        <w:tc>
          <w:tcPr>
            <w:tcW w:w="280" w:type="dxa"/>
            <w:vAlign w:val="bottom"/>
            <w:gridSpan w:val="6"/>
            <w:vMerge w:val="restart"/>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20" w:type="dxa"/>
            <w:vAlign w:val="bottom"/>
            <w:tcBorders>
              <w:bottom w:val="single" w:sz="8" w:color="0000FF"/>
            </w:tcBorders>
            <w:gridSpan w:val="9"/>
            <w:vMerge w:val="continue"/>
          </w:tcPr>
          <w:p>
            <w:pPr>
              <w:spacing w:after="0"/>
              <w:rPr>
                <w:sz w:val="4"/>
                <w:szCs w:val="4"/>
                <w:color w:val="auto"/>
              </w:rPr>
            </w:pPr>
          </w:p>
        </w:tc>
        <w:tc>
          <w:tcPr>
            <w:tcW w:w="2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23.2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gridSpan w:val="15"/>
          </w:tcPr>
          <w:p>
            <w:pPr>
              <w:spacing w:after="0"/>
              <w:rPr>
                <w:sz w:val="20"/>
                <w:szCs w:val="20"/>
                <w:color w:val="auto"/>
              </w:rPr>
            </w:pPr>
            <w:r>
              <w:rPr>
                <w:rFonts w:ascii="Arial" w:cs="Arial" w:eastAsia="Arial" w:hAnsi="Arial"/>
                <w:sz w:val="16"/>
                <w:szCs w:val="16"/>
                <w:color w:val="0000FF"/>
                <w:w w:val="97"/>
              </w:rPr>
              <w:t>Consent of Ernst &amp; Young LLP, Independent Auditors</w:t>
            </w:r>
          </w:p>
        </w:tc>
        <w:tc>
          <w:tcPr>
            <w:tcW w:w="0" w:type="dxa"/>
            <w:vAlign w:val="bottom"/>
          </w:tcPr>
          <w:p>
            <w:pPr>
              <w:spacing w:after="0"/>
              <w:rPr>
                <w:sz w:val="1"/>
                <w:szCs w:val="1"/>
                <w:color w:val="auto"/>
              </w:rPr>
            </w:pPr>
          </w:p>
        </w:tc>
      </w:tr>
      <w:tr>
        <w:trPr>
          <w:trHeight w:val="96"/>
        </w:trPr>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tcBorders>
              <w:top w:val="single" w:sz="8" w:color="0000FF"/>
            </w:tcBorders>
            <w:gridSpan w:val="12"/>
            <w:vMerge w:val="restart"/>
          </w:tcPr>
          <w:p>
            <w:pPr>
              <w:spacing w:after="0" w:line="142" w:lineRule="exact"/>
              <w:rPr>
                <w:sz w:val="20"/>
                <w:szCs w:val="20"/>
                <w:color w:val="auto"/>
              </w:rPr>
            </w:pPr>
            <w:r>
              <w:rPr>
                <w:rFonts w:ascii="Arial" w:cs="Arial" w:eastAsia="Arial" w:hAnsi="Arial"/>
                <w:sz w:val="16"/>
                <w:szCs w:val="16"/>
                <w:color w:val="0000FF"/>
              </w:rPr>
              <w:t>for GeneDx, Inc.</w:t>
            </w:r>
          </w:p>
        </w:tc>
        <w:tc>
          <w:tcPr>
            <w:tcW w:w="180" w:type="dxa"/>
            <w:vAlign w:val="bottom"/>
            <w:gridSpan w:val="3"/>
            <w:vMerge w:val="restart"/>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520" w:type="dxa"/>
            <w:vAlign w:val="bottom"/>
            <w:gridSpan w:val="12"/>
            <w:vMerge w:val="continue"/>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23.3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8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4"/>
              </w:rPr>
              <w:t>Consent of Fenwick &amp; West LLP (contained in Exhibit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vMerge w:val="restart"/>
          </w:tcPr>
          <w:p>
            <w:pPr>
              <w:spacing w:after="0"/>
              <w:rPr>
                <w:sz w:val="8"/>
                <w:szCs w:val="8"/>
                <w:color w:val="auto"/>
              </w:rPr>
            </w:pPr>
          </w:p>
        </w:tc>
        <w:tc>
          <w:tcPr>
            <w:tcW w:w="260" w:type="dxa"/>
            <w:vAlign w:val="bottom"/>
            <w:vMerge w:val="restart"/>
          </w:tcPr>
          <w:p>
            <w:pPr>
              <w:spacing w:after="0" w:line="142" w:lineRule="exact"/>
              <w:rPr>
                <w:sz w:val="20"/>
                <w:szCs w:val="20"/>
                <w:color w:val="auto"/>
              </w:rPr>
            </w:pPr>
            <w:r>
              <w:rPr>
                <w:rFonts w:ascii="Arial" w:cs="Arial" w:eastAsia="Arial" w:hAnsi="Arial"/>
                <w:sz w:val="16"/>
                <w:szCs w:val="16"/>
                <w:color w:val="0000FF"/>
                <w:w w:val="86"/>
              </w:rPr>
              <w:t>5.</w:t>
            </w:r>
            <w:r>
              <w:rPr>
                <w:rFonts w:ascii="Arial" w:cs="Arial" w:eastAsia="Arial" w:hAnsi="Arial"/>
                <w:sz w:val="16"/>
                <w:szCs w:val="16"/>
                <w:u w:val="single" w:color="auto"/>
                <w:color w:val="0000FF"/>
                <w:w w:val="86"/>
              </w:rPr>
              <w:t>1)</w:t>
            </w: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260" w:type="dxa"/>
            <w:vAlign w:val="bottom"/>
            <w:tcBorders>
              <w:bottom w:val="single" w:sz="8" w:color="0000FF"/>
            </w:tcBorders>
            <w:vMerge w:val="continue"/>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24.1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gridSpan w:val="15"/>
          </w:tcPr>
          <w:p>
            <w:pPr>
              <w:spacing w:after="0"/>
              <w:rPr>
                <w:sz w:val="20"/>
                <w:szCs w:val="20"/>
                <w:color w:val="auto"/>
              </w:rPr>
            </w:pPr>
            <w:r>
              <w:rPr>
                <w:rFonts w:ascii="Arial" w:cs="Arial" w:eastAsia="Arial" w:hAnsi="Arial"/>
                <w:sz w:val="16"/>
                <w:szCs w:val="16"/>
                <w:color w:val="auto"/>
                <w:w w:val="98"/>
              </w:rPr>
              <w:t>Power of Attorney (included on the signature page of</w:t>
            </w:r>
          </w:p>
        </w:tc>
        <w:tc>
          <w:tcPr>
            <w:tcW w:w="0" w:type="dxa"/>
            <w:vAlign w:val="bottom"/>
          </w:tcPr>
          <w:p>
            <w:pPr>
              <w:spacing w:after="0"/>
              <w:rPr>
                <w:sz w:val="1"/>
                <w:szCs w:val="1"/>
                <w:color w:val="auto"/>
              </w:rPr>
            </w:pPr>
          </w:p>
        </w:tc>
      </w:tr>
      <w:tr>
        <w:trPr>
          <w:trHeight w:val="125"/>
        </w:trPr>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00" w:type="dxa"/>
            <w:vAlign w:val="bottom"/>
            <w:gridSpan w:val="15"/>
            <w:vMerge w:val="restart"/>
          </w:tcPr>
          <w:p>
            <w:pPr>
              <w:spacing w:after="0"/>
              <w:rPr>
                <w:sz w:val="20"/>
                <w:szCs w:val="20"/>
                <w:color w:val="auto"/>
              </w:rPr>
            </w:pPr>
            <w:r>
              <w:rPr>
                <w:rFonts w:ascii="Arial" w:cs="Arial" w:eastAsia="Arial" w:hAnsi="Arial"/>
                <w:sz w:val="16"/>
                <w:szCs w:val="16"/>
                <w:color w:val="auto"/>
              </w:rPr>
              <w:t>this Registration Statement)</w:t>
            </w:r>
          </w:p>
        </w:tc>
        <w:tc>
          <w:tcPr>
            <w:tcW w:w="0" w:type="dxa"/>
            <w:vAlign w:val="bottom"/>
          </w:tcPr>
          <w:p>
            <w:pPr>
              <w:spacing w:after="0"/>
              <w:rPr>
                <w:sz w:val="1"/>
                <w:szCs w:val="1"/>
                <w:color w:val="auto"/>
              </w:rPr>
            </w:pPr>
          </w:p>
        </w:tc>
      </w:tr>
      <w:tr>
        <w:trPr>
          <w:trHeight w:val="81"/>
        </w:trPr>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700" w:type="dxa"/>
            <w:vAlign w:val="bottom"/>
            <w:gridSpan w:val="1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740" w:type="dxa"/>
            <w:vAlign w:val="bottom"/>
          </w:tcPr>
          <w:p>
            <w:pPr>
              <w:jc w:val="center"/>
              <w:spacing w:after="0"/>
              <w:rPr>
                <w:sz w:val="20"/>
                <w:szCs w:val="20"/>
                <w:color w:val="auto"/>
              </w:rPr>
            </w:pPr>
            <w:r>
              <w:rPr>
                <w:rFonts w:ascii="Arial" w:cs="Arial" w:eastAsia="Arial" w:hAnsi="Arial"/>
                <w:sz w:val="16"/>
                <w:szCs w:val="16"/>
                <w:color w:val="auto"/>
                <w:w w:val="89"/>
              </w:rPr>
              <w:t>99.1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3"/>
              </w:rPr>
              <w:t>GeneDx Holdings Corp. 2021 Equity Incentive Plan</w:t>
            </w:r>
          </w:p>
        </w:tc>
        <w:tc>
          <w:tcPr>
            <w:tcW w:w="3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40" w:type="dxa"/>
            <w:vAlign w:val="bottom"/>
            <w:vMerge w:val="restart"/>
          </w:tcPr>
          <w:p>
            <w:pPr>
              <w:jc w:val="center"/>
              <w:spacing w:after="0"/>
              <w:rPr>
                <w:sz w:val="20"/>
                <w:szCs w:val="20"/>
                <w:color w:val="auto"/>
              </w:rPr>
            </w:pPr>
            <w:r>
              <w:rPr>
                <w:rFonts w:ascii="Arial" w:cs="Arial" w:eastAsia="Arial" w:hAnsi="Arial"/>
                <w:sz w:val="16"/>
                <w:szCs w:val="16"/>
                <w:color w:val="auto"/>
                <w:w w:val="89"/>
              </w:rPr>
              <w:t>99.2</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2"/>
              </w:rPr>
              <w:t>Form of Stock Option Agreement under the GeneDx</w:t>
            </w:r>
          </w:p>
        </w:tc>
        <w:tc>
          <w:tcPr>
            <w:tcW w:w="2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7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20" w:type="dxa"/>
            <w:vAlign w:val="bottom"/>
            <w:gridSpan w:val="6"/>
            <w:vMerge w:val="restart"/>
          </w:tcPr>
          <w:p>
            <w:pPr>
              <w:spacing w:after="0" w:line="142" w:lineRule="exact"/>
              <w:rPr>
                <w:sz w:val="20"/>
                <w:szCs w:val="20"/>
                <w:color w:val="auto"/>
              </w:rPr>
            </w:pPr>
            <w:r>
              <w:rPr>
                <w:rFonts w:ascii="Arial" w:cs="Arial" w:eastAsia="Arial" w:hAnsi="Arial"/>
                <w:sz w:val="16"/>
                <w:szCs w:val="16"/>
                <w:color w:val="0000FF"/>
                <w:w w:val="93"/>
              </w:rPr>
              <w:t>Holdings Corp. 2021 Equity Incentive Plan</w:t>
            </w:r>
          </w:p>
        </w:tc>
        <w:tc>
          <w:tcPr>
            <w:tcW w:w="880" w:type="dxa"/>
            <w:vAlign w:val="bottom"/>
            <w:gridSpan w:val="9"/>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20" w:type="dxa"/>
            <w:vAlign w:val="bottom"/>
            <w:tcBorders>
              <w:bottom w:val="single" w:sz="8" w:color="0000FF"/>
            </w:tcBorders>
            <w:gridSpan w:val="6"/>
            <w:vMerge w:val="continue"/>
          </w:tcPr>
          <w:p>
            <w:pPr>
              <w:spacing w:after="0"/>
              <w:rPr>
                <w:sz w:val="5"/>
                <w:szCs w:val="5"/>
                <w:color w:val="auto"/>
              </w:rPr>
            </w:pPr>
          </w:p>
        </w:tc>
        <w:tc>
          <w:tcPr>
            <w:tcW w:w="88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680" w:type="dxa"/>
            <w:vAlign w:val="bottom"/>
            <w:vMerge w:val="restart"/>
          </w:tcPr>
          <w:p>
            <w:pPr>
              <w:jc w:val="right"/>
              <w:ind w:right="319"/>
              <w:spacing w:after="0"/>
              <w:rPr>
                <w:sz w:val="20"/>
                <w:szCs w:val="20"/>
                <w:color w:val="auto"/>
              </w:rPr>
            </w:pPr>
            <w:r>
              <w:rPr>
                <w:rFonts w:ascii="Arial" w:cs="Arial" w:eastAsia="Arial" w:hAnsi="Arial"/>
                <w:sz w:val="16"/>
                <w:szCs w:val="16"/>
                <w:color w:val="auto"/>
                <w:w w:val="83"/>
              </w:rPr>
              <w:t>99.3</w:t>
            </w:r>
          </w:p>
        </w:tc>
        <w:tc>
          <w:tcPr>
            <w:tcW w:w="3680" w:type="dxa"/>
            <w:vAlign w:val="bottom"/>
            <w:gridSpan w:val="4"/>
          </w:tcPr>
          <w:p>
            <w:pPr>
              <w:spacing w:after="0"/>
              <w:rPr>
                <w:sz w:val="20"/>
                <w:szCs w:val="20"/>
                <w:color w:val="auto"/>
              </w:rPr>
            </w:pPr>
            <w:r>
              <w:rPr>
                <w:rFonts w:ascii="Arial" w:cs="Arial" w:eastAsia="Arial" w:hAnsi="Arial"/>
                <w:sz w:val="16"/>
                <w:szCs w:val="16"/>
                <w:color w:val="0000FF"/>
                <w:w w:val="96"/>
              </w:rPr>
              <w:t>Form of RSU Agreement under the GeneDx Holdings</w:t>
            </w:r>
          </w:p>
        </w:tc>
        <w:tc>
          <w:tcPr>
            <w:tcW w:w="0" w:type="dxa"/>
            <w:vAlign w:val="bottom"/>
          </w:tcPr>
          <w:p>
            <w:pPr>
              <w:spacing w:after="0"/>
              <w:rPr>
                <w:sz w:val="1"/>
                <w:szCs w:val="1"/>
                <w:color w:val="auto"/>
              </w:rPr>
            </w:pPr>
          </w:p>
        </w:tc>
      </w:tr>
      <w:tr>
        <w:trPr>
          <w:trHeight w:val="82"/>
        </w:trPr>
        <w:tc>
          <w:tcPr>
            <w:tcW w:w="680" w:type="dxa"/>
            <w:vAlign w:val="bottom"/>
            <w:vMerge w:val="continue"/>
          </w:tcPr>
          <w:p>
            <w:pPr>
              <w:spacing w:after="0"/>
              <w:rPr>
                <w:sz w:val="7"/>
                <w:szCs w:val="7"/>
                <w:color w:val="auto"/>
              </w:rPr>
            </w:pPr>
          </w:p>
        </w:tc>
        <w:tc>
          <w:tcPr>
            <w:tcW w:w="2180" w:type="dxa"/>
            <w:vAlign w:val="bottom"/>
            <w:tcBorders>
              <w:top w:val="single" w:sz="8" w:color="0000FF"/>
            </w:tcBorders>
            <w:gridSpan w:val="2"/>
            <w:vMerge w:val="restart"/>
          </w:tcPr>
          <w:p>
            <w:pPr>
              <w:spacing w:after="0" w:line="142" w:lineRule="exact"/>
              <w:rPr>
                <w:sz w:val="20"/>
                <w:szCs w:val="20"/>
                <w:color w:val="auto"/>
              </w:rPr>
            </w:pPr>
            <w:r>
              <w:rPr>
                <w:rFonts w:ascii="Arial" w:cs="Arial" w:eastAsia="Arial" w:hAnsi="Arial"/>
                <w:sz w:val="16"/>
                <w:szCs w:val="16"/>
                <w:color w:val="0000FF"/>
                <w:w w:val="92"/>
              </w:rPr>
              <w:t>Corp. 2021 Equity Incentive Plan</w:t>
            </w:r>
          </w:p>
        </w:tc>
        <w:tc>
          <w:tcPr>
            <w:tcW w:w="1320" w:type="dxa"/>
            <w:vAlign w:val="bottom"/>
            <w:tcBorders>
              <w:top w:val="single" w:sz="8" w:color="0000FF"/>
            </w:tcBorders>
            <w:vMerge w:val="restart"/>
          </w:tcPr>
          <w:p>
            <w:pPr>
              <w:spacing w:after="0"/>
              <w:rPr>
                <w:sz w:val="7"/>
                <w:szCs w:val="7"/>
                <w:color w:val="auto"/>
              </w:rPr>
            </w:pPr>
          </w:p>
        </w:tc>
        <w:tc>
          <w:tcPr>
            <w:tcW w:w="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tcPr>
          <w:p>
            <w:pPr>
              <w:spacing w:after="0"/>
              <w:rPr>
                <w:sz w:val="5"/>
                <w:szCs w:val="5"/>
                <w:color w:val="auto"/>
              </w:rPr>
            </w:pPr>
          </w:p>
        </w:tc>
        <w:tc>
          <w:tcPr>
            <w:tcW w:w="2180" w:type="dxa"/>
            <w:vAlign w:val="bottom"/>
            <w:tcBorders>
              <w:bottom w:val="single" w:sz="8" w:color="0000FF"/>
            </w:tcBorders>
            <w:gridSpan w:val="2"/>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680" w:type="dxa"/>
            <w:vAlign w:val="bottom"/>
            <w:vMerge w:val="restart"/>
          </w:tcPr>
          <w:p>
            <w:pPr>
              <w:jc w:val="right"/>
              <w:ind w:right="319"/>
              <w:spacing w:after="0"/>
              <w:rPr>
                <w:sz w:val="20"/>
                <w:szCs w:val="20"/>
                <w:color w:val="auto"/>
              </w:rPr>
            </w:pPr>
            <w:r>
              <w:rPr>
                <w:rFonts w:ascii="Arial" w:cs="Arial" w:eastAsia="Arial" w:hAnsi="Arial"/>
                <w:sz w:val="16"/>
                <w:szCs w:val="16"/>
                <w:color w:val="auto"/>
                <w:w w:val="83"/>
              </w:rPr>
              <w:t>99.4</w:t>
            </w:r>
          </w:p>
        </w:tc>
        <w:tc>
          <w:tcPr>
            <w:tcW w:w="36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1"/>
              </w:rPr>
              <w:t>GeneDx Holdings Corp. 2021 Employee Stock Purchase</w:t>
            </w:r>
          </w:p>
        </w:tc>
        <w:tc>
          <w:tcPr>
            <w:tcW w:w="0" w:type="dxa"/>
            <w:vAlign w:val="bottom"/>
          </w:tcPr>
          <w:p>
            <w:pPr>
              <w:spacing w:after="0"/>
              <w:rPr>
                <w:sz w:val="1"/>
                <w:szCs w:val="1"/>
                <w:color w:val="auto"/>
              </w:rPr>
            </w:pPr>
          </w:p>
        </w:tc>
      </w:tr>
      <w:tr>
        <w:trPr>
          <w:trHeight w:val="82"/>
        </w:trPr>
        <w:tc>
          <w:tcPr>
            <w:tcW w:w="680" w:type="dxa"/>
            <w:vAlign w:val="bottom"/>
            <w:vMerge w:val="continue"/>
          </w:tcPr>
          <w:p>
            <w:pPr>
              <w:spacing w:after="0"/>
              <w:rPr>
                <w:sz w:val="7"/>
                <w:szCs w:val="7"/>
                <w:color w:val="auto"/>
              </w:rPr>
            </w:pPr>
          </w:p>
        </w:tc>
        <w:tc>
          <w:tcPr>
            <w:tcW w:w="300" w:type="dxa"/>
            <w:vAlign w:val="bottom"/>
            <w:vMerge w:val="restart"/>
          </w:tcPr>
          <w:p>
            <w:pPr>
              <w:spacing w:after="0" w:line="142" w:lineRule="exact"/>
              <w:rPr>
                <w:sz w:val="20"/>
                <w:szCs w:val="20"/>
                <w:color w:val="auto"/>
              </w:rPr>
            </w:pPr>
            <w:r>
              <w:rPr>
                <w:rFonts w:ascii="Arial" w:cs="Arial" w:eastAsia="Arial" w:hAnsi="Arial"/>
                <w:sz w:val="16"/>
                <w:szCs w:val="16"/>
                <w:color w:val="0000FF"/>
                <w:w w:val="87"/>
              </w:rPr>
              <w:t>Plan</w:t>
            </w:r>
          </w:p>
        </w:tc>
        <w:tc>
          <w:tcPr>
            <w:tcW w:w="3380" w:type="dxa"/>
            <w:vAlign w:val="bottom"/>
            <w:gridSpan w:val="3"/>
            <w:vMerge w:val="restart"/>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tcPr>
          <w:p>
            <w:pPr>
              <w:spacing w:after="0"/>
              <w:rPr>
                <w:sz w:val="5"/>
                <w:szCs w:val="5"/>
                <w:color w:val="auto"/>
              </w:rPr>
            </w:pPr>
          </w:p>
        </w:tc>
        <w:tc>
          <w:tcPr>
            <w:tcW w:w="300" w:type="dxa"/>
            <w:vAlign w:val="bottom"/>
            <w:tcBorders>
              <w:bottom w:val="single" w:sz="8" w:color="0000FF"/>
            </w:tcBorders>
            <w:vMerge w:val="continue"/>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940" w:hanging="664"/>
        <w:spacing w:after="0"/>
        <w:tabs>
          <w:tab w:leader="none" w:pos="94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0000FF"/>
        </w:rPr>
        <w:t>Filing Fee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r>
      <w:tr>
        <w:trPr>
          <w:trHeight w:val="200"/>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Incorporated by Reference</w:t>
            </w:r>
          </w:p>
        </w:tc>
        <w:tc>
          <w:tcPr>
            <w:tcW w:w="1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6"/>
        </w:trPr>
        <w:tc>
          <w:tcPr>
            <w:tcW w:w="7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120" w:type="dxa"/>
            <w:vAlign w:val="bottom"/>
            <w:gridSpan w:val="3"/>
          </w:tcPr>
          <w:p>
            <w:pPr>
              <w:spacing w:after="0"/>
              <w:rPr>
                <w:sz w:val="2"/>
                <w:szCs w:val="2"/>
                <w:color w:val="auto"/>
              </w:rPr>
            </w:pPr>
          </w:p>
        </w:tc>
      </w:tr>
      <w:tr>
        <w:trPr>
          <w:trHeight w:val="189"/>
        </w:trPr>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4"/>
              </w:rPr>
              <w:t>File No.</w:t>
            </w:r>
          </w:p>
        </w:tc>
        <w:tc>
          <w:tcPr>
            <w:tcW w:w="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380" w:type="dxa"/>
            <w:vAlign w:val="bottom"/>
            <w:tcBorders>
              <w:top w:val="single" w:sz="8" w:color="auto"/>
            </w:tcBorders>
          </w:tcPr>
          <w:p>
            <w:pPr>
              <w:spacing w:after="0"/>
              <w:rPr>
                <w:sz w:val="16"/>
                <w:szCs w:val="16"/>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7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413"/>
        </w:trPr>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920" w:type="dxa"/>
            <w:vAlign w:val="bottom"/>
          </w:tcPr>
          <w:p>
            <w:pPr>
              <w:jc w:val="center"/>
              <w:ind w:left="141"/>
              <w:spacing w:after="0"/>
              <w:rPr>
                <w:sz w:val="20"/>
                <w:szCs w:val="20"/>
                <w:color w:val="auto"/>
              </w:rPr>
            </w:pPr>
            <w:r>
              <w:rPr>
                <w:rFonts w:ascii="Arial" w:cs="Arial" w:eastAsia="Arial" w:hAnsi="Arial"/>
                <w:sz w:val="16"/>
                <w:szCs w:val="16"/>
                <w:color w:val="auto"/>
                <w:w w:val="91"/>
              </w:rPr>
              <w:t>001-39482</w:t>
            </w:r>
          </w:p>
        </w:tc>
        <w:tc>
          <w:tcPr>
            <w:tcW w:w="1340" w:type="dxa"/>
            <w:vAlign w:val="bottom"/>
            <w:gridSpan w:val="3"/>
          </w:tcPr>
          <w:p>
            <w:pPr>
              <w:jc w:val="center"/>
              <w:ind w:left="261"/>
              <w:spacing w:after="0"/>
              <w:rPr>
                <w:sz w:val="20"/>
                <w:szCs w:val="20"/>
                <w:color w:val="auto"/>
              </w:rPr>
            </w:pPr>
            <w:r>
              <w:rPr>
                <w:rFonts w:ascii="Arial" w:cs="Arial" w:eastAsia="Arial" w:hAnsi="Arial"/>
                <w:sz w:val="16"/>
                <w:szCs w:val="16"/>
                <w:color w:val="auto"/>
                <w:w w:val="89"/>
              </w:rPr>
              <w:t>3.1</w:t>
            </w:r>
          </w:p>
        </w:tc>
        <w:tc>
          <w:tcPr>
            <w:tcW w:w="380" w:type="dxa"/>
            <w:vAlign w:val="bottom"/>
          </w:tcPr>
          <w:p>
            <w:pPr>
              <w:spacing w:after="0"/>
              <w:rPr>
                <w:sz w:val="24"/>
                <w:szCs w:val="24"/>
                <w:color w:val="auto"/>
              </w:rPr>
            </w:pPr>
          </w:p>
        </w:tc>
        <w:tc>
          <w:tcPr>
            <w:tcW w:w="3120" w:type="dxa"/>
            <w:vAlign w:val="bottom"/>
            <w:gridSpan w:val="3"/>
          </w:tcPr>
          <w:p>
            <w:pPr>
              <w:jc w:val="center"/>
              <w:ind w:right="1488"/>
              <w:spacing w:after="0"/>
              <w:rPr>
                <w:sz w:val="20"/>
                <w:szCs w:val="20"/>
                <w:color w:val="auto"/>
              </w:rPr>
            </w:pPr>
            <w:r>
              <w:rPr>
                <w:rFonts w:ascii="Arial" w:cs="Arial" w:eastAsia="Arial" w:hAnsi="Arial"/>
                <w:sz w:val="16"/>
                <w:szCs w:val="16"/>
                <w:color w:val="auto"/>
                <w:w w:val="92"/>
              </w:rPr>
              <w:t>July 28, 2021</w:t>
            </w:r>
          </w:p>
        </w:tc>
      </w:tr>
      <w:tr>
        <w:trPr>
          <w:trHeight w:val="553"/>
        </w:trPr>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920" w:type="dxa"/>
            <w:vAlign w:val="bottom"/>
          </w:tcPr>
          <w:p>
            <w:pPr>
              <w:jc w:val="center"/>
              <w:ind w:left="141"/>
              <w:spacing w:after="0"/>
              <w:rPr>
                <w:sz w:val="20"/>
                <w:szCs w:val="20"/>
                <w:color w:val="auto"/>
              </w:rPr>
            </w:pPr>
            <w:r>
              <w:rPr>
                <w:rFonts w:ascii="Arial" w:cs="Arial" w:eastAsia="Arial" w:hAnsi="Arial"/>
                <w:sz w:val="16"/>
                <w:szCs w:val="16"/>
                <w:color w:val="auto"/>
                <w:w w:val="91"/>
              </w:rPr>
              <w:t>001-39482</w:t>
            </w:r>
          </w:p>
        </w:tc>
        <w:tc>
          <w:tcPr>
            <w:tcW w:w="1340" w:type="dxa"/>
            <w:vAlign w:val="bottom"/>
            <w:gridSpan w:val="3"/>
          </w:tcPr>
          <w:p>
            <w:pPr>
              <w:jc w:val="center"/>
              <w:ind w:left="261"/>
              <w:spacing w:after="0"/>
              <w:rPr>
                <w:sz w:val="20"/>
                <w:szCs w:val="20"/>
                <w:color w:val="auto"/>
              </w:rPr>
            </w:pPr>
            <w:r>
              <w:rPr>
                <w:rFonts w:ascii="Arial" w:cs="Arial" w:eastAsia="Arial" w:hAnsi="Arial"/>
                <w:sz w:val="16"/>
                <w:szCs w:val="16"/>
                <w:color w:val="auto"/>
                <w:w w:val="89"/>
              </w:rPr>
              <w:t>3.1</w:t>
            </w:r>
          </w:p>
        </w:tc>
        <w:tc>
          <w:tcPr>
            <w:tcW w:w="380" w:type="dxa"/>
            <w:vAlign w:val="bottom"/>
          </w:tcPr>
          <w:p>
            <w:pPr>
              <w:spacing w:after="0"/>
              <w:rPr>
                <w:sz w:val="24"/>
                <w:szCs w:val="24"/>
                <w:color w:val="auto"/>
              </w:rPr>
            </w:pPr>
          </w:p>
        </w:tc>
        <w:tc>
          <w:tcPr>
            <w:tcW w:w="3120" w:type="dxa"/>
            <w:vAlign w:val="bottom"/>
            <w:gridSpan w:val="3"/>
          </w:tcPr>
          <w:p>
            <w:pPr>
              <w:jc w:val="center"/>
              <w:ind w:right="1468"/>
              <w:spacing w:after="0"/>
              <w:rPr>
                <w:sz w:val="20"/>
                <w:szCs w:val="20"/>
                <w:color w:val="auto"/>
              </w:rPr>
            </w:pPr>
            <w:r>
              <w:rPr>
                <w:rFonts w:ascii="Arial" w:cs="Arial" w:eastAsia="Arial" w:hAnsi="Arial"/>
                <w:sz w:val="16"/>
                <w:szCs w:val="16"/>
                <w:color w:val="auto"/>
                <w:w w:val="93"/>
              </w:rPr>
              <w:t>May 2, 2022</w:t>
            </w:r>
          </w:p>
        </w:tc>
      </w:tr>
      <w:tr>
        <w:trPr>
          <w:trHeight w:val="513"/>
        </w:trPr>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920" w:type="dxa"/>
            <w:vAlign w:val="bottom"/>
          </w:tcPr>
          <w:p>
            <w:pPr>
              <w:jc w:val="center"/>
              <w:ind w:left="141"/>
              <w:spacing w:after="0"/>
              <w:rPr>
                <w:sz w:val="20"/>
                <w:szCs w:val="20"/>
                <w:color w:val="auto"/>
              </w:rPr>
            </w:pPr>
            <w:r>
              <w:rPr>
                <w:rFonts w:ascii="Arial" w:cs="Arial" w:eastAsia="Arial" w:hAnsi="Arial"/>
                <w:sz w:val="16"/>
                <w:szCs w:val="16"/>
                <w:color w:val="auto"/>
                <w:w w:val="91"/>
              </w:rPr>
              <w:t>001-39482</w:t>
            </w:r>
          </w:p>
        </w:tc>
        <w:tc>
          <w:tcPr>
            <w:tcW w:w="1340" w:type="dxa"/>
            <w:vAlign w:val="bottom"/>
            <w:gridSpan w:val="3"/>
          </w:tcPr>
          <w:p>
            <w:pPr>
              <w:jc w:val="center"/>
              <w:ind w:left="261"/>
              <w:spacing w:after="0"/>
              <w:rPr>
                <w:sz w:val="20"/>
                <w:szCs w:val="20"/>
                <w:color w:val="auto"/>
              </w:rPr>
            </w:pPr>
            <w:r>
              <w:rPr>
                <w:rFonts w:ascii="Arial" w:cs="Arial" w:eastAsia="Arial" w:hAnsi="Arial"/>
                <w:sz w:val="16"/>
                <w:szCs w:val="16"/>
                <w:color w:val="auto"/>
                <w:w w:val="89"/>
              </w:rPr>
              <w:t>3.1</w:t>
            </w:r>
          </w:p>
        </w:tc>
        <w:tc>
          <w:tcPr>
            <w:tcW w:w="380" w:type="dxa"/>
            <w:vAlign w:val="bottom"/>
          </w:tcPr>
          <w:p>
            <w:pPr>
              <w:spacing w:after="0"/>
              <w:rPr>
                <w:sz w:val="24"/>
                <w:szCs w:val="24"/>
                <w:color w:val="auto"/>
              </w:rPr>
            </w:pPr>
          </w:p>
        </w:tc>
        <w:tc>
          <w:tcPr>
            <w:tcW w:w="3120" w:type="dxa"/>
            <w:vAlign w:val="bottom"/>
            <w:gridSpan w:val="3"/>
          </w:tcPr>
          <w:p>
            <w:pPr>
              <w:jc w:val="center"/>
              <w:ind w:right="1488"/>
              <w:spacing w:after="0"/>
              <w:rPr>
                <w:sz w:val="20"/>
                <w:szCs w:val="20"/>
                <w:color w:val="auto"/>
              </w:rPr>
            </w:pPr>
            <w:r>
              <w:rPr>
                <w:rFonts w:ascii="Arial" w:cs="Arial" w:eastAsia="Arial" w:hAnsi="Arial"/>
                <w:sz w:val="16"/>
                <w:szCs w:val="16"/>
                <w:color w:val="auto"/>
                <w:w w:val="90"/>
              </w:rPr>
              <w:t>January 9, 2023</w:t>
            </w:r>
          </w:p>
        </w:tc>
      </w:tr>
      <w:tr>
        <w:trPr>
          <w:trHeight w:val="432"/>
        </w:trPr>
        <w:tc>
          <w:tcPr>
            <w:tcW w:w="720" w:type="dxa"/>
            <w:vAlign w:val="bottom"/>
            <w:gridSpan w:val="2"/>
          </w:tcPr>
          <w:p>
            <w:pPr>
              <w:jc w:val="center"/>
              <w:ind w:right="100"/>
              <w:spacing w:after="0"/>
              <w:rPr>
                <w:sz w:val="20"/>
                <w:szCs w:val="20"/>
                <w:color w:val="auto"/>
              </w:rPr>
            </w:pPr>
            <w:r>
              <w:rPr>
                <w:rFonts w:ascii="Arial" w:cs="Arial" w:eastAsia="Arial" w:hAnsi="Arial"/>
                <w:sz w:val="16"/>
                <w:szCs w:val="16"/>
                <w:color w:val="auto"/>
              </w:rPr>
              <w:t>8-K</w:t>
            </w:r>
          </w:p>
        </w:tc>
        <w:tc>
          <w:tcPr>
            <w:tcW w:w="920" w:type="dxa"/>
            <w:vAlign w:val="bottom"/>
          </w:tcPr>
          <w:p>
            <w:pPr>
              <w:jc w:val="center"/>
              <w:ind w:left="141"/>
              <w:spacing w:after="0"/>
              <w:rPr>
                <w:sz w:val="20"/>
                <w:szCs w:val="20"/>
                <w:color w:val="auto"/>
              </w:rPr>
            </w:pPr>
            <w:r>
              <w:rPr>
                <w:rFonts w:ascii="Arial" w:cs="Arial" w:eastAsia="Arial" w:hAnsi="Arial"/>
                <w:sz w:val="16"/>
                <w:szCs w:val="16"/>
                <w:color w:val="auto"/>
                <w:w w:val="91"/>
              </w:rPr>
              <w:t>001-39482</w:t>
            </w:r>
          </w:p>
        </w:tc>
        <w:tc>
          <w:tcPr>
            <w:tcW w:w="1340" w:type="dxa"/>
            <w:vAlign w:val="bottom"/>
            <w:gridSpan w:val="3"/>
          </w:tcPr>
          <w:p>
            <w:pPr>
              <w:jc w:val="center"/>
              <w:ind w:left="261"/>
              <w:spacing w:after="0"/>
              <w:rPr>
                <w:sz w:val="20"/>
                <w:szCs w:val="20"/>
                <w:color w:val="auto"/>
              </w:rPr>
            </w:pPr>
            <w:r>
              <w:rPr>
                <w:rFonts w:ascii="Arial" w:cs="Arial" w:eastAsia="Arial" w:hAnsi="Arial"/>
                <w:sz w:val="16"/>
                <w:szCs w:val="16"/>
                <w:color w:val="auto"/>
                <w:w w:val="89"/>
              </w:rPr>
              <w:t>3.2</w:t>
            </w:r>
          </w:p>
        </w:tc>
        <w:tc>
          <w:tcPr>
            <w:tcW w:w="380" w:type="dxa"/>
            <w:vAlign w:val="bottom"/>
          </w:tcPr>
          <w:p>
            <w:pPr>
              <w:spacing w:after="0"/>
              <w:rPr>
                <w:sz w:val="24"/>
                <w:szCs w:val="24"/>
                <w:color w:val="auto"/>
              </w:rPr>
            </w:pPr>
          </w:p>
        </w:tc>
        <w:tc>
          <w:tcPr>
            <w:tcW w:w="3120" w:type="dxa"/>
            <w:vAlign w:val="bottom"/>
            <w:gridSpan w:val="3"/>
          </w:tcPr>
          <w:p>
            <w:pPr>
              <w:jc w:val="center"/>
              <w:ind w:right="1488"/>
              <w:spacing w:after="0"/>
              <w:rPr>
                <w:sz w:val="20"/>
                <w:szCs w:val="20"/>
                <w:color w:val="auto"/>
              </w:rPr>
            </w:pPr>
            <w:r>
              <w:rPr>
                <w:rFonts w:ascii="Arial" w:cs="Arial" w:eastAsia="Arial" w:hAnsi="Arial"/>
                <w:sz w:val="16"/>
                <w:szCs w:val="16"/>
                <w:color w:val="auto"/>
                <w:w w:val="90"/>
              </w:rPr>
              <w:t>January 9, 2023</w:t>
            </w:r>
          </w:p>
        </w:tc>
      </w:tr>
    </w:tbl>
    <w:p>
      <w:pPr>
        <w:spacing w:after="0" w:line="141"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X</w:t>
      </w:r>
    </w:p>
    <w:p>
      <w:pPr>
        <w:spacing w:after="0" w:line="208"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X</w:t>
      </w:r>
    </w:p>
    <w:p>
      <w:pPr>
        <w:spacing w:after="0" w:line="289"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X</w:t>
      </w:r>
    </w:p>
    <w:p>
      <w:pPr>
        <w:spacing w:after="0" w:line="289"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X</w:t>
      </w:r>
    </w:p>
    <w:p>
      <w:pPr>
        <w:spacing w:after="0" w:line="289"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X</w:t>
      </w:r>
    </w:p>
    <w:p>
      <w:pPr>
        <w:spacing w:after="0" w:line="140"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X</w:t>
      </w:r>
    </w:p>
    <w:p>
      <w:pPr>
        <w:spacing w:after="0" w:line="25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X</w:t>
      </w:r>
    </w:p>
    <w:p>
      <w:pPr>
        <w:spacing w:after="0" w:line="145" w:lineRule="exact"/>
        <w:rPr>
          <w:sz w:val="20"/>
          <w:szCs w:val="20"/>
          <w:color w:val="auto"/>
        </w:rPr>
      </w:pPr>
    </w:p>
    <w:p>
      <w:pPr>
        <w:ind w:left="6020"/>
        <w:spacing w:after="0"/>
        <w:rPr>
          <w:sz w:val="20"/>
          <w:szCs w:val="20"/>
          <w:color w:val="auto"/>
        </w:rPr>
      </w:pPr>
      <w:r>
        <w:rPr>
          <w:rFonts w:ascii="Arial" w:cs="Arial" w:eastAsia="Arial" w:hAnsi="Arial"/>
          <w:sz w:val="16"/>
          <w:szCs w:val="16"/>
          <w:b w:val="1"/>
          <w:bCs w:val="1"/>
          <w:color w:val="auto"/>
        </w:rPr>
        <w:t>X</w:t>
      </w:r>
    </w:p>
    <w:p>
      <w:pPr>
        <w:sectPr>
          <w:pgSz w:w="11900" w:h="16838" w:orient="portrait"/>
          <w:cols w:equalWidth="0" w:num="2">
            <w:col w:w="4640" w:space="100"/>
            <w:col w:w="6480"/>
          </w:cols>
          <w:pgMar w:left="320" w:top="1440" w:right="359" w:bottom="1440" w:gutter="0" w:footer="0" w:header="0"/>
        </w:sectPr>
      </w:pPr>
    </w:p>
    <w:bookmarkStart w:id="4" w:name="page5"/>
    <w:bookmarkEnd w:id="4"/>
    <w:p>
      <w:pPr>
        <w:ind w:left="504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the requirements of the Securities Act, the Registrant certifies that it has reasonable grounds to believe that it meets all of the</w:t>
      </w:r>
    </w:p>
    <w:p>
      <w:pPr>
        <w:spacing w:after="0" w:line="10"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requirements for filing on Form S-8 and has duly caused this Registration Statement to be signed on its behalf by the undersigned, thereunto duly authorized, in the City of Stamford, State of Connecticut, on the ninth day of January, 2023.</w:t>
      </w:r>
    </w:p>
    <w:p>
      <w:pPr>
        <w:spacing w:after="0" w:line="200" w:lineRule="exact"/>
        <w:rPr>
          <w:sz w:val="20"/>
          <w:szCs w:val="20"/>
          <w:color w:val="auto"/>
        </w:rPr>
      </w:pPr>
    </w:p>
    <w:p>
      <w:pPr>
        <w:spacing w:after="0" w:line="295"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GeneDx Holdings Corp.</w:t>
      </w:r>
    </w:p>
    <w:p>
      <w:pPr>
        <w:spacing w:after="0" w:line="310" w:lineRule="exact"/>
        <w:rPr>
          <w:sz w:val="20"/>
          <w:szCs w:val="20"/>
          <w:color w:val="auto"/>
        </w:rPr>
      </w:pPr>
    </w:p>
    <w:p>
      <w:pPr>
        <w:ind w:left="4560"/>
        <w:spacing w:after="0"/>
        <w:tabs>
          <w:tab w:leader="none" w:pos="5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31750</wp:posOffset>
            </wp:positionV>
            <wp:extent cx="1543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4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Katherine Stueland</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320" w:top="1404" w:right="359" w:bottom="1440" w:gutter="0" w:footer="0" w:header="0"/>
        </w:sectPr>
      </w:pPr>
    </w:p>
    <w:bookmarkStart w:id="5" w:name="page6"/>
    <w:bookmarkEnd w:id="5"/>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Katherine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Stueland and Jason Ryan,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hereby ratifying and confirming all that said attorneys-in-fact, proxies and agents, or their or his or her substitute or substitutes, may lawfully do or cause to be done by virtue hereof.</w:t>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on behalf of the Registrant in the capacities and on the dates indicated.</w:t>
      </w:r>
    </w:p>
    <w:p>
      <w:pPr>
        <w:sectPr>
          <w:pgSz w:w="11900" w:h="16838" w:orient="portrait"/>
          <w:cols w:equalWidth="0" w:num="1">
            <w:col w:w="11240"/>
          </w:cols>
          <w:pgMar w:left="320" w:top="1440" w:right="339" w:bottom="1440" w:gutter="0" w:footer="0" w:header="0"/>
        </w:sectPr>
      </w:pPr>
    </w:p>
    <w:p>
      <w:pPr>
        <w:spacing w:after="0" w:line="247" w:lineRule="exact"/>
        <w:rPr>
          <w:sz w:val="20"/>
          <w:szCs w:val="20"/>
          <w:color w:val="auto"/>
        </w:rPr>
      </w:pPr>
    </w:p>
    <w:p>
      <w:pPr>
        <w:jc w:val="right"/>
        <w:ind w:right="1220"/>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Katherine Stueland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97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Katherine Stueland</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Feeley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2297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Feeley</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Jason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2297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Jason Ryan</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Joshua Ruch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22974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Joshua Ruch</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Dennis Charney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2297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Dennis Charney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Eli D.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97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Eli D. Casdin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Emily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97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Emily Leproust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Keith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97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Keith Meister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Michael Pellini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2297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Michael Pellini</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Richard C. Pfenniger,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2297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C. Pfenniger, Jr.</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Rachel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22974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Rachel Sherman</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3"/>
              </w:rPr>
              <w:t>Chief Executive Officer and 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230"/>
        </w:trPr>
        <w:tc>
          <w:tcPr>
            <w:tcW w:w="4420" w:type="dxa"/>
            <w:vAlign w:val="bottom"/>
            <w:gridSpan w:val="3"/>
          </w:tcPr>
          <w:p>
            <w:pPr>
              <w:jc w:val="center"/>
              <w:ind w:right="6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gridSpan w:val="3"/>
            <w:vMerge w:val="restart"/>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176"/>
        </w:trPr>
        <w:tc>
          <w:tcPr>
            <w:tcW w:w="4420" w:type="dxa"/>
            <w:vAlign w:val="bottom"/>
            <w:gridSpan w:val="3"/>
          </w:tcPr>
          <w:p>
            <w:pPr>
              <w:jc w:val="center"/>
              <w:ind w:right="600"/>
              <w:spacing w:after="0" w:line="176" w:lineRule="exact"/>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&amp; Principal Accounting</w:t>
            </w:r>
          </w:p>
        </w:tc>
        <w:tc>
          <w:tcPr>
            <w:tcW w:w="1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20" w:type="dxa"/>
            <w:vAlign w:val="bottom"/>
            <w:gridSpan w:val="3"/>
          </w:tcPr>
          <w:p>
            <w:pPr>
              <w:jc w:val="center"/>
              <w:ind w:right="600"/>
              <w:spacing w:after="0"/>
              <w:rPr>
                <w:sz w:val="20"/>
                <w:szCs w:val="20"/>
                <w:color w:val="auto"/>
              </w:rPr>
            </w:pPr>
            <w:r>
              <w:rPr>
                <w:rFonts w:ascii="Arial" w:cs="Arial" w:eastAsia="Arial" w:hAnsi="Arial"/>
                <w:sz w:val="18"/>
                <w:szCs w:val="18"/>
                <w:i w:val="1"/>
                <w:iCs w:val="1"/>
                <w:color w:val="auto"/>
                <w:w w:val="98"/>
              </w:rPr>
              <w:t>Officer</w:t>
            </w:r>
            <w:r>
              <w:rPr>
                <w:rFonts w:ascii="Arial" w:cs="Arial" w:eastAsia="Arial" w:hAnsi="Arial"/>
                <w:sz w:val="18"/>
                <w:szCs w:val="18"/>
                <w:color w:val="auto"/>
                <w:w w:val="98"/>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3"/>
          </w:tcPr>
          <w:p>
            <w:pPr>
              <w:jc w:val="center"/>
              <w:ind w:right="600"/>
              <w:spacing w:after="0"/>
              <w:rPr>
                <w:sz w:val="20"/>
                <w:szCs w:val="20"/>
                <w:color w:val="auto"/>
              </w:rPr>
            </w:pPr>
            <w:r>
              <w:rPr>
                <w:rFonts w:ascii="Arial" w:cs="Arial" w:eastAsia="Arial" w:hAnsi="Arial"/>
                <w:sz w:val="18"/>
                <w:szCs w:val="18"/>
                <w:color w:val="auto"/>
                <w:w w:val="91"/>
              </w:rPr>
              <w:t>Executive Chairman and 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608"/>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958"/>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621"/>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540"/>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500"/>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526"/>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527"/>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r>
        <w:trPr>
          <w:trHeight w:val="567"/>
        </w:trPr>
        <w:tc>
          <w:tcPr>
            <w:tcW w:w="442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Director</w:t>
            </w:r>
          </w:p>
        </w:tc>
        <w:tc>
          <w:tcPr>
            <w:tcW w:w="174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January 9, 2023</w:t>
            </w:r>
          </w:p>
        </w:tc>
        <w:tc>
          <w:tcPr>
            <w:tcW w:w="0" w:type="dxa"/>
            <w:vAlign w:val="bottom"/>
          </w:tcPr>
          <w:p>
            <w:pPr>
              <w:spacing w:after="0"/>
              <w:rPr>
                <w:sz w:val="1"/>
                <w:szCs w:val="1"/>
                <w:color w:val="auto"/>
              </w:rPr>
            </w:pPr>
          </w:p>
        </w:tc>
      </w:tr>
    </w:tbl>
    <w:p>
      <w:pPr>
        <w:sectPr>
          <w:pgSz w:w="11900" w:h="16838" w:orient="portrait"/>
          <w:cols w:equalWidth="0" w:num="2">
            <w:col w:w="3420" w:space="720"/>
            <w:col w:w="7100"/>
          </w:cols>
          <w:pgMar w:left="320" w:top="1440" w:right="339" w:bottom="1440" w:gutter="0" w:footer="0" w:header="0"/>
          <w:type w:val="continuous"/>
        </w:sectPr>
      </w:pPr>
    </w:p>
    <w:bookmarkStart w:id="6" w:name="page7"/>
    <w:bookmarkEnd w:id="6"/>
    <w:p>
      <w:pPr>
        <w:ind w:left="10360"/>
        <w:spacing w:after="0"/>
        <w:rPr>
          <w:sz w:val="20"/>
          <w:szCs w:val="20"/>
          <w:color w:val="auto"/>
        </w:rPr>
      </w:pPr>
      <w:r>
        <w:rPr>
          <w:rFonts w:ascii="Arial" w:cs="Arial" w:eastAsia="Arial" w:hAnsi="Arial"/>
          <w:sz w:val="17"/>
          <w:szCs w:val="17"/>
          <w:b w:val="1"/>
          <w:bCs w:val="1"/>
          <w:color w:val="auto"/>
        </w:rPr>
        <w:t>Exhibit 107</w:t>
      </w:r>
    </w:p>
    <w:p>
      <w:pPr>
        <w:jc w:val="center"/>
        <w:ind w:right="20"/>
        <w:spacing w:after="0"/>
        <w:rPr>
          <w:sz w:val="20"/>
          <w:szCs w:val="20"/>
          <w:color w:val="auto"/>
        </w:rPr>
      </w:pPr>
      <w:r>
        <w:rPr>
          <w:rFonts w:ascii="Arial" w:cs="Arial" w:eastAsia="Arial" w:hAnsi="Arial"/>
          <w:sz w:val="18"/>
          <w:szCs w:val="18"/>
          <w:b w:val="1"/>
          <w:bCs w:val="1"/>
          <w:color w:val="auto"/>
        </w:rPr>
        <w:t>Calculation of Filing Fee Table</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S-8</w:t>
      </w:r>
    </w:p>
    <w:p>
      <w:pPr>
        <w:jc w:val="center"/>
        <w:ind w:right="20"/>
        <w:spacing w:after="0"/>
        <w:rPr>
          <w:sz w:val="20"/>
          <w:szCs w:val="20"/>
          <w:color w:val="auto"/>
        </w:rPr>
      </w:pPr>
      <w:r>
        <w:rPr>
          <w:rFonts w:ascii="Arial" w:cs="Arial" w:eastAsia="Arial" w:hAnsi="Arial"/>
          <w:sz w:val="18"/>
          <w:szCs w:val="18"/>
          <w:color w:val="auto"/>
        </w:rPr>
        <w:t>(Form Type)</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GeneDx Holdings Corp.</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40575" cy="258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a:extLst>
                        <a:ext uri="{28A0092B-C50C-407E-A947-70E740481C1C}"/>
                      </a:extLst>
                    </a:blip>
                    <a:srcRect/>
                    <a:stretch>
                      <a:fillRect/>
                    </a:stretch>
                  </pic:blipFill>
                  <pic:spPr bwMode="auto">
                    <a:xfrm>
                      <a:off x="0" y="0"/>
                      <a:ext cx="7140575" cy="2580005"/>
                    </a:xfrm>
                    <a:prstGeom prst="rect">
                      <a:avLst/>
                    </a:prstGeom>
                    <a:noFill/>
                  </pic:spPr>
                </pic:pic>
              </a:graphicData>
            </a:graphic>
          </wp:anchor>
        </w:drawing>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1 - Newly Registered Securities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80" w:type="dxa"/>
            <w:vAlign w:val="bottom"/>
            <w:tcBorders>
              <w:top w:val="single" w:sz="8" w:color="auto"/>
              <w:right w:val="single" w:sz="8" w:color="auto"/>
            </w:tcBorders>
          </w:tcPr>
          <w:p>
            <w:pPr>
              <w:spacing w:after="0"/>
              <w:rPr>
                <w:sz w:val="14"/>
                <w:szCs w:val="14"/>
                <w:color w:val="auto"/>
              </w:rPr>
            </w:pPr>
          </w:p>
        </w:tc>
        <w:tc>
          <w:tcPr>
            <w:tcW w:w="1100" w:type="dxa"/>
            <w:vAlign w:val="bottom"/>
            <w:tcBorders>
              <w:top w:val="single" w:sz="8" w:color="auto"/>
              <w:right w:val="single" w:sz="8" w:color="auto"/>
            </w:tcBorders>
          </w:tcPr>
          <w:p>
            <w:pPr>
              <w:spacing w:after="0"/>
              <w:rPr>
                <w:sz w:val="14"/>
                <w:szCs w:val="14"/>
                <w:color w:val="auto"/>
              </w:rPr>
            </w:pPr>
          </w:p>
        </w:tc>
        <w:tc>
          <w:tcPr>
            <w:tcW w:w="1460" w:type="dxa"/>
            <w:vAlign w:val="bottom"/>
            <w:tcBorders>
              <w:top w:val="single" w:sz="8" w:color="auto"/>
              <w:right w:val="single" w:sz="8" w:color="auto"/>
            </w:tcBorders>
          </w:tcPr>
          <w:p>
            <w:pPr>
              <w:spacing w:after="0"/>
              <w:rPr>
                <w:sz w:val="14"/>
                <w:szCs w:val="14"/>
                <w:color w:val="auto"/>
              </w:rPr>
            </w:pPr>
          </w:p>
        </w:tc>
        <w:tc>
          <w:tcPr>
            <w:tcW w:w="1720" w:type="dxa"/>
            <w:vAlign w:val="bottom"/>
            <w:tcBorders>
              <w:top w:val="single" w:sz="8" w:color="auto"/>
              <w:right w:val="single" w:sz="8" w:color="auto"/>
            </w:tcBorders>
          </w:tcPr>
          <w:p>
            <w:pPr>
              <w:spacing w:after="0"/>
              <w:rPr>
                <w:sz w:val="14"/>
                <w:szCs w:val="14"/>
                <w:color w:val="auto"/>
              </w:rPr>
            </w:pPr>
          </w:p>
        </w:tc>
        <w:tc>
          <w:tcPr>
            <w:tcW w:w="1300" w:type="dxa"/>
            <w:vAlign w:val="bottom"/>
            <w:tcBorders>
              <w:top w:val="single" w:sz="8" w:color="auto"/>
              <w:right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6"/>
              </w:rPr>
              <w:t>Proposed</w:t>
            </w:r>
          </w:p>
        </w:tc>
        <w:tc>
          <w:tcPr>
            <w:tcW w:w="14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560" w:type="dxa"/>
            <w:vAlign w:val="bottom"/>
            <w:tcBorders>
              <w:top w:val="single" w:sz="8" w:color="auto"/>
              <w:right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b w:val="1"/>
                <w:bCs w:val="1"/>
                <w:color w:val="auto"/>
                <w:w w:val="96"/>
              </w:rPr>
              <w:t>Maximum</w:t>
            </w:r>
          </w:p>
        </w:tc>
        <w:tc>
          <w:tcPr>
            <w:tcW w:w="1440" w:type="dxa"/>
            <w:vAlign w:val="bottom"/>
            <w:tcBorders>
              <w:right w:val="single" w:sz="8" w:color="auto"/>
            </w:tcBorders>
            <w:vMerge w:val="continue"/>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80" w:type="dxa"/>
            <w:vAlign w:val="bottom"/>
            <w:tcBorders>
              <w:right w:val="single" w:sz="8" w:color="auto"/>
            </w:tcBorders>
          </w:tcPr>
          <w:p>
            <w:pPr>
              <w:ind w:left="220"/>
              <w:spacing w:after="0" w:line="189" w:lineRule="exact"/>
              <w:rPr>
                <w:sz w:val="20"/>
                <w:szCs w:val="20"/>
                <w:color w:val="auto"/>
              </w:rPr>
            </w:pPr>
            <w:r>
              <w:rPr>
                <w:rFonts w:ascii="Arial" w:cs="Arial" w:eastAsia="Arial" w:hAnsi="Arial"/>
                <w:sz w:val="18"/>
                <w:szCs w:val="18"/>
                <w:b w:val="1"/>
                <w:bCs w:val="1"/>
                <w:color w:val="auto"/>
              </w:rPr>
              <w:t>Security</w:t>
            </w:r>
          </w:p>
        </w:tc>
        <w:tc>
          <w:tcPr>
            <w:tcW w:w="1100" w:type="dxa"/>
            <w:vAlign w:val="bottom"/>
            <w:tcBorders>
              <w:right w:val="single" w:sz="8" w:color="auto"/>
            </w:tcBorders>
          </w:tcPr>
          <w:p>
            <w:pPr>
              <w:ind w:left="220"/>
              <w:spacing w:after="0" w:line="189" w:lineRule="exact"/>
              <w:rPr>
                <w:sz w:val="20"/>
                <w:szCs w:val="20"/>
                <w:color w:val="auto"/>
              </w:rPr>
            </w:pPr>
            <w:r>
              <w:rPr>
                <w:rFonts w:ascii="Arial" w:cs="Arial" w:eastAsia="Arial" w:hAnsi="Arial"/>
                <w:sz w:val="18"/>
                <w:szCs w:val="18"/>
                <w:b w:val="1"/>
                <w:bCs w:val="1"/>
                <w:color w:val="auto"/>
              </w:rPr>
              <w:t>Security</w:t>
            </w:r>
          </w:p>
        </w:tc>
        <w:tc>
          <w:tcPr>
            <w:tcW w:w="146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0"/>
              </w:rPr>
              <w:t>Fee Calculation</w:t>
            </w:r>
          </w:p>
        </w:tc>
        <w:tc>
          <w:tcPr>
            <w:tcW w:w="172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Amount</w:t>
            </w:r>
          </w:p>
        </w:tc>
        <w:tc>
          <w:tcPr>
            <w:tcW w:w="130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Offering Price</w:t>
            </w:r>
          </w:p>
        </w:tc>
        <w:tc>
          <w:tcPr>
            <w:tcW w:w="1440" w:type="dxa"/>
            <w:vAlign w:val="bottom"/>
            <w:tcBorders>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7"/>
              </w:rPr>
              <w:t>Aggregate</w:t>
            </w:r>
          </w:p>
        </w:tc>
        <w:tc>
          <w:tcPr>
            <w:tcW w:w="156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Fee Rate</w:t>
            </w:r>
          </w:p>
        </w:tc>
        <w:tc>
          <w:tcPr>
            <w:tcW w:w="16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30"/>
        </w:trPr>
        <w:tc>
          <w:tcPr>
            <w:tcW w:w="108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Type</w:t>
            </w:r>
          </w:p>
        </w:tc>
        <w:tc>
          <w:tcPr>
            <w:tcW w:w="11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Class Title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Rule</w:t>
            </w:r>
          </w:p>
        </w:tc>
        <w:tc>
          <w:tcPr>
            <w:tcW w:w="1720" w:type="dxa"/>
            <w:vAlign w:val="bottom"/>
            <w:tcBorders>
              <w:bottom w:val="single" w:sz="8" w:color="auto"/>
              <w:right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4"/>
              </w:rPr>
              <w:t>Registered</w:t>
            </w:r>
            <w:r>
              <w:rPr>
                <w:rFonts w:ascii="Arial" w:cs="Arial" w:eastAsia="Arial" w:hAnsi="Arial"/>
                <w:sz w:val="23"/>
                <w:szCs w:val="23"/>
                <w:b w:val="1"/>
                <w:bCs w:val="1"/>
                <w:color w:val="auto"/>
                <w:w w:val="84"/>
                <w:vertAlign w:val="superscript"/>
              </w:rPr>
              <w:t>(1)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1560" w:type="dxa"/>
            <w:vAlign w:val="bottom"/>
            <w:tcBorders>
              <w:bottom w:val="single" w:sz="8" w:color="auto"/>
              <w:right w:val="single" w:sz="8" w:color="auto"/>
            </w:tcBorders>
            <w:vMerge w:val="continue"/>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c>
          <w:tcPr>
            <w:tcW w:w="0" w:type="dxa"/>
            <w:vAlign w:val="bottom"/>
          </w:tcPr>
          <w:p>
            <w:pPr>
              <w:spacing w:after="0"/>
              <w:rPr>
                <w:sz w:val="1"/>
                <w:szCs w:val="1"/>
                <w:color w:val="auto"/>
              </w:rPr>
            </w:pPr>
          </w:p>
        </w:tc>
      </w:tr>
      <w:tr>
        <w:trPr>
          <w:trHeight w:val="169"/>
        </w:trPr>
        <w:tc>
          <w:tcPr>
            <w:tcW w:w="1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Equity</w:t>
            </w:r>
          </w:p>
        </w:tc>
        <w:tc>
          <w:tcPr>
            <w:tcW w:w="110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Class A</w:t>
            </w:r>
          </w:p>
        </w:tc>
        <w:tc>
          <w:tcPr>
            <w:tcW w:w="146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common</w:t>
            </w:r>
          </w:p>
        </w:tc>
        <w:tc>
          <w:tcPr>
            <w:tcW w:w="14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stock,</w:t>
            </w:r>
          </w:p>
        </w:tc>
        <w:tc>
          <w:tcPr>
            <w:tcW w:w="146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$0.0001 par</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Rule 457(c) and</w:t>
            </w:r>
          </w:p>
        </w:tc>
        <w:tc>
          <w:tcPr>
            <w:tcW w:w="17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value per</w:t>
            </w:r>
          </w:p>
        </w:tc>
        <w:tc>
          <w:tcPr>
            <w:tcW w:w="146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Rule 457(h)</w:t>
            </w:r>
          </w:p>
        </w:tc>
        <w:tc>
          <w:tcPr>
            <w:tcW w:w="1720" w:type="dxa"/>
            <w:vAlign w:val="bottom"/>
            <w:tcBorders>
              <w:bottom w:val="single" w:sz="8" w:color="auto"/>
              <w:right w:val="single" w:sz="8" w:color="auto"/>
            </w:tcBorders>
          </w:tcPr>
          <w:p>
            <w:pPr>
              <w:jc w:val="center"/>
              <w:ind w:right="290"/>
              <w:spacing w:after="0" w:line="243" w:lineRule="exact"/>
              <w:rPr>
                <w:sz w:val="20"/>
                <w:szCs w:val="20"/>
                <w:color w:val="auto"/>
              </w:rPr>
            </w:pPr>
            <w:r>
              <w:rPr>
                <w:rFonts w:ascii="Arial" w:cs="Arial" w:eastAsia="Arial" w:hAnsi="Arial"/>
                <w:sz w:val="18"/>
                <w:szCs w:val="18"/>
                <w:color w:val="auto"/>
              </w:rPr>
              <w:t>19,425,557</w:t>
            </w:r>
            <w:r>
              <w:rPr>
                <w:rFonts w:ascii="Arial" w:cs="Arial" w:eastAsia="Arial" w:hAnsi="Arial"/>
                <w:sz w:val="23"/>
                <w:szCs w:val="23"/>
                <w:color w:val="auto"/>
                <w:vertAlign w:val="superscript"/>
              </w:rPr>
              <w:t>(2)</w:t>
            </w:r>
          </w:p>
        </w:tc>
        <w:tc>
          <w:tcPr>
            <w:tcW w:w="130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$0.2660</w:t>
            </w:r>
            <w:r>
              <w:rPr>
                <w:rFonts w:ascii="Arial" w:cs="Arial" w:eastAsia="Arial" w:hAnsi="Arial"/>
                <w:sz w:val="23"/>
                <w:szCs w:val="23"/>
                <w:color w:val="auto"/>
                <w:w w:val="85"/>
                <w:vertAlign w:val="superscript"/>
              </w:rPr>
              <w:t>(3)</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$5,167,198</w:t>
            </w:r>
          </w:p>
        </w:tc>
        <w:tc>
          <w:tcPr>
            <w:tcW w:w="15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w w:val="91"/>
              </w:rPr>
              <w:t>$0.00011020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$569.43</w:t>
            </w:r>
          </w:p>
        </w:tc>
        <w:tc>
          <w:tcPr>
            <w:tcW w:w="0" w:type="dxa"/>
            <w:vAlign w:val="bottom"/>
          </w:tcPr>
          <w:p>
            <w:pPr>
              <w:spacing w:after="0"/>
              <w:rPr>
                <w:sz w:val="1"/>
                <w:szCs w:val="1"/>
                <w:color w:val="auto"/>
              </w:rPr>
            </w:pPr>
          </w:p>
        </w:tc>
      </w:tr>
      <w:tr>
        <w:trPr>
          <w:trHeight w:val="169"/>
        </w:trPr>
        <w:tc>
          <w:tcPr>
            <w:tcW w:w="10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Equity</w:t>
            </w:r>
          </w:p>
        </w:tc>
        <w:tc>
          <w:tcPr>
            <w:tcW w:w="1100" w:type="dxa"/>
            <w:vAlign w:val="bottom"/>
            <w:tcBorders>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Class A</w:t>
            </w:r>
          </w:p>
        </w:tc>
        <w:tc>
          <w:tcPr>
            <w:tcW w:w="146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144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8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common</w:t>
            </w:r>
          </w:p>
        </w:tc>
        <w:tc>
          <w:tcPr>
            <w:tcW w:w="146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stock,</w:t>
            </w:r>
          </w:p>
        </w:tc>
        <w:tc>
          <w:tcPr>
            <w:tcW w:w="146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$0.0001 par</w:t>
            </w:r>
          </w:p>
        </w:tc>
        <w:tc>
          <w:tcPr>
            <w:tcW w:w="1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Rule 457(c) and</w:t>
            </w:r>
          </w:p>
        </w:tc>
        <w:tc>
          <w:tcPr>
            <w:tcW w:w="17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080" w:type="dxa"/>
            <w:vAlign w:val="bottom"/>
            <w:tcBorders>
              <w:right w:val="single" w:sz="8" w:color="auto"/>
            </w:tcBorders>
          </w:tcPr>
          <w:p>
            <w:pPr>
              <w:spacing w:after="0"/>
              <w:rPr>
                <w:sz w:val="15"/>
                <w:szCs w:val="15"/>
                <w:color w:val="auto"/>
              </w:rPr>
            </w:pPr>
          </w:p>
        </w:tc>
        <w:tc>
          <w:tcPr>
            <w:tcW w:w="110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8"/>
                <w:szCs w:val="18"/>
                <w:color w:val="auto"/>
              </w:rPr>
              <w:t>value per</w:t>
            </w:r>
          </w:p>
        </w:tc>
        <w:tc>
          <w:tcPr>
            <w:tcW w:w="146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144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Rule 457(h)</w:t>
            </w:r>
          </w:p>
        </w:tc>
        <w:tc>
          <w:tcPr>
            <w:tcW w:w="1720" w:type="dxa"/>
            <w:vAlign w:val="bottom"/>
            <w:tcBorders>
              <w:bottom w:val="single" w:sz="8" w:color="auto"/>
              <w:right w:val="single" w:sz="8" w:color="auto"/>
            </w:tcBorders>
          </w:tcPr>
          <w:p>
            <w:pPr>
              <w:jc w:val="center"/>
              <w:ind w:right="330"/>
              <w:spacing w:after="0" w:line="243" w:lineRule="exact"/>
              <w:rPr>
                <w:sz w:val="20"/>
                <w:szCs w:val="20"/>
                <w:color w:val="auto"/>
              </w:rPr>
            </w:pPr>
            <w:r>
              <w:rPr>
                <w:rFonts w:ascii="Arial" w:cs="Arial" w:eastAsia="Arial" w:hAnsi="Arial"/>
                <w:sz w:val="18"/>
                <w:szCs w:val="18"/>
                <w:color w:val="auto"/>
              </w:rPr>
              <w:t>3,885,112</w:t>
            </w:r>
            <w:r>
              <w:rPr>
                <w:rFonts w:ascii="Arial" w:cs="Arial" w:eastAsia="Arial" w:hAnsi="Arial"/>
                <w:sz w:val="23"/>
                <w:szCs w:val="23"/>
                <w:color w:val="auto"/>
                <w:vertAlign w:val="superscript"/>
              </w:rPr>
              <w:t>(4)</w:t>
            </w:r>
          </w:p>
        </w:tc>
        <w:tc>
          <w:tcPr>
            <w:tcW w:w="1300" w:type="dxa"/>
            <w:vAlign w:val="bottom"/>
            <w:tcBorders>
              <w:bottom w:val="single" w:sz="8" w:color="auto"/>
              <w:right w:val="single" w:sz="8" w:color="auto"/>
            </w:tcBorders>
          </w:tcPr>
          <w:p>
            <w:pPr>
              <w:jc w:val="center"/>
              <w:spacing w:after="0" w:line="243" w:lineRule="exact"/>
              <w:rPr>
                <w:sz w:val="20"/>
                <w:szCs w:val="20"/>
                <w:color w:val="auto"/>
              </w:rPr>
            </w:pPr>
            <w:r>
              <w:rPr>
                <w:rFonts w:ascii="Arial" w:cs="Arial" w:eastAsia="Arial" w:hAnsi="Arial"/>
                <w:sz w:val="18"/>
                <w:szCs w:val="18"/>
                <w:color w:val="auto"/>
                <w:w w:val="85"/>
              </w:rPr>
              <w:t>$0.2261</w:t>
            </w:r>
            <w:r>
              <w:rPr>
                <w:rFonts w:ascii="Arial" w:cs="Arial" w:eastAsia="Arial" w:hAnsi="Arial"/>
                <w:sz w:val="23"/>
                <w:szCs w:val="23"/>
                <w:color w:val="auto"/>
                <w:w w:val="85"/>
                <w:vertAlign w:val="superscript"/>
              </w:rPr>
              <w:t>(5)</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$878,424</w:t>
            </w:r>
          </w:p>
        </w:tc>
        <w:tc>
          <w:tcPr>
            <w:tcW w:w="156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w w:val="91"/>
              </w:rPr>
              <w:t>$0.00011020</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$96.80</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Total Offering Amounts</w:t>
            </w:r>
          </w:p>
        </w:tc>
        <w:tc>
          <w:tcPr>
            <w:tcW w:w="146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$6,045,622</w:t>
            </w:r>
          </w:p>
        </w:tc>
        <w:tc>
          <w:tcPr>
            <w:tcW w:w="156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$666.23</w:t>
            </w:r>
          </w:p>
        </w:tc>
        <w:tc>
          <w:tcPr>
            <w:tcW w:w="0" w:type="dxa"/>
            <w:vAlign w:val="bottom"/>
          </w:tcPr>
          <w:p>
            <w:pPr>
              <w:spacing w:after="0"/>
              <w:rPr>
                <w:sz w:val="1"/>
                <w:szCs w:val="1"/>
                <w:color w:val="auto"/>
              </w:rPr>
            </w:pPr>
          </w:p>
        </w:tc>
      </w:tr>
      <w:tr>
        <w:trPr>
          <w:trHeight w:val="223"/>
        </w:trPr>
        <w:tc>
          <w:tcPr>
            <w:tcW w:w="218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Total Fee Offsets</w:t>
            </w:r>
          </w:p>
        </w:tc>
        <w:tc>
          <w:tcPr>
            <w:tcW w:w="146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5"/>
              </w:rPr>
              <w:t>Net Fee Due</w:t>
            </w: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720" w:type="dxa"/>
            <w:vAlign w:val="bottom"/>
            <w:tcBorders>
              <w:bottom w:val="single" w:sz="8" w:color="auto"/>
              <w:right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$666.23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left="660" w:right="20" w:hanging="328"/>
        <w:spacing w:after="0" w:line="224" w:lineRule="auto"/>
        <w:tabs>
          <w:tab w:leader="none" w:pos="654"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(the “Securities Act”), this Registration Statement shall also cover any additional shares of the Class A common stock of GeneDx Holdings Corp. (the “Registrant”) that become issuable in respect of the securities identified in the above table by reason of any stock dividend, stock split, recapitalization or other similar transaction effected without the Registrant’s receipt of consideration that increases the number of the Registrant’s outstanding shares of Class A common stock.</w:t>
      </w:r>
    </w:p>
    <w:p>
      <w:pPr>
        <w:spacing w:after="0" w:line="1" w:lineRule="exact"/>
        <w:rPr>
          <w:rFonts w:ascii="Arial" w:cs="Arial" w:eastAsia="Arial" w:hAnsi="Arial"/>
          <w:sz w:val="17"/>
          <w:szCs w:val="17"/>
          <w:color w:val="auto"/>
        </w:rPr>
      </w:pPr>
    </w:p>
    <w:p>
      <w:pPr>
        <w:jc w:val="both"/>
        <w:ind w:left="660" w:right="20" w:hanging="328"/>
        <w:spacing w:after="0" w:line="208"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additional shares of the Registrant’s Class A common stock to be registered and available for grant under its 2021 Equity Incentive Plan (the “2021 EIP”) resulting from the automatic 5% annual increase in the number of authorized shares reserved and available for issuance under the 2021 EIP.</w:t>
      </w:r>
    </w:p>
    <w:p>
      <w:pPr>
        <w:spacing w:after="0" w:line="1" w:lineRule="exact"/>
        <w:rPr>
          <w:rFonts w:ascii="Arial" w:cs="Arial" w:eastAsia="Arial" w:hAnsi="Arial"/>
          <w:sz w:val="18"/>
          <w:szCs w:val="18"/>
          <w:color w:val="auto"/>
        </w:rPr>
      </w:pPr>
    </w:p>
    <w:p>
      <w:pPr>
        <w:jc w:val="both"/>
        <w:ind w:left="660" w:right="20" w:hanging="328"/>
        <w:spacing w:after="0" w:line="208"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in accordance with Rules 457(c) and 457(h) of the Securities Act solely for the purpose of calculating the registration fee. The proposed maximum offering price per share of $0.2660 was computed by averaging the high and low prices of a share of the Registrant’s Class A common stock as reported on the Nasdaq Global Select Market on January 3, 2023.</w:t>
      </w:r>
    </w:p>
    <w:p>
      <w:pPr>
        <w:spacing w:after="0" w:line="1" w:lineRule="exact"/>
        <w:rPr>
          <w:rFonts w:ascii="Arial" w:cs="Arial" w:eastAsia="Arial" w:hAnsi="Arial"/>
          <w:sz w:val="18"/>
          <w:szCs w:val="18"/>
          <w:color w:val="auto"/>
        </w:rPr>
      </w:pPr>
    </w:p>
    <w:p>
      <w:pPr>
        <w:jc w:val="both"/>
        <w:ind w:left="660" w:right="20" w:hanging="328"/>
        <w:spacing w:after="0" w:line="208"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additional shares of the Registrant’s Class A common stock to be registered and available for grant under its 2021 Employee Stock Purchase Plan (the “2021 ESPP”) resulting from the automatic 1% annual increase in the number of authorized shares reserved and available for issuance under the 2021 ESPP.</w:t>
      </w:r>
    </w:p>
    <w:p>
      <w:pPr>
        <w:spacing w:after="0" w:line="1" w:lineRule="exact"/>
        <w:rPr>
          <w:rFonts w:ascii="Arial" w:cs="Arial" w:eastAsia="Arial" w:hAnsi="Arial"/>
          <w:sz w:val="18"/>
          <w:szCs w:val="18"/>
          <w:color w:val="auto"/>
        </w:rPr>
      </w:pPr>
    </w:p>
    <w:p>
      <w:pPr>
        <w:jc w:val="both"/>
        <w:ind w:left="660" w:right="20" w:hanging="328"/>
        <w:spacing w:after="0" w:line="218" w:lineRule="auto"/>
        <w:tabs>
          <w:tab w:leader="none" w:pos="654"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in accordance with Rules 457(c) and 457(h) of the Securities Act solely for the purpose of calculating the registration fee. The proposed maximum offering price per share of $0.2261 was computed by averaging the high and low prices of a share of the Registrant’s Class A common stock as reported on the Nasdaq Global Select Market on January 3, 2023, multiplied by 85% pursuant to the purchase price terms of the 2021 ESPP.</w:t>
      </w:r>
    </w:p>
    <w:p>
      <w:pPr>
        <w:sectPr>
          <w:pgSz w:w="11900" w:h="16838" w:orient="portrait"/>
          <w:cols w:equalWidth="0" w:num="1">
            <w:col w:w="11260"/>
          </w:cols>
          <w:pgMar w:left="320" w:top="1404" w:right="319" w:bottom="1440" w:gutter="0" w:footer="0" w:header="0"/>
        </w:sectPr>
      </w:pPr>
    </w:p>
    <w:bookmarkStart w:id="7" w:name="page8"/>
    <w:bookmarkEnd w:id="7"/>
    <w:p>
      <w:pPr>
        <w:spacing w:after="0" w:line="1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86045" cy="659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186045" cy="659765"/>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5.1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January 9, 2023</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GeneDx Holdings Corp.</w:t>
      </w:r>
    </w:p>
    <w:p>
      <w:pPr>
        <w:spacing w:after="0" w:line="211" w:lineRule="auto"/>
        <w:rPr>
          <w:sz w:val="20"/>
          <w:szCs w:val="20"/>
          <w:color w:val="auto"/>
        </w:rPr>
      </w:pPr>
      <w:r>
        <w:rPr>
          <w:rFonts w:ascii="Arial" w:cs="Arial" w:eastAsia="Arial" w:hAnsi="Arial"/>
          <w:sz w:val="20"/>
          <w:szCs w:val="20"/>
          <w:color w:val="auto"/>
        </w:rPr>
        <w:t>333 Ludlow Street, North Tower, 8th Floor</w:t>
      </w:r>
    </w:p>
    <w:p>
      <w:pPr>
        <w:spacing w:after="0"/>
        <w:rPr>
          <w:sz w:val="20"/>
          <w:szCs w:val="20"/>
          <w:color w:val="auto"/>
        </w:rPr>
      </w:pPr>
      <w:r>
        <w:rPr>
          <w:rFonts w:ascii="Arial" w:cs="Arial" w:eastAsia="Arial" w:hAnsi="Arial"/>
          <w:sz w:val="20"/>
          <w:szCs w:val="20"/>
          <w:color w:val="auto"/>
        </w:rPr>
        <w:t>Stamford, Connecticut 06902</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175" w:lineRule="exact"/>
        <w:rPr>
          <w:sz w:val="20"/>
          <w:szCs w:val="20"/>
          <w:color w:val="auto"/>
        </w:rPr>
      </w:pPr>
    </w:p>
    <w:p>
      <w:pPr>
        <w:ind w:firstLine="648"/>
        <w:spacing w:after="0" w:line="231" w:lineRule="auto"/>
        <w:rPr>
          <w:sz w:val="20"/>
          <w:szCs w:val="20"/>
          <w:color w:val="auto"/>
        </w:rPr>
      </w:pPr>
      <w:r>
        <w:rPr>
          <w:rFonts w:ascii="Arial" w:cs="Arial" w:eastAsia="Arial" w:hAnsi="Arial"/>
          <w:sz w:val="19"/>
          <w:szCs w:val="19"/>
          <w:color w:val="auto"/>
        </w:rPr>
        <w:t>At your request, as your counsel, we have examined the Registration Statement on Form S-8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to be filed by GeneDx Holdings Corp.,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with the Securities and Exchange Commission (the</w:t>
      </w:r>
    </w:p>
    <w:p>
      <w:pPr>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or about January 9, 2023 in connection with the registration under the Securities Act of 1933, as amended (the “</w:t>
      </w:r>
      <w:r>
        <w:rPr>
          <w:rFonts w:ascii="Arial" w:cs="Arial" w:eastAsia="Arial" w:hAnsi="Arial"/>
          <w:sz w:val="16"/>
          <w:szCs w:val="16"/>
          <w:b w:val="1"/>
          <w:bCs w:val="1"/>
          <w:i w:val="1"/>
          <w:i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of an aggregate of 23,310,669 shares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of the Company’s Class A common stock, par value $0.0001 per share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subject to issuance by the Company (a) upon exercise or settlement of awards to be granted under the Company’s 2021</w:t>
      </w:r>
    </w:p>
    <w:p>
      <w:pPr>
        <w:spacing w:after="0" w:line="226" w:lineRule="auto"/>
        <w:rPr>
          <w:sz w:val="20"/>
          <w:szCs w:val="20"/>
          <w:color w:val="auto"/>
        </w:rPr>
      </w:pPr>
      <w:r>
        <w:rPr>
          <w:rFonts w:ascii="Arial" w:cs="Arial" w:eastAsia="Arial" w:hAnsi="Arial"/>
          <w:sz w:val="18"/>
          <w:szCs w:val="18"/>
          <w:color w:val="auto"/>
        </w:rPr>
        <w:t>Equity Incentive Plan (the “</w:t>
      </w:r>
      <w:r>
        <w:rPr>
          <w:rFonts w:ascii="Arial" w:cs="Arial" w:eastAsia="Arial" w:hAnsi="Arial"/>
          <w:sz w:val="18"/>
          <w:szCs w:val="18"/>
          <w:b w:val="1"/>
          <w:bCs w:val="1"/>
          <w:i w:val="1"/>
          <w:iCs w:val="1"/>
          <w:color w:val="auto"/>
        </w:rPr>
        <w:t>2021 Plan</w:t>
      </w:r>
      <w:r>
        <w:rPr>
          <w:rFonts w:ascii="Arial" w:cs="Arial" w:eastAsia="Arial" w:hAnsi="Arial"/>
          <w:sz w:val="18"/>
          <w:szCs w:val="18"/>
          <w:color w:val="auto"/>
        </w:rPr>
        <w:t>”) pursuant to the provision of the 2021 Plan providing for an automatic annual increase in the number of shares reserved and available for issuance under the 2021 Plan and (b) upon exercise of purchase rights to acquire shares of Common</w:t>
      </w:r>
    </w:p>
    <w:p>
      <w:pPr>
        <w:spacing w:after="0" w:line="236" w:lineRule="auto"/>
        <w:rPr>
          <w:sz w:val="20"/>
          <w:szCs w:val="20"/>
          <w:color w:val="auto"/>
        </w:rPr>
      </w:pPr>
      <w:r>
        <w:rPr>
          <w:rFonts w:ascii="Arial" w:cs="Arial" w:eastAsia="Arial" w:hAnsi="Arial"/>
          <w:sz w:val="18"/>
          <w:szCs w:val="18"/>
          <w:color w:val="auto"/>
        </w:rPr>
        <w:t>Stock to be granted under the Company’s 2021 Employee Stock Purchase Plan (the “</w:t>
      </w:r>
      <w:r>
        <w:rPr>
          <w:rFonts w:ascii="Arial" w:cs="Arial" w:eastAsia="Arial" w:hAnsi="Arial"/>
          <w:sz w:val="18"/>
          <w:szCs w:val="18"/>
          <w:b w:val="1"/>
          <w:bCs w:val="1"/>
          <w:i w:val="1"/>
          <w:iCs w:val="1"/>
          <w:color w:val="auto"/>
        </w:rPr>
        <w:t>Purchase Plan</w:t>
      </w:r>
      <w:r>
        <w:rPr>
          <w:rFonts w:ascii="Arial" w:cs="Arial" w:eastAsia="Arial" w:hAnsi="Arial"/>
          <w:sz w:val="18"/>
          <w:szCs w:val="18"/>
          <w:color w:val="auto"/>
        </w:rPr>
        <w:t>” and, together with the 2021 Plan, the</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Plans</w:t>
      </w:r>
      <w:r>
        <w:rPr>
          <w:rFonts w:ascii="Arial" w:cs="Arial" w:eastAsia="Arial" w:hAnsi="Arial"/>
          <w:sz w:val="20"/>
          <w:szCs w:val="20"/>
          <w:color w:val="auto"/>
        </w:rPr>
        <w:t>”) pursuant to the provision of the Purchase Plan providing for an automatic annual increase in the number of shares reserved and available for issuance under the Purchase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At your request we are providing this letter to express our opinion on the matters set forth below in this letter (“</w:t>
      </w:r>
      <w:r>
        <w:rPr>
          <w:rFonts w:ascii="Arial" w:cs="Arial" w:eastAsia="Arial" w:hAnsi="Arial"/>
          <w:sz w:val="19"/>
          <w:szCs w:val="19"/>
          <w:b w:val="1"/>
          <w:bCs w:val="1"/>
          <w:i w:val="1"/>
          <w:iCs w:val="1"/>
          <w:color w:val="auto"/>
        </w:rPr>
        <w:t>our opinion</w:t>
      </w:r>
      <w:r>
        <w:rPr>
          <w:rFonts w:ascii="Arial" w:cs="Arial" w:eastAsia="Arial" w:hAnsi="Arial"/>
          <w:sz w:val="19"/>
          <w:szCs w:val="19"/>
          <w:color w:val="auto"/>
        </w:rPr>
        <w:t>”).</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connection with our opinion, we have examined such matters of fact as we have deemed necessary, which included examination of originals or copies of: (a) the Company’s Third Amended and Restated Certificate of Incorporation, as amended (the “</w:t>
      </w:r>
      <w:r>
        <w:rPr>
          <w:rFonts w:ascii="Arial" w:cs="Arial" w:eastAsia="Arial" w:hAnsi="Arial"/>
          <w:sz w:val="18"/>
          <w:szCs w:val="18"/>
          <w:b w:val="1"/>
          <w:bCs w:val="1"/>
          <w:i w:val="1"/>
          <w:iCs w:val="1"/>
          <w:color w:val="auto"/>
        </w:rPr>
        <w:t>Certificate of</w:t>
      </w:r>
    </w:p>
    <w:p>
      <w:pPr>
        <w:spacing w:after="0" w:line="222" w:lineRule="auto"/>
        <w:rPr>
          <w:sz w:val="20"/>
          <w:szCs w:val="20"/>
          <w:color w:val="auto"/>
        </w:rPr>
      </w:pPr>
      <w:r>
        <w:rPr>
          <w:rFonts w:ascii="Arial" w:cs="Arial" w:eastAsia="Arial" w:hAnsi="Arial"/>
          <w:sz w:val="19"/>
          <w:szCs w:val="19"/>
          <w:b w:val="1"/>
          <w:bCs w:val="1"/>
          <w:i w:val="1"/>
          <w:iCs w:val="1"/>
          <w:color w:val="auto"/>
        </w:rPr>
        <w:t>Incorpration</w:t>
      </w:r>
      <w:r>
        <w:rPr>
          <w:rFonts w:ascii="Arial" w:cs="Arial" w:eastAsia="Arial" w:hAnsi="Arial"/>
          <w:sz w:val="19"/>
          <w:szCs w:val="19"/>
          <w:color w:val="auto"/>
        </w:rPr>
        <w:t>”), the Company’s Amended and Restated Bylaws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and, together with the Certificate of Incorporation, the</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the Plans, and the Registration Statement and the exhibits thereto, (b) certain corporate proceedings of the Company’s board of directors and the Company’s stockholders relating to adoption or approval of the Charter Documents and the Plans,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 such other documents as we have deemed advisable, and we have examined such questions of law as we have considered necessary.</w:t>
      </w:r>
    </w:p>
    <w:p>
      <w:pPr>
        <w:spacing w:after="0" w:line="196" w:lineRule="exact"/>
        <w:rPr>
          <w:sz w:val="20"/>
          <w:szCs w:val="20"/>
          <w:color w:val="auto"/>
        </w:rPr>
      </w:pPr>
    </w:p>
    <w:p>
      <w:pPr>
        <w:ind w:firstLine="648"/>
        <w:spacing w:after="0" w:line="236" w:lineRule="auto"/>
        <w:rPr>
          <w:sz w:val="20"/>
          <w:szCs w:val="20"/>
          <w:color w:val="auto"/>
        </w:rPr>
      </w:pPr>
      <w:r>
        <w:rPr>
          <w:rFonts w:ascii="Arial" w:cs="Arial" w:eastAsia="Arial" w:hAnsi="Arial"/>
          <w:sz w:val="18"/>
          <w:szCs w:val="18"/>
          <w:color w:val="auto"/>
        </w:rPr>
        <w:t>In our examination of documents for purposes of this opinion, we have assumed, and express no opinion as to, the authenticity and completeness of all documents submitted to us as originals, the genuineness of signatures on documents reviewed by us, the conformity to</w:t>
      </w:r>
    </w:p>
    <w:p>
      <w:pPr>
        <w:spacing w:after="0" w:line="235" w:lineRule="auto"/>
        <w:rPr>
          <w:sz w:val="20"/>
          <w:szCs w:val="20"/>
          <w:color w:val="auto"/>
        </w:rPr>
      </w:pPr>
      <w:r>
        <w:rPr>
          <w:rFonts w:ascii="Arial" w:cs="Arial" w:eastAsia="Arial" w:hAnsi="Arial"/>
          <w:sz w:val="18"/>
          <w:szCs w:val="18"/>
          <w:color w:val="auto"/>
        </w:rPr>
        <w:t>originals and the completeness of all documents submitted to us as copies, the legal capacity of all parties executing any documents (other</w:t>
      </w:r>
    </w:p>
    <w:p>
      <w:pPr>
        <w:spacing w:after="0" w:line="226" w:lineRule="auto"/>
        <w:rPr>
          <w:sz w:val="20"/>
          <w:szCs w:val="20"/>
          <w:color w:val="auto"/>
        </w:rPr>
      </w:pPr>
      <w:r>
        <w:rPr>
          <w:rFonts w:ascii="Arial" w:cs="Arial" w:eastAsia="Arial" w:hAnsi="Arial"/>
          <w:sz w:val="18"/>
          <w:szCs w:val="18"/>
          <w:color w:val="auto"/>
        </w:rPr>
        <w:t>than the Company), the lack of any undisclosed termination or modification or waiver of any document, the absence of any extrinsic agreements or documents that might change or affect the interpretation or terms of documents, and the due authorization, execution and</w:t>
      </w:r>
    </w:p>
    <w:p>
      <w:pPr>
        <w:spacing w:after="0" w:line="224" w:lineRule="auto"/>
        <w:rPr>
          <w:sz w:val="20"/>
          <w:szCs w:val="20"/>
          <w:color w:val="auto"/>
        </w:rPr>
      </w:pPr>
      <w:r>
        <w:rPr>
          <w:rFonts w:ascii="Arial" w:cs="Arial" w:eastAsia="Arial" w:hAnsi="Arial"/>
          <w:sz w:val="19"/>
          <w:szCs w:val="19"/>
          <w:color w:val="auto"/>
        </w:rPr>
        <w:t>delivery of all documents by each party thereto other than the Company. We have also assumed that any certificates or instruments</w:t>
      </w:r>
    </w:p>
    <w:p>
      <w:pPr>
        <w:spacing w:after="0" w:line="226" w:lineRule="auto"/>
        <w:rPr>
          <w:sz w:val="20"/>
          <w:szCs w:val="20"/>
          <w:color w:val="auto"/>
        </w:rPr>
      </w:pPr>
      <w:r>
        <w:rPr>
          <w:rFonts w:ascii="Arial" w:cs="Arial" w:eastAsia="Arial" w:hAnsi="Arial"/>
          <w:sz w:val="18"/>
          <w:szCs w:val="18"/>
          <w:color w:val="auto"/>
        </w:rPr>
        <w:t>representing the Shares, when issued, will be executed by the Company and by officers of the Company duly authorized to do so. In rendering our opinion, we have also relied upon a certificate of good standing issued by the Delaware Secretary of State with respect to the</w:t>
      </w:r>
    </w:p>
    <w:p>
      <w:pPr>
        <w:spacing w:after="0" w:line="236" w:lineRule="auto"/>
        <w:rPr>
          <w:sz w:val="20"/>
          <w:szCs w:val="20"/>
          <w:color w:val="auto"/>
        </w:rPr>
      </w:pPr>
      <w:r>
        <w:rPr>
          <w:rFonts w:ascii="Arial" w:cs="Arial" w:eastAsia="Arial" w:hAnsi="Arial"/>
          <w:sz w:val="18"/>
          <w:szCs w:val="18"/>
          <w:color w:val="auto"/>
        </w:rPr>
        <w:t>Company and representations and certifications made to us by the Company, including without limitation representations in a Management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Certificate addressed to us of even date herewith that the Company has available a sufficient number of authorized shares of Common Stock that are not currently outstanding or reserved for issuance under other outstanding securities or plans of the Company, to enable the Company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issue and deliver all of the Shares as of the date of this letter.</w:t>
      </w:r>
    </w:p>
    <w:p>
      <w:pPr>
        <w:spacing w:after="0" w:line="173" w:lineRule="exact"/>
        <w:rPr>
          <w:sz w:val="20"/>
          <w:szCs w:val="20"/>
          <w:color w:val="auto"/>
        </w:rPr>
      </w:pPr>
    </w:p>
    <w:p>
      <w:pPr>
        <w:ind w:firstLine="648"/>
        <w:spacing w:after="0" w:line="274" w:lineRule="auto"/>
        <w:rPr>
          <w:sz w:val="20"/>
          <w:szCs w:val="20"/>
          <w:color w:val="auto"/>
        </w:rPr>
      </w:pPr>
      <w:r>
        <w:rPr>
          <w:rFonts w:ascii="Arial" w:cs="Arial" w:eastAsia="Arial" w:hAnsi="Arial"/>
          <w:sz w:val="20"/>
          <w:szCs w:val="20"/>
          <w:color w:val="auto"/>
        </w:rPr>
        <w:t>We render this opinion only with respect to, and we express no opinion herein concerning the application or effect of the laws of any jurisdiction other than, the existing Delaware General Corporation Law now in effect.</w:t>
      </w:r>
    </w:p>
    <w:p>
      <w:pPr>
        <w:sectPr>
          <w:pgSz w:w="11900" w:h="16838" w:orient="portrait"/>
          <w:cols w:equalWidth="0" w:num="1">
            <w:col w:w="11240"/>
          </w:cols>
          <w:pgMar w:left="320" w:top="1440" w:right="339" w:bottom="1440" w:gutter="0" w:footer="0" w:header="0"/>
        </w:sectPr>
      </w:pPr>
    </w:p>
    <w:bookmarkStart w:id="8" w:name="page9"/>
    <w:bookmarkEnd w:id="8"/>
    <w:p>
      <w:pPr>
        <w:spacing w:after="0" w:line="1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Based upon, and subject to, the foregoing, it is our opinion that the Shares have been duly authorized and, when the Shares that may be issued and sold (a) upon the exercise or settlement of awards to be granted under the 2021 Plan, and (b) pursuant to purchase rights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acquire shares of Common Stock to be granted under the Purchase Plan, have been issued and sold by the Company against the Company’s</w:t>
      </w:r>
    </w:p>
    <w:p>
      <w:pPr>
        <w:spacing w:after="0" w:line="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receipt of payment therefor (in an amount and type of consideration not less than the par value per Share) in accordance with the terms (including, without limitation, payment and authorization provisions) of the applicable Plan, and have been duly registered on the books of</w:t>
      </w:r>
    </w:p>
    <w:p>
      <w:pPr>
        <w:spacing w:after="0" w:line="2"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the transfer agent and registrar for the Shares in the name or on behalf of the holders thereof, such Shares will be validly issued, fully paid and non-assessable.</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We consent to the use of this opinion as an exhibit to the Registration Statement and further consent to all references to us, if any, in</w:t>
      </w:r>
    </w:p>
    <w:p>
      <w:pPr>
        <w:spacing w:after="0" w:line="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Registration Statement and any amendments or supplements thereto. We do not thereby admit that we are within the category of persons whose consent is required under Section 7 of the Securities Act or the rules and regulations of the Commission thereunder</w:t>
      </w:r>
      <w:r>
        <w:rPr>
          <w:rFonts w:ascii="Arial" w:cs="Arial" w:eastAsia="Arial" w:hAnsi="Arial"/>
          <w:sz w:val="14"/>
          <w:szCs w:val="14"/>
          <w:color w:val="auto"/>
        </w:rPr>
        <w:t>.</w:t>
      </w:r>
      <w:r>
        <w:rPr>
          <w:rFonts w:ascii="Arial" w:cs="Arial" w:eastAsia="Arial" w:hAnsi="Arial"/>
          <w:sz w:val="16"/>
          <w:szCs w:val="16"/>
          <w:color w:val="auto"/>
        </w:rPr>
        <w:t xml:space="preserve"> This opinion is</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intended solely for use in connection with the issuance, sale and resale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5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i w:val="1"/>
          <w:iCs w:val="1"/>
          <w:color w:val="auto"/>
        </w:rPr>
        <w:t>/s/ Fenwick &amp; West LLP</w:t>
      </w:r>
    </w:p>
    <w:p>
      <w:pPr>
        <w:spacing w:after="0" w:line="21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FENWICK &amp; WEST LLP</w:t>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GeneDx Holdings Corp. 2021 Equity Incentive Plan and GeneDx Holdings Corp. 2021 Employee Stock Purchase Plan of</w:t>
      </w:r>
    </w:p>
    <w:p>
      <w:pPr>
        <w:ind w:right="80"/>
        <w:spacing w:after="0" w:line="271" w:lineRule="auto"/>
        <w:rPr>
          <w:sz w:val="20"/>
          <w:szCs w:val="20"/>
          <w:color w:val="auto"/>
        </w:rPr>
      </w:pPr>
      <w:r>
        <w:rPr>
          <w:rFonts w:ascii="Arial" w:cs="Arial" w:eastAsia="Arial" w:hAnsi="Arial"/>
          <w:sz w:val="17"/>
          <w:szCs w:val="17"/>
          <w:color w:val="auto"/>
        </w:rPr>
        <w:t>our report dated March 14, 2022, with respect to the consolidated financial statements of GeneDx Holding Corp. (f/k/a Sema4 Holdings Corp.) included in its Annual Report (Form 10-K) for the year ended December 31, 2021, filed with the Securities and Exchange Commission.</w:t>
      </w:r>
    </w:p>
    <w:p>
      <w:pPr>
        <w:spacing w:after="0" w:line="19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 Ernst &amp; Young LLP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rPr>
          <w:sz w:val="20"/>
          <w:szCs w:val="20"/>
          <w:color w:val="auto"/>
        </w:rPr>
      </w:pPr>
      <w:r>
        <w:rPr>
          <w:rFonts w:ascii="Arial" w:cs="Arial" w:eastAsia="Arial" w:hAnsi="Arial"/>
          <w:sz w:val="18"/>
          <w:szCs w:val="18"/>
          <w:color w:val="auto"/>
        </w:rPr>
        <w:t>January 9, 2023</w:t>
      </w:r>
    </w:p>
    <w:p>
      <w:pPr>
        <w:sectPr>
          <w:pgSz w:w="11900" w:h="16838" w:orient="portrait"/>
          <w:cols w:equalWidth="0" w:num="1">
            <w:col w:w="11240"/>
          </w:cols>
          <w:pgMar w:left="320" w:top="10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16"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GeneDx Holdings Corp. 2021 Equity Incentive Plan and GeneDx Holdings Corp. 2021 Employee Stock Purchase Plan of our report dated March 15, 2022, with respect to the combined carve out financial statements of GeneDx, Inc. and subsidiary, included in the Proxy Statement of GeneDx Holdings Corp. dated March 31, 2022, filed with the Securities and Exchange Commission.</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Miami, Florida</w:t>
      </w:r>
    </w:p>
    <w:p>
      <w:pPr>
        <w:ind w:left="20"/>
        <w:spacing w:after="0"/>
        <w:rPr>
          <w:sz w:val="20"/>
          <w:szCs w:val="20"/>
          <w:color w:val="auto"/>
        </w:rPr>
      </w:pPr>
      <w:r>
        <w:rPr>
          <w:rFonts w:ascii="Arial" w:cs="Arial" w:eastAsia="Arial" w:hAnsi="Arial"/>
          <w:sz w:val="18"/>
          <w:szCs w:val="18"/>
          <w:color w:val="auto"/>
        </w:rPr>
        <w:t>January 9, 2023</w:t>
      </w:r>
    </w:p>
    <w:p>
      <w:pPr>
        <w:sectPr>
          <w:pgSz w:w="11900" w:h="16838" w:orient="portrait"/>
          <w:cols w:equalWidth="0" w:num="1">
            <w:col w:w="11240"/>
          </w:cols>
          <w:pgMar w:left="320" w:top="10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EQUITY INCENTIVE PLAN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(Adopted July 22, 2021)</w:t>
      </w:r>
    </w:p>
    <w:p>
      <w:pPr>
        <w:spacing w:after="0" w:line="175" w:lineRule="exact"/>
        <w:rPr>
          <w:sz w:val="20"/>
          <w:szCs w:val="20"/>
          <w:color w:val="auto"/>
        </w:rPr>
      </w:pPr>
    </w:p>
    <w:p>
      <w:pPr>
        <w:jc w:val="both"/>
        <w:ind w:firstLine="8"/>
        <w:spacing w:after="0" w:line="258" w:lineRule="auto"/>
        <w:tabs>
          <w:tab w:leader="none" w:pos="3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w:t>
      </w:r>
      <w:r>
        <w:rPr>
          <w:rFonts w:ascii="Arial" w:cs="Arial" w:eastAsia="Arial" w:hAnsi="Arial"/>
          <w:sz w:val="20"/>
          <w:szCs w:val="20"/>
          <w:color w:val="auto"/>
        </w:rPr>
        <w:t>. The purpose of this Plan is to provide incentives to attract, retain and motivate eligible persons whose present and potential</w:t>
      </w:r>
      <w:r>
        <w:rPr>
          <w:rFonts w:ascii="Arial" w:cs="Arial" w:eastAsia="Arial" w:hAnsi="Arial"/>
          <w:sz w:val="20"/>
          <w:szCs w:val="20"/>
          <w:b w:val="1"/>
          <w:bCs w:val="1"/>
          <w:color w:val="auto"/>
        </w:rPr>
        <w:t xml:space="preserve"> </w:t>
      </w:r>
      <w:r>
        <w:rPr>
          <w:rFonts w:ascii="Arial" w:cs="Arial" w:eastAsia="Arial" w:hAnsi="Arial"/>
          <w:sz w:val="20"/>
          <w:szCs w:val="20"/>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18" w:lineRule="exact"/>
        <w:rPr>
          <w:rFonts w:ascii="Arial" w:cs="Arial" w:eastAsia="Arial" w:hAnsi="Arial"/>
          <w:sz w:val="20"/>
          <w:szCs w:val="20"/>
          <w:b w:val="1"/>
          <w:bCs w:val="1"/>
          <w:color w:val="auto"/>
        </w:rPr>
      </w:pPr>
    </w:p>
    <w:p>
      <w:pPr>
        <w:ind w:left="360" w:hanging="352"/>
        <w:spacing w:after="0"/>
        <w:tabs>
          <w:tab w:leader="none" w:pos="360"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SHARES SUBJECT TO THE PLAN</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2.1. </w:t>
      </w:r>
      <w:r>
        <w:rPr>
          <w:rFonts w:ascii="Arial" w:cs="Arial" w:eastAsia="Arial" w:hAnsi="Arial"/>
          <w:sz w:val="19"/>
          <w:szCs w:val="19"/>
          <w:u w:val="single" w:color="auto"/>
          <w:color w:val="auto"/>
        </w:rPr>
        <w:t>Number of Shares Available</w:t>
      </w:r>
      <w:r>
        <w:rPr>
          <w:rFonts w:ascii="Arial" w:cs="Arial" w:eastAsia="Arial" w:hAnsi="Arial"/>
          <w:sz w:val="19"/>
          <w:szCs w:val="19"/>
          <w:color w:val="auto"/>
        </w:rPr>
        <w:t>. Subject to Sections 2.6 and 21 and any other applicable provisions hereof, the total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reserved and available for grant and issuance pursuant to this Plan as of the date of adoption of the Plan by the Board is 28,824,070 Shares plus (a) any reserved shares not issued or subject to outstanding grants under the Company’s 2017 Stock Incentive Plan (the “</w:t>
      </w:r>
      <w:r>
        <w:rPr>
          <w:rFonts w:ascii="Arial" w:cs="Arial" w:eastAsia="Arial" w:hAnsi="Arial"/>
          <w:sz w:val="19"/>
          <w:szCs w:val="19"/>
          <w:b w:val="1"/>
          <w:bCs w:val="1"/>
          <w:i w:val="1"/>
          <w:i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on the Effective Date (determined after giving effect to the conversion of the Class B Common Stock pursuant to the Mandatory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Conversion Notice under the Company Organizational Documents, in each case within the meaning of the Business Combination Agreement),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1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2.2. </w:t>
      </w:r>
      <w:r>
        <w:rPr>
          <w:rFonts w:ascii="Arial" w:cs="Arial" w:eastAsia="Arial" w:hAnsi="Arial"/>
          <w:sz w:val="19"/>
          <w:szCs w:val="19"/>
          <w:u w:val="single" w:color="auto"/>
          <w:color w:val="auto"/>
        </w:rPr>
        <w:t>Lapsed, Returned Awards</w:t>
      </w:r>
      <w:r>
        <w:rPr>
          <w:rFonts w:ascii="Arial" w:cs="Arial" w:eastAsia="Arial" w:hAnsi="Arial"/>
          <w:sz w:val="19"/>
          <w:szCs w:val="19"/>
          <w:color w:val="auto"/>
        </w:rPr>
        <w:t>. Shares subject to Awards, and Shares issued under the Plan under any Award, will again be</w:t>
      </w:r>
      <w:r>
        <w:rPr>
          <w:rFonts w:ascii="Arial" w:cs="Arial" w:eastAsia="Arial" w:hAnsi="Arial"/>
          <w:sz w:val="19"/>
          <w:szCs w:val="19"/>
          <w:b w:val="1"/>
          <w:bCs w:val="1"/>
          <w:color w:val="auto"/>
        </w:rPr>
        <w:t xml:space="preserve"> </w:t>
      </w:r>
      <w:r>
        <w:rPr>
          <w:rFonts w:ascii="Arial" w:cs="Arial" w:eastAsia="Arial" w:hAnsi="Arial"/>
          <w:sz w:val="19"/>
          <w:szCs w:val="19"/>
          <w:color w:val="auto"/>
        </w:rPr>
        <w:t>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2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2.3. </w:t>
      </w:r>
      <w:r>
        <w:rPr>
          <w:rFonts w:ascii="Arial" w:cs="Arial" w:eastAsia="Arial" w:hAnsi="Arial"/>
          <w:sz w:val="20"/>
          <w:szCs w:val="20"/>
          <w:u w:val="single" w:color="auto"/>
          <w:color w:val="auto"/>
        </w:rPr>
        <w:t>Minimum Share Reserve</w:t>
      </w:r>
      <w:r>
        <w:rPr>
          <w:rFonts w:ascii="Arial" w:cs="Arial" w:eastAsia="Arial" w:hAnsi="Arial"/>
          <w:sz w:val="20"/>
          <w:szCs w:val="20"/>
          <w:color w:val="auto"/>
        </w:rPr>
        <w:t>. At all times the Company shall reserve and keep available a sufficient number of Shares as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required to satisfy the requirements of all outstanding Awards granted under this Plan.</w:t>
      </w:r>
    </w:p>
    <w:p>
      <w:pPr>
        <w:spacing w:after="0" w:line="1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2.4. </w:t>
      </w:r>
      <w:r>
        <w:rPr>
          <w:rFonts w:ascii="Arial" w:cs="Arial" w:eastAsia="Arial" w:hAnsi="Arial"/>
          <w:sz w:val="20"/>
          <w:szCs w:val="20"/>
          <w:u w:val="single" w:color="auto"/>
          <w:color w:val="auto"/>
        </w:rPr>
        <w:t>Automatic Share Reserve Increase</w:t>
      </w:r>
      <w:r>
        <w:rPr>
          <w:rFonts w:ascii="Arial" w:cs="Arial" w:eastAsia="Arial" w:hAnsi="Arial"/>
          <w:sz w:val="20"/>
          <w:szCs w:val="20"/>
          <w:color w:val="auto"/>
        </w:rPr>
        <w:t>. The number of Shares available for grant and issuance under the Plan shall be increased on</w:t>
      </w:r>
      <w:r>
        <w:rPr>
          <w:rFonts w:ascii="Arial" w:cs="Arial" w:eastAsia="Arial" w:hAnsi="Arial"/>
          <w:sz w:val="20"/>
          <w:szCs w:val="20"/>
          <w:b w:val="1"/>
          <w:bCs w:val="1"/>
          <w:color w:val="auto"/>
        </w:rPr>
        <w:t xml:space="preserve"> </w:t>
      </w:r>
      <w:r>
        <w:rPr>
          <w:rFonts w:ascii="Arial" w:cs="Arial" w:eastAsia="Arial" w:hAnsi="Arial"/>
          <w:sz w:val="20"/>
          <w:szCs w:val="20"/>
          <w:color w:val="auto"/>
        </w:rPr>
        <w:t>January 1 of each of 2022 through 2031, by the lesser of (a) five percent (5%) of the total number of shares of all classes of the Company’s common stock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74" w:lineRule="auto"/>
        <w:rPr>
          <w:sz w:val="20"/>
          <w:szCs w:val="20"/>
          <w:color w:val="auto"/>
        </w:rPr>
      </w:pPr>
      <w:r>
        <w:rPr>
          <w:rFonts w:ascii="Arial" w:cs="Arial" w:eastAsia="Arial" w:hAnsi="Arial"/>
          <w:sz w:val="20"/>
          <w:szCs w:val="20"/>
          <w:color w:val="auto"/>
        </w:rPr>
        <w:t>and outstanding on the immediately preceding December 31 (rounded down to the nearest whole share), or (b) such lesser number of shares determined by the Board.</w:t>
      </w:r>
    </w:p>
    <w:p>
      <w:pPr>
        <w:spacing w:after="0" w:line="10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6"/>
          <w:szCs w:val="16"/>
          <w:u w:val="single" w:color="auto"/>
          <w:color w:val="auto"/>
        </w:rPr>
        <w:t>ISO Limitation</w:t>
      </w:r>
      <w:r>
        <w:rPr>
          <w:rFonts w:ascii="Arial" w:cs="Arial" w:eastAsia="Arial" w:hAnsi="Arial"/>
          <w:sz w:val="16"/>
          <w:szCs w:val="16"/>
          <w:color w:val="auto"/>
        </w:rPr>
        <w:t>. No more than 86,472,210 Shares shall be issued pursuant to the exercise of ISOs.</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u w:val="single" w:color="auto"/>
          <w:color w:val="auto"/>
        </w:rPr>
        <w:t>Adjustment of Shares</w:t>
      </w:r>
      <w:r>
        <w:rPr>
          <w:rFonts w:ascii="Arial" w:cs="Arial" w:eastAsia="Arial" w:hAnsi="Arial"/>
          <w:sz w:val="18"/>
          <w:szCs w:val="18"/>
          <w:color w:val="auto"/>
        </w:rPr>
        <w:t>. If the number or class of outstanding Shares are changed by a stock dividend, extraordinary dividend or</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(whether in cash, shares or other property, other than a regular cash dividend), spin-off, recapitalization, stock split, reverse stock split, subdivision, combination, consolidation, reclassification or similar change in the capital structure of the Company, without</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consideration, then (a) the number and class of Shares reserved for issuance and future grant under the Plan set forth in Section 2.1, </w:t>
      </w:r>
      <w:r>
        <w:rPr>
          <w:rFonts w:ascii="Arial" w:cs="Arial" w:eastAsia="Arial" w:hAnsi="Arial"/>
          <w:sz w:val="19"/>
          <w:szCs w:val="19"/>
          <w:color w:val="auto"/>
        </w:rPr>
        <w:t>i</w:t>
      </w:r>
      <w:r>
        <w:rPr>
          <w:rFonts w:ascii="Arial" w:cs="Arial" w:eastAsia="Arial" w:hAnsi="Arial"/>
          <w:sz w:val="18"/>
          <w:szCs w:val="18"/>
          <w:color w:val="auto"/>
        </w:rPr>
        <w:t>ncluding Shares reserved under sub-clauses (a)-(e) 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20" w:lineRule="exact"/>
        <w:rPr>
          <w:sz w:val="20"/>
          <w:szCs w:val="20"/>
          <w:color w:val="auto"/>
        </w:rPr>
      </w:pPr>
    </w:p>
    <w:p>
      <w:pPr>
        <w:jc w:val="both"/>
        <w:ind w:firstLine="8"/>
        <w:spacing w:after="0" w:line="295" w:lineRule="auto"/>
        <w:tabs>
          <w:tab w:leader="none" w:pos="38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ISOs may be granted only to Employees. All other Awards may be granted to Employees, Consultants,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Non-Employee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89" w:lineRule="exact"/>
        <w:rPr>
          <w:rFonts w:ascii="Arial" w:cs="Arial" w:eastAsia="Arial" w:hAnsi="Arial"/>
          <w:sz w:val="18"/>
          <w:szCs w:val="18"/>
          <w:b w:val="1"/>
          <w:bCs w:val="1"/>
          <w:color w:val="auto"/>
        </w:rPr>
      </w:pPr>
    </w:p>
    <w:p>
      <w:pPr>
        <w:ind w:left="360" w:hanging="352"/>
        <w:spacing w:after="0"/>
        <w:tabs>
          <w:tab w:leader="none" w:pos="36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w:t>
      </w:r>
      <w:r>
        <w:rPr>
          <w:rFonts w:ascii="Arial" w:cs="Arial" w:eastAsia="Arial" w:hAnsi="Arial"/>
          <w:sz w:val="20"/>
          <w:szCs w:val="20"/>
          <w:color w:val="auto"/>
        </w:rPr>
        <w:t>.</w:t>
      </w:r>
    </w:p>
    <w:p>
      <w:pPr>
        <w:spacing w:after="0" w:line="175"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20"/>
          <w:szCs w:val="20"/>
          <w:b w:val="1"/>
          <w:bCs w:val="1"/>
          <w:color w:val="auto"/>
        </w:rPr>
        <w:t xml:space="preserve">4.1. </w:t>
      </w:r>
      <w:r>
        <w:rPr>
          <w:rFonts w:ascii="Arial" w:cs="Arial" w:eastAsia="Arial" w:hAnsi="Arial"/>
          <w:sz w:val="20"/>
          <w:szCs w:val="20"/>
          <w:u w:val="single" w:color="auto"/>
          <w:color w:val="auto"/>
        </w:rPr>
        <w:t>Committee Composition; Authority</w:t>
      </w:r>
      <w:r>
        <w:rPr>
          <w:rFonts w:ascii="Arial" w:cs="Arial" w:eastAsia="Arial" w:hAnsi="Arial"/>
          <w:sz w:val="20"/>
          <w:szCs w:val="20"/>
          <w:color w:val="auto"/>
        </w:rPr>
        <w:t>. This Plan will be administered by the Committee or by the Board acting as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Subject 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24" w:lineRule="exact"/>
        <w:rPr>
          <w:sz w:val="20"/>
          <w:szCs w:val="20"/>
          <w:color w:val="auto"/>
        </w:rPr>
      </w:pPr>
    </w:p>
    <w:p>
      <w:pPr>
        <w:ind w:left="1740" w:hanging="436"/>
        <w:spacing w:after="0"/>
        <w:tabs>
          <w:tab w:leader="none" w:pos="1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construe and interpret this Plan, any Award Agreement and any other agreement or document executed pursuant to this</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154" w:lineRule="exact"/>
        <w:rPr>
          <w:sz w:val="20"/>
          <w:szCs w:val="20"/>
          <w:color w:val="auto"/>
        </w:rPr>
      </w:pPr>
    </w:p>
    <w:p>
      <w:pPr>
        <w:ind w:left="1740" w:hanging="436"/>
        <w:spacing w:after="0"/>
        <w:tabs>
          <w:tab w:leader="none" w:pos="17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prescribe, amend and rescind rules and regulations relating to this Plan or any Award;</w:t>
      </w:r>
    </w:p>
    <w:p>
      <w:pPr>
        <w:spacing w:after="0" w:line="175" w:lineRule="exact"/>
        <w:rPr>
          <w:rFonts w:ascii="Arial" w:cs="Arial" w:eastAsia="Arial" w:hAnsi="Arial"/>
          <w:sz w:val="20"/>
          <w:szCs w:val="20"/>
          <w:color w:val="auto"/>
        </w:rPr>
      </w:pPr>
    </w:p>
    <w:p>
      <w:pPr>
        <w:ind w:left="1720" w:hanging="416"/>
        <w:spacing w:after="0"/>
        <w:tabs>
          <w:tab w:leader="none" w:pos="17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select persons to receive Awards;</w:t>
      </w:r>
    </w:p>
    <w:p>
      <w:pPr>
        <w:spacing w:after="0" w:line="175" w:lineRule="exact"/>
        <w:rPr>
          <w:rFonts w:ascii="Arial" w:cs="Arial" w:eastAsia="Arial" w:hAnsi="Arial"/>
          <w:sz w:val="20"/>
          <w:szCs w:val="20"/>
          <w:color w:val="auto"/>
        </w:rPr>
      </w:pPr>
    </w:p>
    <w:p>
      <w:pPr>
        <w:jc w:val="both"/>
        <w:ind w:firstLine="1304"/>
        <w:spacing w:after="0" w:line="268" w:lineRule="auto"/>
        <w:tabs>
          <w:tab w:leader="none" w:pos="1852" w:val="left"/>
        </w:tabs>
        <w:numPr>
          <w:ilvl w:val="0"/>
          <w:numId w:val="7"/>
        </w:numPr>
        <w:rPr>
          <w:rFonts w:ascii="Arial" w:cs="Arial" w:eastAsia="Arial" w:hAnsi="Arial"/>
          <w:sz w:val="19"/>
          <w:szCs w:val="19"/>
          <w:color w:val="auto"/>
        </w:rPr>
      </w:pPr>
      <w:r>
        <w:rPr>
          <w:rFonts w:ascii="Arial" w:cs="Arial" w:eastAsia="Arial" w:hAnsi="Arial"/>
          <w:sz w:val="19"/>
          <w:szCs w:val="19"/>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9"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regarding any Award or the Shares relating thereto, based in each case on such factors as the Committee will determine;</w:t>
      </w:r>
    </w:p>
    <w:p>
      <w:pPr>
        <w:spacing w:after="0" w:line="175" w:lineRule="exact"/>
        <w:rPr>
          <w:sz w:val="20"/>
          <w:szCs w:val="20"/>
          <w:color w:val="auto"/>
        </w:rPr>
      </w:pPr>
    </w:p>
    <w:p>
      <w:pPr>
        <w:ind w:left="1720" w:hanging="416"/>
        <w:spacing w:after="0"/>
        <w:tabs>
          <w:tab w:leader="none" w:pos="172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determine the number of Shares or other consideration subject to Awards;</w:t>
      </w:r>
    </w:p>
    <w:p>
      <w:pPr>
        <w:spacing w:after="0" w:line="161" w:lineRule="exact"/>
        <w:rPr>
          <w:rFonts w:ascii="Arial" w:cs="Arial" w:eastAsia="Arial" w:hAnsi="Arial"/>
          <w:sz w:val="20"/>
          <w:szCs w:val="20"/>
          <w:color w:val="auto"/>
        </w:rPr>
      </w:pPr>
    </w:p>
    <w:p>
      <w:pPr>
        <w:ind w:firstLine="1304"/>
        <w:spacing w:after="0" w:line="274" w:lineRule="auto"/>
        <w:tabs>
          <w:tab w:leader="none" w:pos="1729"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09" w:lineRule="exact"/>
        <w:rPr>
          <w:rFonts w:ascii="Arial" w:cs="Arial" w:eastAsia="Arial" w:hAnsi="Arial"/>
          <w:sz w:val="20"/>
          <w:szCs w:val="20"/>
          <w:color w:val="auto"/>
        </w:rPr>
      </w:pPr>
    </w:p>
    <w:p>
      <w:pPr>
        <w:jc w:val="both"/>
        <w:ind w:right="20" w:firstLine="1304"/>
        <w:spacing w:after="0" w:line="264" w:lineRule="auto"/>
        <w:tabs>
          <w:tab w:leader="none" w:pos="1853"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18" w:lineRule="exact"/>
        <w:rPr>
          <w:rFonts w:ascii="Arial" w:cs="Arial" w:eastAsia="Arial" w:hAnsi="Arial"/>
          <w:sz w:val="20"/>
          <w:szCs w:val="20"/>
          <w:color w:val="auto"/>
        </w:rPr>
      </w:pPr>
    </w:p>
    <w:p>
      <w:pPr>
        <w:ind w:left="1740" w:hanging="436"/>
        <w:spacing w:after="0"/>
        <w:tabs>
          <w:tab w:leader="none" w:pos="1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grant waivers of Plan or Award conditions;</w:t>
      </w:r>
    </w:p>
    <w:p>
      <w:pPr>
        <w:spacing w:after="0" w:line="175" w:lineRule="exact"/>
        <w:rPr>
          <w:rFonts w:ascii="Arial" w:cs="Arial" w:eastAsia="Arial" w:hAnsi="Arial"/>
          <w:sz w:val="20"/>
          <w:szCs w:val="20"/>
          <w:color w:val="auto"/>
        </w:rPr>
      </w:pPr>
    </w:p>
    <w:p>
      <w:pPr>
        <w:ind w:left="1680" w:hanging="376"/>
        <w:spacing w:after="0"/>
        <w:tabs>
          <w:tab w:leader="none" w:pos="1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determine the vesting, exercisability and payment of Awards;</w:t>
      </w:r>
    </w:p>
    <w:p>
      <w:pPr>
        <w:spacing w:after="0" w:line="161" w:lineRule="exact"/>
        <w:rPr>
          <w:rFonts w:ascii="Arial" w:cs="Arial" w:eastAsia="Arial" w:hAnsi="Arial"/>
          <w:sz w:val="20"/>
          <w:szCs w:val="20"/>
          <w:color w:val="auto"/>
        </w:rPr>
      </w:pPr>
    </w:p>
    <w:p>
      <w:pPr>
        <w:ind w:left="1860" w:hanging="556"/>
        <w:spacing w:after="0"/>
        <w:tabs>
          <w:tab w:leader="none" w:pos="186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correct any defect, supply any omission or reconcile any inconsistency in this Plan, any Award or any Award</w:t>
      </w:r>
    </w:p>
    <w:p>
      <w:pPr>
        <w:spacing w:after="0" w:line="3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67" w:lineRule="exact"/>
        <w:rPr>
          <w:rFonts w:ascii="Arial" w:cs="Arial" w:eastAsia="Arial" w:hAnsi="Arial"/>
          <w:sz w:val="19"/>
          <w:szCs w:val="19"/>
          <w:color w:val="auto"/>
        </w:rPr>
      </w:pPr>
    </w:p>
    <w:p>
      <w:pPr>
        <w:ind w:left="1740" w:hanging="436"/>
        <w:spacing w:after="0"/>
        <w:tabs>
          <w:tab w:leader="none" w:pos="1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determine whether an Award has been earned or has vested;</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8"/>
        </w:numPr>
        <w:rPr>
          <w:rFonts w:ascii="Arial" w:cs="Arial" w:eastAsia="Arial" w:hAnsi="Arial"/>
          <w:sz w:val="20"/>
          <w:szCs w:val="20"/>
          <w:color w:val="auto"/>
        </w:rPr>
      </w:pPr>
      <w:r>
        <w:rPr>
          <w:rFonts w:ascii="Arial" w:cs="Arial" w:eastAsia="Arial" w:hAnsi="Arial"/>
          <w:sz w:val="20"/>
          <w:szCs w:val="20"/>
          <w:color w:val="auto"/>
        </w:rPr>
        <w:t>determine the terms and conditions of any, and to institute any Exchange Program;</w:t>
      </w:r>
    </w:p>
    <w:p>
      <w:pPr>
        <w:spacing w:after="0" w:line="175" w:lineRule="exact"/>
        <w:rPr>
          <w:rFonts w:ascii="Arial" w:cs="Arial" w:eastAsia="Arial" w:hAnsi="Arial"/>
          <w:sz w:val="20"/>
          <w:szCs w:val="20"/>
          <w:color w:val="auto"/>
        </w:rPr>
      </w:pPr>
    </w:p>
    <w:p>
      <w:pPr>
        <w:ind w:left="1780" w:hanging="476"/>
        <w:spacing w:after="0"/>
        <w:tabs>
          <w:tab w:leader="none" w:pos="17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reduce or modify any criteria with respect to Performance Factors;</w:t>
      </w:r>
    </w:p>
    <w:p>
      <w:pPr>
        <w:spacing w:after="0" w:line="161" w:lineRule="exact"/>
        <w:rPr>
          <w:rFonts w:ascii="Arial" w:cs="Arial" w:eastAsia="Arial" w:hAnsi="Arial"/>
          <w:sz w:val="20"/>
          <w:szCs w:val="20"/>
          <w:color w:val="auto"/>
        </w:rPr>
      </w:pPr>
    </w:p>
    <w:p>
      <w:pPr>
        <w:ind w:firstLine="1304"/>
        <w:spacing w:after="0" w:line="332" w:lineRule="auto"/>
        <w:tabs>
          <w:tab w:leader="none" w:pos="1783"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75" w:lineRule="exact"/>
        <w:rPr>
          <w:rFonts w:ascii="Arial" w:cs="Arial" w:eastAsia="Arial" w:hAnsi="Arial"/>
          <w:sz w:val="18"/>
          <w:szCs w:val="18"/>
          <w:color w:val="auto"/>
        </w:rPr>
      </w:pPr>
    </w:p>
    <w:p>
      <w:pPr>
        <w:jc w:val="both"/>
        <w:ind w:firstLine="1304"/>
        <w:spacing w:after="0" w:line="257" w:lineRule="auto"/>
        <w:tabs>
          <w:tab w:leader="none" w:pos="1812" w:val="left"/>
        </w:tabs>
        <w:numPr>
          <w:ilvl w:val="0"/>
          <w:numId w:val="8"/>
        </w:numPr>
        <w:rPr>
          <w:rFonts w:ascii="Arial" w:cs="Arial" w:eastAsia="Arial" w:hAnsi="Arial"/>
          <w:sz w:val="20"/>
          <w:szCs w:val="20"/>
          <w:color w:val="auto"/>
        </w:rPr>
      </w:pPr>
      <w:r>
        <w:rPr>
          <w:rFonts w:ascii="Arial" w:cs="Arial" w:eastAsia="Arial" w:hAnsi="Arial"/>
          <w:sz w:val="20"/>
          <w:szCs w:val="20"/>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5" w:lineRule="exact"/>
        <w:rPr>
          <w:rFonts w:ascii="Arial" w:cs="Arial" w:eastAsia="Arial" w:hAnsi="Arial"/>
          <w:sz w:val="20"/>
          <w:szCs w:val="20"/>
          <w:color w:val="auto"/>
        </w:rPr>
      </w:pPr>
    </w:p>
    <w:p>
      <w:pPr>
        <w:ind w:left="1740" w:hanging="436"/>
        <w:spacing w:after="0"/>
        <w:tabs>
          <w:tab w:leader="none" w:pos="1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exercise discretion with respect to Performance Awards;</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8"/>
        </w:numPr>
        <w:rPr>
          <w:rFonts w:ascii="Arial" w:cs="Arial" w:eastAsia="Arial" w:hAnsi="Arial"/>
          <w:sz w:val="20"/>
          <w:szCs w:val="20"/>
          <w:color w:val="auto"/>
        </w:rPr>
      </w:pPr>
      <w:r>
        <w:rPr>
          <w:rFonts w:ascii="Arial" w:cs="Arial" w:eastAsia="Arial" w:hAnsi="Arial"/>
          <w:sz w:val="20"/>
          <w:szCs w:val="20"/>
          <w:color w:val="auto"/>
        </w:rPr>
        <w:t>make all other determinations necessary or advisable for the administration of this Plan; and</w:t>
      </w:r>
    </w:p>
    <w:p>
      <w:pPr>
        <w:spacing w:after="0" w:line="161" w:lineRule="exact"/>
        <w:rPr>
          <w:rFonts w:ascii="Arial" w:cs="Arial" w:eastAsia="Arial" w:hAnsi="Arial"/>
          <w:sz w:val="20"/>
          <w:szCs w:val="20"/>
          <w:color w:val="auto"/>
        </w:rPr>
      </w:pPr>
    </w:p>
    <w:p>
      <w:pPr>
        <w:ind w:firstLine="1304"/>
        <w:spacing w:after="0" w:line="274" w:lineRule="auto"/>
        <w:tabs>
          <w:tab w:leader="none" w:pos="1694" w:val="left"/>
        </w:tabs>
        <w:numPr>
          <w:ilvl w:val="0"/>
          <w:numId w:val="8"/>
        </w:numPr>
        <w:rPr>
          <w:rFonts w:ascii="Arial" w:cs="Arial" w:eastAsia="Arial" w:hAnsi="Arial"/>
          <w:sz w:val="20"/>
          <w:szCs w:val="20"/>
          <w:color w:val="auto"/>
        </w:rPr>
      </w:pPr>
      <w:r>
        <w:rPr>
          <w:rFonts w:ascii="Arial" w:cs="Arial" w:eastAsia="Arial" w:hAnsi="Arial"/>
          <w:sz w:val="20"/>
          <w:szCs w:val="20"/>
          <w:color w:val="auto"/>
        </w:rPr>
        <w:t>delegate any of the foregoing to a subcommittee or to one or more officers pursuant to a specific delegation as permitted by applicable law, including Section 157(c) of the Delaware General Corporation Law.</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Committee Interpretation and Discretion</w:t>
      </w:r>
      <w:r>
        <w:rPr>
          <w:rFonts w:ascii="Arial" w:cs="Arial" w:eastAsia="Arial" w:hAnsi="Arial"/>
          <w:sz w:val="18"/>
          <w:szCs w:val="18"/>
          <w:color w:val="auto"/>
        </w:rPr>
        <w:t>. Any determination made by the Committee with respect to any Award shall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in its sole 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9"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color w:val="auto"/>
        </w:rPr>
        <w:t>Participants who are not Insiders, and such resolution shall be final and binding on the Company and the Participant.</w:t>
      </w:r>
    </w:p>
    <w:p>
      <w:pPr>
        <w:spacing w:after="0" w:line="169"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u w:val="single" w:color="auto"/>
          <w:color w:val="auto"/>
        </w:rPr>
        <w:t>Section 16 of the Exchange Act</w:t>
      </w:r>
      <w:r>
        <w:rPr>
          <w:rFonts w:ascii="Arial" w:cs="Arial" w:eastAsia="Arial" w:hAnsi="Arial"/>
          <w:sz w:val="18"/>
          <w:szCs w:val="18"/>
          <w:color w:val="auto"/>
        </w:rPr>
        <w:t>. Awards granted to Participants who are subject to Section 16 of the Exchange Act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two or more “non-employee directors” (as defined in the regulations promulgated under Section 16 of the Exchange Act).</w:t>
      </w:r>
    </w:p>
    <w:p>
      <w:pPr>
        <w:spacing w:after="0" w:line="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color w:val="auto"/>
        </w:rPr>
        <w:t xml:space="preserve">4.4. </w:t>
      </w:r>
      <w:r>
        <w:rPr>
          <w:rFonts w:ascii="Arial" w:cs="Arial" w:eastAsia="Arial" w:hAnsi="Arial"/>
          <w:sz w:val="20"/>
          <w:szCs w:val="20"/>
          <w:u w:val="single" w:color="auto"/>
          <w:color w:val="auto"/>
        </w:rPr>
        <w:t>Documentation</w:t>
      </w:r>
      <w:r>
        <w:rPr>
          <w:rFonts w:ascii="Arial" w:cs="Arial" w:eastAsia="Arial" w:hAnsi="Arial"/>
          <w:sz w:val="20"/>
          <w:szCs w:val="20"/>
          <w:color w:val="auto"/>
        </w:rPr>
        <w:t>. The Award Agreement for a given Award, the Plan and any other documents may be delivered to, and</w:t>
      </w:r>
      <w:r>
        <w:rPr>
          <w:rFonts w:ascii="Arial" w:cs="Arial" w:eastAsia="Arial" w:hAnsi="Arial"/>
          <w:sz w:val="20"/>
          <w:szCs w:val="20"/>
          <w:b w:val="1"/>
          <w:bCs w:val="1"/>
          <w:color w:val="auto"/>
        </w:rPr>
        <w:t xml:space="preserve"> </w:t>
      </w:r>
      <w:r>
        <w:rPr>
          <w:rFonts w:ascii="Arial" w:cs="Arial" w:eastAsia="Arial" w:hAnsi="Arial"/>
          <w:sz w:val="20"/>
          <w:szCs w:val="20"/>
          <w:color w:val="auto"/>
        </w:rPr>
        <w:t>accepted by, a Participant or any other person in any manner (including electronic distribution or posting) that meets applicable legal requirements.</w:t>
      </w:r>
    </w:p>
    <w:p>
      <w:pPr>
        <w:spacing w:after="0" w:line="13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and</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in 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315" w:lineRule="exact"/>
        <w:rPr>
          <w:sz w:val="20"/>
          <w:szCs w:val="20"/>
          <w:color w:val="auto"/>
        </w:rPr>
      </w:pPr>
    </w:p>
    <w:p>
      <w:pPr>
        <w:jc w:val="both"/>
        <w:ind w:firstLine="8"/>
        <w:spacing w:after="0" w:line="256" w:lineRule="auto"/>
        <w:tabs>
          <w:tab w:leader="none" w:pos="387"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OPTIONS</w:t>
      </w:r>
      <w:r>
        <w:rPr>
          <w:rFonts w:ascii="Arial" w:cs="Arial" w:eastAsia="Arial" w:hAnsi="Arial"/>
          <w:sz w:val="20"/>
          <w:szCs w:val="20"/>
          <w:color w:val="auto"/>
        </w:rPr>
        <w:t>. An Option is the right but not the obligation to purchase a Share, subject to certain conditions. The Committee may grant</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to eligible Employees, Consultants and Directors and will determine whether such Options will be Incentive Stock Options within the meaning of the Code (“</w:t>
      </w:r>
      <w:r>
        <w:rPr>
          <w:rFonts w:ascii="Arial" w:cs="Arial" w:eastAsia="Arial" w:hAnsi="Arial"/>
          <w:sz w:val="20"/>
          <w:szCs w:val="20"/>
          <w:b w:val="1"/>
          <w:bCs w:val="1"/>
          <w:i w:val="1"/>
          <w:iCs w:val="1"/>
          <w:color w:val="auto"/>
        </w:rPr>
        <w:t>ISOs</w:t>
      </w:r>
      <w:r>
        <w:rPr>
          <w:rFonts w:ascii="Arial" w:cs="Arial" w:eastAsia="Arial" w:hAnsi="Arial"/>
          <w:sz w:val="20"/>
          <w:szCs w:val="20"/>
          <w:color w:val="auto"/>
        </w:rPr>
        <w:t>”) or Nonqualified Stock Options (“</w:t>
      </w:r>
      <w:r>
        <w:rPr>
          <w:rFonts w:ascii="Arial" w:cs="Arial" w:eastAsia="Arial" w:hAnsi="Arial"/>
          <w:sz w:val="20"/>
          <w:szCs w:val="20"/>
          <w:b w:val="1"/>
          <w:bCs w:val="1"/>
          <w:i w:val="1"/>
          <w:iCs w:val="1"/>
          <w:color w:val="auto"/>
        </w:rPr>
        <w:t>NSOs</w:t>
      </w:r>
      <w:r>
        <w:rPr>
          <w:rFonts w:ascii="Arial" w:cs="Arial" w:eastAsia="Arial" w:hAnsi="Arial"/>
          <w:sz w:val="20"/>
          <w:szCs w:val="20"/>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2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 xml:space="preserve">5.1. </w:t>
      </w:r>
      <w:r>
        <w:rPr>
          <w:rFonts w:ascii="Arial" w:cs="Arial" w:eastAsia="Arial" w:hAnsi="Arial"/>
          <w:sz w:val="19"/>
          <w:szCs w:val="19"/>
          <w:u w:val="single" w:color="auto"/>
          <w:color w:val="auto"/>
        </w:rPr>
        <w:t>Option Grant</w:t>
      </w:r>
      <w:r>
        <w:rPr>
          <w:rFonts w:ascii="Arial" w:cs="Arial" w:eastAsia="Arial" w:hAnsi="Arial"/>
          <w:sz w:val="19"/>
          <w:szCs w:val="19"/>
          <w:color w:val="auto"/>
        </w:rPr>
        <w:t>. Each Option granted under this Plan will identify the Option as an ISO or an NSO. An Option may be, but need</w:t>
      </w:r>
      <w:r>
        <w:rPr>
          <w:rFonts w:ascii="Arial" w:cs="Arial" w:eastAsia="Arial" w:hAnsi="Arial"/>
          <w:sz w:val="19"/>
          <w:szCs w:val="19"/>
          <w:b w:val="1"/>
          <w:bCs w:val="1"/>
          <w:color w:val="auto"/>
        </w:rPr>
        <w:t xml:space="preserve"> </w:t>
      </w:r>
      <w:r>
        <w:rPr>
          <w:rFonts w:ascii="Arial" w:cs="Arial" w:eastAsia="Arial" w:hAnsi="Arial"/>
          <w:sz w:val="19"/>
          <w:szCs w:val="19"/>
          <w:color w:val="auto"/>
        </w:rPr>
        <w:t>not be, 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2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5.2. </w:t>
      </w:r>
      <w:r>
        <w:rPr>
          <w:rFonts w:ascii="Arial" w:cs="Arial" w:eastAsia="Arial" w:hAnsi="Arial"/>
          <w:sz w:val="20"/>
          <w:szCs w:val="20"/>
          <w:u w:val="single" w:color="auto"/>
          <w:color w:val="auto"/>
        </w:rPr>
        <w:t>Date of Grant</w:t>
      </w:r>
      <w:r>
        <w:rPr>
          <w:rFonts w:ascii="Arial" w:cs="Arial" w:eastAsia="Arial" w:hAnsi="Arial"/>
          <w:sz w:val="20"/>
          <w:szCs w:val="20"/>
          <w:color w:val="auto"/>
        </w:rPr>
        <w:t>. The date of grant of an Option will be the date on which the Committee makes the determination to grant such</w:t>
      </w:r>
      <w:r>
        <w:rPr>
          <w:rFonts w:ascii="Arial" w:cs="Arial" w:eastAsia="Arial" w:hAnsi="Arial"/>
          <w:sz w:val="20"/>
          <w:szCs w:val="20"/>
          <w:b w:val="1"/>
          <w:bCs w:val="1"/>
          <w:color w:val="auto"/>
        </w:rPr>
        <w:t xml:space="preserve"> </w:t>
      </w:r>
      <w:r>
        <w:rPr>
          <w:rFonts w:ascii="Arial" w:cs="Arial" w:eastAsia="Arial" w:hAnsi="Arial"/>
          <w:sz w:val="20"/>
          <w:szCs w:val="20"/>
          <w:color w:val="auto"/>
        </w:rPr>
        <w:t>Option, or a specified future date. The Award Agreement will be delivered to the Participant within a reasonable time after the granting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9" w:right="339" w:bottom="1440" w:gutter="0" w:footer="0" w:header="0"/>
        </w:sectPr>
      </w:pPr>
    </w:p>
    <w:bookmarkStart w:id="15" w:name="page16"/>
    <w:bookmarkEnd w:id="15"/>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5.3. </w:t>
      </w:r>
      <w:r>
        <w:rPr>
          <w:rFonts w:ascii="Arial" w:cs="Arial" w:eastAsia="Arial" w:hAnsi="Arial"/>
          <w:sz w:val="20"/>
          <w:szCs w:val="20"/>
          <w:u w:val="single" w:color="auto"/>
          <w:color w:val="auto"/>
        </w:rPr>
        <w:t>Exercise Period</w:t>
      </w:r>
      <w:r>
        <w:rPr>
          <w:rFonts w:ascii="Arial" w:cs="Arial" w:eastAsia="Arial" w:hAnsi="Arial"/>
          <w:sz w:val="20"/>
          <w:szCs w:val="20"/>
          <w:color w:val="auto"/>
        </w:rPr>
        <w:t>. Options may be vested and exercisable within the times or upon the conditions as set forth in the Award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Agreement governing such Option;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 Option will be exercisable after the expiration of ten (10) years from the date the Option is granted; and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Arial" w:cs="Arial" w:eastAsia="Arial" w:hAnsi="Arial"/>
          <w:sz w:val="20"/>
          <w:szCs w:val="20"/>
          <w:b w:val="1"/>
          <w:bCs w:val="1"/>
          <w:i w:val="1"/>
          <w:iCs w:val="1"/>
          <w:color w:val="auto"/>
        </w:rPr>
        <w:t>Ten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Percent Stockholder</w:t>
      </w:r>
      <w:r>
        <w:rPr>
          <w:rFonts w:ascii="Arial" w:cs="Arial" w:eastAsia="Arial" w:hAnsi="Arial"/>
          <w:sz w:val="20"/>
          <w:szCs w:val="20"/>
          <w:color w:val="auto"/>
        </w:rPr>
        <w:t>”), will be exercisable after the expiration of five (5) years from the date the ISO is granted. The Committee also may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provide for Options to become exercisable at one time or from time to time, periodically or otherwise, in such number of Shares or percentage of Shares as the Committee determines.</w:t>
      </w:r>
    </w:p>
    <w:p>
      <w:pPr>
        <w:spacing w:after="0" w:line="1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of each Option will be determined by the Committee when the Option is granted; provided</w:t>
      </w:r>
    </w:p>
    <w:p>
      <w:pPr>
        <w:spacing w:after="0" w:line="26"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that: (a) the 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9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u w:val="single" w:color="auto"/>
          <w:color w:val="auto"/>
        </w:rPr>
        <w:t>Method of Exercise</w:t>
      </w:r>
      <w:r>
        <w:rPr>
          <w:rFonts w:ascii="Arial" w:cs="Arial" w:eastAsia="Arial" w:hAnsi="Arial"/>
          <w:sz w:val="18"/>
          <w:szCs w:val="18"/>
          <w:color w:val="auto"/>
        </w:rPr>
        <w:t>. Any Option granted hereunder will be vested and exercisable according to the terms of the Plan and at</w:t>
      </w:r>
      <w:r>
        <w:rPr>
          <w:rFonts w:ascii="Arial" w:cs="Arial" w:eastAsia="Arial" w:hAnsi="Arial"/>
          <w:sz w:val="18"/>
          <w:szCs w:val="18"/>
          <w:b w:val="1"/>
          <w:bCs w:val="1"/>
          <w:color w:val="auto"/>
        </w:rPr>
        <w:t xml:space="preserve"> </w:t>
      </w:r>
      <w:r>
        <w:rPr>
          <w:rFonts w:ascii="Arial" w:cs="Arial" w:eastAsia="Arial" w:hAnsi="Arial"/>
          <w:sz w:val="18"/>
          <w:szCs w:val="18"/>
          <w:color w:val="auto"/>
        </w:rPr>
        <w:t>such times 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 Shares thereafter available, both for purposes of the Plan and for sale under the Option, by the number of Shares as to which the Option is exercised.</w:t>
      </w:r>
    </w:p>
    <w:p>
      <w:pPr>
        <w:spacing w:after="0" w:line="11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a Participant’s Service terminates for any reason other than for Cause or because of the Participant’s</w:t>
      </w:r>
      <w:r>
        <w:rPr>
          <w:rFonts w:ascii="Arial" w:cs="Arial" w:eastAsia="Arial" w:hAnsi="Arial"/>
          <w:sz w:val="18"/>
          <w:szCs w:val="18"/>
          <w:b w:val="1"/>
          <w:bCs w:val="1"/>
          <w:color w:val="auto"/>
        </w:rPr>
        <w:t xml:space="preserve"> </w:t>
      </w:r>
      <w:r>
        <w:rPr>
          <w:rFonts w:ascii="Arial" w:cs="Arial" w:eastAsia="Arial" w:hAnsi="Arial"/>
          <w:sz w:val="18"/>
          <w:szCs w:val="18"/>
          <w:color w:val="auto"/>
        </w:rPr>
        <w:t>death, 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w:t>
      </w:r>
    </w:p>
    <w:p>
      <w:pPr>
        <w:spacing w:after="0" w:line="1" w:lineRule="exact"/>
        <w:rPr>
          <w:sz w:val="20"/>
          <w:szCs w:val="20"/>
          <w:color w:val="auto"/>
        </w:rPr>
      </w:pPr>
    </w:p>
    <w:p>
      <w:pPr>
        <w:ind w:firstLine="8"/>
        <w:spacing w:after="0" w:line="258" w:lineRule="auto"/>
        <w:tabs>
          <w:tab w:leader="none" w:pos="305" w:val="left"/>
        </w:tabs>
        <w:numPr>
          <w:ilvl w:val="0"/>
          <w:numId w:val="10"/>
        </w:numPr>
        <w:rPr>
          <w:rFonts w:ascii="Arial" w:cs="Arial" w:eastAsia="Arial" w:hAnsi="Arial"/>
          <w:sz w:val="20"/>
          <w:szCs w:val="20"/>
          <w:color w:val="auto"/>
        </w:rPr>
      </w:pPr>
      <w:r>
        <w:rPr>
          <w:rFonts w:ascii="Arial" w:cs="Arial" w:eastAsia="Arial" w:hAnsi="Arial"/>
          <w:sz w:val="20"/>
          <w:szCs w:val="20"/>
          <w:color w:val="auto"/>
        </w:rPr>
        <w:t>months after the date Participant’s employment terminates deemed to be the exercise of an NSO), but in any event no later than the expiration date of the Options, except as required by applicable law.</w:t>
      </w:r>
    </w:p>
    <w:p>
      <w:pPr>
        <w:spacing w:after="0" w:line="124" w:lineRule="exact"/>
        <w:rPr>
          <w:rFonts w:ascii="Arial" w:cs="Arial" w:eastAsia="Arial" w:hAnsi="Arial"/>
          <w:sz w:val="20"/>
          <w:szCs w:val="20"/>
          <w:color w:val="auto"/>
        </w:rPr>
      </w:pPr>
    </w:p>
    <w:p>
      <w:pPr>
        <w:jc w:val="both"/>
        <w:ind w:firstLine="1304"/>
        <w:spacing w:after="0" w:line="273" w:lineRule="auto"/>
        <w:tabs>
          <w:tab w:leader="none" w:pos="1767" w:val="left"/>
        </w:tabs>
        <w:numPr>
          <w:ilvl w:val="1"/>
          <w:numId w:val="10"/>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13" w:right="339" w:bottom="1440" w:gutter="0" w:footer="0" w:header="0"/>
        </w:sectPr>
      </w:pPr>
    </w:p>
    <w:bookmarkStart w:id="16" w:name="page17"/>
    <w:bookmarkEnd w:id="16"/>
    <w:p>
      <w:pPr>
        <w:spacing w:after="0" w:line="301" w:lineRule="auto"/>
        <w:rPr>
          <w:sz w:val="20"/>
          <w:szCs w:val="20"/>
          <w:color w:val="auto"/>
        </w:rPr>
      </w:pPr>
      <w:r>
        <w:rPr>
          <w:rFonts w:ascii="Arial" w:cs="Arial" w:eastAsia="Arial" w:hAnsi="Arial"/>
          <w:sz w:val="19"/>
          <w:szCs w:val="19"/>
          <w:color w:val="auto"/>
        </w:rPr>
        <w:t>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86" w:lineRule="exact"/>
        <w:rPr>
          <w:sz w:val="20"/>
          <w:szCs w:val="20"/>
          <w:color w:val="auto"/>
        </w:rPr>
      </w:pPr>
    </w:p>
    <w:p>
      <w:pPr>
        <w:jc w:val="both"/>
        <w:ind w:firstLine="1304"/>
        <w:spacing w:after="0" w:line="321" w:lineRule="auto"/>
        <w:tabs>
          <w:tab w:leader="none" w:pos="1792"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96" w:lineRule="exact"/>
        <w:rPr>
          <w:rFonts w:ascii="Arial" w:cs="Arial" w:eastAsia="Arial" w:hAnsi="Arial"/>
          <w:sz w:val="16"/>
          <w:szCs w:val="16"/>
          <w:color w:val="auto"/>
        </w:rPr>
      </w:pPr>
    </w:p>
    <w:p>
      <w:pPr>
        <w:jc w:val="both"/>
        <w:ind w:firstLine="1304"/>
        <w:spacing w:after="0" w:line="329" w:lineRule="auto"/>
        <w:tabs>
          <w:tab w:leader="none" w:pos="1916"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Retirement</w:t>
      </w:r>
      <w:r>
        <w:rPr>
          <w:rFonts w:ascii="Arial" w:cs="Arial" w:eastAsia="Arial" w:hAnsi="Arial"/>
          <w:sz w:val="16"/>
          <w:szCs w:val="16"/>
          <w:color w:val="auto"/>
        </w:rPr>
        <w:t>.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88" w:lineRule="exact"/>
        <w:rPr>
          <w:rFonts w:ascii="Arial" w:cs="Arial" w:eastAsia="Arial" w:hAnsi="Arial"/>
          <w:sz w:val="16"/>
          <w:szCs w:val="16"/>
          <w:color w:val="auto"/>
        </w:rPr>
      </w:pPr>
    </w:p>
    <w:p>
      <w:pPr>
        <w:jc w:val="both"/>
        <w:ind w:firstLine="1304"/>
        <w:spacing w:after="0" w:line="282" w:lineRule="auto"/>
        <w:tabs>
          <w:tab w:leader="none" w:pos="173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u w:val="single" w:color="auto"/>
          <w:color w:val="auto"/>
        </w:rPr>
        <w:t>Limitations on ISOs</w:t>
      </w:r>
      <w:r>
        <w:rPr>
          <w:rFonts w:ascii="Arial" w:cs="Arial" w:eastAsia="Arial" w:hAnsi="Arial"/>
          <w:sz w:val="18"/>
          <w:szCs w:val="18"/>
          <w:color w:val="auto"/>
        </w:rPr>
        <w:t>. With respect to Awards granted as ISOs, to the extent that the aggregate Fair Market Value of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 Value of Shares permitted to be subject to ISOs, such different limit will be automatically incorporated herein and will apply to any Options granted after the effective date of such amendment.</w:t>
      </w:r>
    </w:p>
    <w:p>
      <w:pPr>
        <w:spacing w:after="0" w:line="9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5.8. </w:t>
      </w:r>
      <w:r>
        <w:rPr>
          <w:rFonts w:ascii="Arial" w:cs="Arial" w:eastAsia="Arial" w:hAnsi="Arial"/>
          <w:sz w:val="18"/>
          <w:szCs w:val="18"/>
          <w:u w:val="single" w:color="auto"/>
          <w:color w:val="auto"/>
        </w:rPr>
        <w:t>Modification, Extension or Renewal</w:t>
      </w:r>
      <w:r>
        <w:rPr>
          <w:rFonts w:ascii="Arial" w:cs="Arial" w:eastAsia="Arial" w:hAnsi="Arial"/>
          <w:sz w:val="18"/>
          <w:szCs w:val="18"/>
          <w:color w:val="auto"/>
        </w:rPr>
        <w:t>. The Committee may modify, extend or renew outstanding Options and authorize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new Options in substitution therefor, provided that any such action may not, without the written consent of a Participant, impair any of such Participant’s rights under any Option previously granted, unless for the purpose of complying with applicable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9" w:right="339" w:bottom="1440" w:gutter="0" w:footer="0" w:header="0"/>
        </w:sectPr>
      </w:pPr>
    </w:p>
    <w:bookmarkStart w:id="17" w:name="page18"/>
    <w:bookmarkEnd w:id="17"/>
    <w:p>
      <w:pPr>
        <w:jc w:val="both"/>
        <w:spacing w:after="0" w:line="251" w:lineRule="auto"/>
        <w:rPr>
          <w:sz w:val="20"/>
          <w:szCs w:val="20"/>
          <w:color w:val="auto"/>
        </w:rPr>
      </w:pPr>
      <w:r>
        <w:rPr>
          <w:rFonts w:ascii="Arial" w:cs="Arial" w:eastAsia="Arial" w:hAnsi="Arial"/>
          <w:sz w:val="20"/>
          <w:szCs w:val="20"/>
          <w:color w:val="auto"/>
        </w:rPr>
        <w:t xml:space="preserve">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Exercise Price may not be reduced below the minimum Exercise Price that would be permitted under Section 5.4 for Options granted on the date the action is taken to reduce the Exercise Price.</w:t>
      </w:r>
    </w:p>
    <w:p>
      <w:pPr>
        <w:spacing w:after="0" w:line="14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5.9. </w:t>
      </w:r>
      <w:r>
        <w:rPr>
          <w:rFonts w:ascii="Arial" w:cs="Arial" w:eastAsia="Arial" w:hAnsi="Arial"/>
          <w:sz w:val="18"/>
          <w:szCs w:val="18"/>
          <w:u w:val="single" w:color="auto"/>
          <w:color w:val="auto"/>
        </w:rPr>
        <w:t>No Disqualification</w:t>
      </w:r>
      <w:r>
        <w:rPr>
          <w:rFonts w:ascii="Arial" w:cs="Arial" w:eastAsia="Arial" w:hAnsi="Arial"/>
          <w:sz w:val="18"/>
          <w:szCs w:val="18"/>
          <w:color w:val="auto"/>
        </w:rPr>
        <w:t>. Notwithstanding any other provision in this Plan, no term of this Plan relating to ISOs will be interpreted,</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96" w:lineRule="exact"/>
        <w:rPr>
          <w:sz w:val="20"/>
          <w:szCs w:val="20"/>
          <w:color w:val="auto"/>
        </w:rPr>
      </w:pPr>
    </w:p>
    <w:p>
      <w:pPr>
        <w:jc w:val="both"/>
        <w:ind w:firstLine="8"/>
        <w:spacing w:after="0" w:line="258" w:lineRule="auto"/>
        <w:tabs>
          <w:tab w:leader="none" w:pos="373"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 AWARDS</w:t>
      </w:r>
      <w:r>
        <w:rPr>
          <w:rFonts w:ascii="Arial" w:cs="Arial" w:eastAsia="Arial" w:hAnsi="Arial"/>
          <w:sz w:val="20"/>
          <w:szCs w:val="20"/>
          <w:color w:val="auto"/>
        </w:rPr>
        <w:t>. A Restricted Stock Award is an offer by the Company to sell to an eligible Employee, Consultant</w:t>
      </w:r>
      <w:r>
        <w:rPr>
          <w:rFonts w:ascii="Arial" w:cs="Arial" w:eastAsia="Arial" w:hAnsi="Arial"/>
          <w:sz w:val="20"/>
          <w:szCs w:val="20"/>
          <w:b w:val="1"/>
          <w:bCs w:val="1"/>
          <w:color w:val="auto"/>
        </w:rPr>
        <w:t xml:space="preserve"> </w:t>
      </w:r>
      <w:r>
        <w:rPr>
          <w:rFonts w:ascii="Arial" w:cs="Arial" w:eastAsia="Arial" w:hAnsi="Arial"/>
          <w:sz w:val="20"/>
          <w:szCs w:val="20"/>
          <w:color w:val="auto"/>
        </w:rPr>
        <w:t>or Director Shares that are subject to restrictions (“</w:t>
      </w:r>
      <w:r>
        <w:rPr>
          <w:rFonts w:ascii="Arial" w:cs="Arial" w:eastAsia="Arial" w:hAnsi="Arial"/>
          <w:sz w:val="20"/>
          <w:szCs w:val="20"/>
          <w:b w:val="1"/>
          <w:bCs w:val="1"/>
          <w:i w:val="1"/>
          <w:iCs w:val="1"/>
          <w:color w:val="auto"/>
        </w:rPr>
        <w:t>Restricted Stock</w:t>
      </w:r>
      <w:r>
        <w:rPr>
          <w:rFonts w:ascii="Arial" w:cs="Arial" w:eastAsia="Arial" w:hAnsi="Arial"/>
          <w:sz w:val="20"/>
          <w:szCs w:val="20"/>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6.1. </w:t>
      </w:r>
      <w:r>
        <w:rPr>
          <w:rFonts w:ascii="Arial" w:cs="Arial" w:eastAsia="Arial" w:hAnsi="Arial"/>
          <w:sz w:val="19"/>
          <w:szCs w:val="19"/>
          <w:u w:val="single" w:color="auto"/>
          <w:color w:val="auto"/>
        </w:rPr>
        <w:t>Restricted Stock Purchase Agreement</w:t>
      </w:r>
      <w:r>
        <w:rPr>
          <w:rFonts w:ascii="Arial" w:cs="Arial" w:eastAsia="Arial" w:hAnsi="Arial"/>
          <w:sz w:val="19"/>
          <w:szCs w:val="19"/>
          <w:color w:val="auto"/>
        </w:rPr>
        <w:t>. All purchases under a Restricted Stock Award will be evidenced by an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Except 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0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20"/>
          <w:szCs w:val="20"/>
          <w:u w:val="single" w:color="auto"/>
          <w:color w:val="auto"/>
        </w:rPr>
        <w:t>Purchase Price</w:t>
      </w:r>
      <w:r>
        <w:rPr>
          <w:rFonts w:ascii="Arial" w:cs="Arial" w:eastAsia="Arial" w:hAnsi="Arial"/>
          <w:sz w:val="20"/>
          <w:szCs w:val="20"/>
          <w:color w:val="auto"/>
        </w:rPr>
        <w:t>. The Purchase Price for Shares issued pursuant to a Restricted Stock Award will be determined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on the 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3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u w:val="single" w:color="auto"/>
          <w:color w:val="auto"/>
        </w:rPr>
        <w:t>Terms of Restricted Stock Awards</w:t>
      </w:r>
      <w:r>
        <w:rPr>
          <w:rFonts w:ascii="Arial" w:cs="Arial" w:eastAsia="Arial" w:hAnsi="Arial"/>
          <w:sz w:val="18"/>
          <w:szCs w:val="18"/>
          <w:color w:val="auto"/>
        </w:rPr>
        <w:t>. Restricted Stock Awards will be subject to such restrictions as the Committee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or are 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w:t>
      </w:r>
    </w:p>
    <w:p>
      <w:pPr>
        <w:spacing w:after="0" w:line="3" w:lineRule="exact"/>
        <w:rPr>
          <w:sz w:val="20"/>
          <w:szCs w:val="20"/>
          <w:color w:val="auto"/>
        </w:rPr>
      </w:pPr>
    </w:p>
    <w:p>
      <w:pPr>
        <w:jc w:val="both"/>
        <w:ind w:firstLine="8"/>
        <w:spacing w:after="0" w:line="253" w:lineRule="auto"/>
        <w:tabs>
          <w:tab w:leader="none" w:pos="307" w:val="left"/>
        </w:tabs>
        <w:numPr>
          <w:ilvl w:val="0"/>
          <w:numId w:val="13"/>
        </w:numPr>
        <w:rPr>
          <w:rFonts w:ascii="Arial" w:cs="Arial" w:eastAsia="Arial" w:hAnsi="Arial"/>
          <w:sz w:val="20"/>
          <w:szCs w:val="20"/>
          <w:color w:val="auto"/>
        </w:rPr>
      </w:pPr>
      <w:r>
        <w:rPr>
          <w:rFonts w:ascii="Arial" w:cs="Arial" w:eastAsia="Arial" w:hAnsi="Arial"/>
          <w:sz w:val="20"/>
          <w:szCs w:val="20"/>
          <w:color w:val="auto"/>
        </w:rPr>
        <w:t>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37"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6.4.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any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23" w:lineRule="exact"/>
        <w:rPr>
          <w:sz w:val="20"/>
          <w:szCs w:val="20"/>
          <w:color w:val="auto"/>
        </w:rPr>
      </w:pPr>
    </w:p>
    <w:p>
      <w:pPr>
        <w:jc w:val="both"/>
        <w:ind w:firstLine="8"/>
        <w:spacing w:after="0" w:line="260" w:lineRule="auto"/>
        <w:tabs>
          <w:tab w:leader="none" w:pos="36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BONUS AWARDS</w:t>
      </w:r>
      <w:r>
        <w:rPr>
          <w:rFonts w:ascii="Arial" w:cs="Arial" w:eastAsia="Arial" w:hAnsi="Arial"/>
          <w:sz w:val="20"/>
          <w:szCs w:val="20"/>
          <w:color w:val="auto"/>
        </w:rPr>
        <w:t>. A Stock Bonus Award is an award to an eligible Employee, Consultant, or Director of Shares for Services</w:t>
      </w:r>
      <w:r>
        <w:rPr>
          <w:rFonts w:ascii="Arial" w:cs="Arial" w:eastAsia="Arial" w:hAnsi="Arial"/>
          <w:sz w:val="20"/>
          <w:szCs w:val="20"/>
          <w:b w:val="1"/>
          <w:bCs w:val="1"/>
          <w:color w:val="auto"/>
        </w:rPr>
        <w:t xml:space="preserve"> </w:t>
      </w:r>
      <w:r>
        <w:rPr>
          <w:rFonts w:ascii="Arial" w:cs="Arial" w:eastAsia="Arial" w:hAnsi="Arial"/>
          <w:sz w:val="20"/>
          <w:szCs w:val="20"/>
          <w:color w:val="auto"/>
        </w:rPr>
        <w:t>to be rendered or for past Services already rendered to the Company or any Parent, Subsidiary or Affiliate. All Stock Bonus Awards shall be made pursuant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9" w:right="3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Award Agreement. No payment from the Participant will be required for Shares awarded pursuant to a Stock Bonus Award.</w:t>
      </w:r>
    </w:p>
    <w:p>
      <w:pPr>
        <w:spacing w:after="0" w:line="169"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u w:val="single" w:color="auto"/>
          <w:color w:val="auto"/>
        </w:rPr>
        <w:t>Terms of Stock Bonus Awards</w:t>
      </w:r>
      <w:r>
        <w:rPr>
          <w:rFonts w:ascii="Arial" w:cs="Arial" w:eastAsia="Arial" w:hAnsi="Arial"/>
          <w:sz w:val="16"/>
          <w:szCs w:val="16"/>
          <w:color w:val="auto"/>
        </w:rPr>
        <w:t>. The Committee will determine the number of Shares to be awarded to the Participant under a</w:t>
      </w:r>
      <w:r>
        <w:rPr>
          <w:rFonts w:ascii="Arial" w:cs="Arial" w:eastAsia="Arial" w:hAnsi="Arial"/>
          <w:sz w:val="16"/>
          <w:szCs w:val="16"/>
          <w:b w:val="1"/>
          <w:bCs w:val="1"/>
          <w:color w:val="auto"/>
        </w:rPr>
        <w:t xml:space="preserve"> </w:t>
      </w:r>
      <w:r>
        <w:rPr>
          <w:rFonts w:ascii="Arial" w:cs="Arial" w:eastAsia="Arial" w:hAnsi="Arial"/>
          <w:sz w:val="16"/>
          <w:szCs w:val="16"/>
          <w:color w:val="auto"/>
        </w:rPr>
        <w:t>Stock 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7.2. </w:t>
      </w:r>
      <w:r>
        <w:rPr>
          <w:rFonts w:ascii="Arial" w:cs="Arial" w:eastAsia="Arial" w:hAnsi="Arial"/>
          <w:sz w:val="20"/>
          <w:szCs w:val="20"/>
          <w:u w:val="single" w:color="auto"/>
          <w:color w:val="auto"/>
        </w:rPr>
        <w:t>Form of Payment to Participant</w:t>
      </w:r>
      <w:r>
        <w:rPr>
          <w:rFonts w:ascii="Arial" w:cs="Arial" w:eastAsia="Arial" w:hAnsi="Arial"/>
          <w:sz w:val="20"/>
          <w:szCs w:val="20"/>
          <w:color w:val="auto"/>
        </w:rPr>
        <w:t>. Payment may be made in the form of cash, whole Shares, or a combination thereof, based on</w:t>
      </w:r>
      <w:r>
        <w:rPr>
          <w:rFonts w:ascii="Arial" w:cs="Arial" w:eastAsia="Arial" w:hAnsi="Arial"/>
          <w:sz w:val="20"/>
          <w:szCs w:val="20"/>
          <w:b w:val="1"/>
          <w:bCs w:val="1"/>
          <w:color w:val="auto"/>
        </w:rPr>
        <w:t xml:space="preserve"> </w:t>
      </w:r>
      <w:r>
        <w:rPr>
          <w:rFonts w:ascii="Arial" w:cs="Arial" w:eastAsia="Arial" w:hAnsi="Arial"/>
          <w:sz w:val="20"/>
          <w:szCs w:val="20"/>
          <w:color w:val="auto"/>
        </w:rPr>
        <w:t>the Fair Market Value of the Shares earned under a Stock Bonus Award on the date of payment, as determined in the sole discretion of the Committee.</w:t>
      </w:r>
    </w:p>
    <w:p>
      <w:pPr>
        <w:spacing w:after="0" w:line="11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7.3.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96" w:lineRule="exact"/>
        <w:rPr>
          <w:sz w:val="20"/>
          <w:szCs w:val="20"/>
          <w:color w:val="auto"/>
        </w:rPr>
      </w:pPr>
    </w:p>
    <w:p>
      <w:pPr>
        <w:jc w:val="both"/>
        <w:ind w:firstLine="8"/>
        <w:spacing w:after="0" w:line="256" w:lineRule="auto"/>
        <w:tabs>
          <w:tab w:leader="none" w:pos="468"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APPRECIATION RIGHTS</w:t>
      </w:r>
      <w:r>
        <w:rPr>
          <w:rFonts w:ascii="Arial" w:cs="Arial" w:eastAsia="Arial" w:hAnsi="Arial"/>
          <w:sz w:val="20"/>
          <w:szCs w:val="20"/>
          <w:color w:val="auto"/>
        </w:rPr>
        <w:t>. A Stock Appreciation Right (“</w:t>
      </w:r>
      <w:r>
        <w:rPr>
          <w:rFonts w:ascii="Arial" w:cs="Arial" w:eastAsia="Arial" w:hAnsi="Arial"/>
          <w:sz w:val="20"/>
          <w:szCs w:val="20"/>
          <w:b w:val="1"/>
          <w:bCs w:val="1"/>
          <w:i w:val="1"/>
          <w:iCs w:val="1"/>
          <w:color w:val="auto"/>
        </w:rPr>
        <w:t>SAR</w:t>
      </w:r>
      <w:r>
        <w:rPr>
          <w:rFonts w:ascii="Arial" w:cs="Arial" w:eastAsia="Arial" w:hAnsi="Arial"/>
          <w:sz w:val="20"/>
          <w:szCs w:val="20"/>
          <w:color w:val="auto"/>
        </w:rPr>
        <w:t>”) is an award to an eligible Employee, Consultant, or</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that 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2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Terms of SARs</w:t>
      </w:r>
      <w:r>
        <w:rPr>
          <w:rFonts w:ascii="Arial" w:cs="Arial" w:eastAsia="Arial" w:hAnsi="Arial"/>
          <w:sz w:val="18"/>
          <w:szCs w:val="18"/>
          <w:color w:val="auto"/>
        </w:rPr>
        <w:t>. The Committee will determine the terms of each SAR including, without limitation: (a)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b w:val="1"/>
          <w:bCs w:val="1"/>
          <w:color w:val="auto"/>
        </w:rPr>
        <w:t xml:space="preserve">8.2. </w:t>
      </w:r>
      <w:r>
        <w:rPr>
          <w:rFonts w:ascii="Arial" w:cs="Arial" w:eastAsia="Arial" w:hAnsi="Arial"/>
          <w:sz w:val="18"/>
          <w:szCs w:val="18"/>
          <w:u w:val="single" w:color="auto"/>
          <w:color w:val="auto"/>
        </w:rPr>
        <w:t>Exercise Period and Expiration Date</w:t>
      </w:r>
      <w:r>
        <w:rPr>
          <w:rFonts w:ascii="Arial" w:cs="Arial" w:eastAsia="Arial" w:hAnsi="Arial"/>
          <w:sz w:val="18"/>
          <w:szCs w:val="18"/>
          <w:color w:val="auto"/>
        </w:rPr>
        <w:t>. A SAR will be exercisable within the times or upon the occurrence of events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9" w:right="339" w:bottom="1440" w:gutter="0" w:footer="0" w:header="0"/>
        </w:sectPr>
      </w:pPr>
    </w:p>
    <w:bookmarkStart w:id="19" w:name="page20"/>
    <w:bookmarkEnd w:id="19"/>
    <w:p>
      <w:pPr>
        <w:spacing w:after="0" w:line="274" w:lineRule="auto"/>
        <w:rPr>
          <w:sz w:val="20"/>
          <w:szCs w:val="20"/>
          <w:color w:val="auto"/>
        </w:rPr>
      </w:pPr>
      <w:r>
        <w:rPr>
          <w:rFonts w:ascii="Arial" w:cs="Arial" w:eastAsia="Arial" w:hAnsi="Arial"/>
          <w:sz w:val="20"/>
          <w:szCs w:val="20"/>
          <w:color w:val="auto"/>
        </w:rPr>
        <w:t>vesting ceases on the date Participant’s Service terminates (unless determined otherwise by the Committee). Notwithstanding the foregoing, the rules of Section 5.6 also will apply to SARs.</w:t>
      </w:r>
    </w:p>
    <w:p>
      <w:pPr>
        <w:spacing w:after="0" w:line="103" w:lineRule="exact"/>
        <w:rPr>
          <w:sz w:val="20"/>
          <w:szCs w:val="20"/>
          <w:color w:val="auto"/>
        </w:rPr>
      </w:pPr>
    </w:p>
    <w:p>
      <w:pPr>
        <w:ind w:firstLine="648"/>
        <w:spacing w:after="0" w:line="286"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Form of Settlement</w:t>
      </w:r>
      <w:r>
        <w:rPr>
          <w:rFonts w:ascii="Arial" w:cs="Arial" w:eastAsia="Arial" w:hAnsi="Arial"/>
          <w:sz w:val="18"/>
          <w:szCs w:val="18"/>
          <w:color w:val="auto"/>
        </w:rPr>
        <w:t>. Upon exercise of a SAR, a Participant will be entitled to receive payment from the Company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multiplying (a) the difference between the Fair Market Value of a Share on the date of exercise over the Exercise Price; times</w:t>
      </w:r>
    </w:p>
    <w:p>
      <w:pPr>
        <w:spacing w:after="0" w:line="1" w:lineRule="exact"/>
        <w:rPr>
          <w:sz w:val="20"/>
          <w:szCs w:val="20"/>
          <w:color w:val="auto"/>
        </w:rPr>
      </w:pPr>
    </w:p>
    <w:p>
      <w:pPr>
        <w:jc w:val="both"/>
        <w:ind w:firstLine="8"/>
        <w:spacing w:after="0" w:line="267" w:lineRule="auto"/>
        <w:tabs>
          <w:tab w:leader="none" w:pos="282"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12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 xml:space="preserve">8.4.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23" w:lineRule="exact"/>
        <w:rPr>
          <w:sz w:val="20"/>
          <w:szCs w:val="20"/>
          <w:color w:val="auto"/>
        </w:rPr>
      </w:pPr>
    </w:p>
    <w:p>
      <w:pPr>
        <w:jc w:val="both"/>
        <w:ind w:firstLine="8"/>
        <w:spacing w:after="0" w:line="280" w:lineRule="auto"/>
        <w:tabs>
          <w:tab w:leader="none" w:pos="468"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RESTRICTED STOCK UNITS</w:t>
      </w:r>
      <w:r>
        <w:rPr>
          <w:rFonts w:ascii="Arial" w:cs="Arial" w:eastAsia="Arial" w:hAnsi="Arial"/>
          <w:sz w:val="19"/>
          <w:szCs w:val="19"/>
          <w:color w:val="auto"/>
        </w:rPr>
        <w:t>. A Restricted Stock Unit (“</w:t>
      </w:r>
      <w:r>
        <w:rPr>
          <w:rFonts w:ascii="Arial" w:cs="Arial" w:eastAsia="Arial" w:hAnsi="Arial"/>
          <w:sz w:val="19"/>
          <w:szCs w:val="19"/>
          <w:b w:val="1"/>
          <w:bCs w:val="1"/>
          <w:i w:val="1"/>
          <w:iCs w:val="1"/>
          <w:color w:val="auto"/>
        </w:rPr>
        <w:t>RSU</w:t>
      </w:r>
      <w:r>
        <w:rPr>
          <w:rFonts w:ascii="Arial" w:cs="Arial" w:eastAsia="Arial" w:hAnsi="Arial"/>
          <w:sz w:val="19"/>
          <w:szCs w:val="19"/>
          <w:color w:val="auto"/>
        </w:rPr>
        <w:t>”) is an award to an eligible Employee, Consultant, or Director</w:t>
      </w:r>
      <w:r>
        <w:rPr>
          <w:rFonts w:ascii="Arial" w:cs="Arial" w:eastAsia="Arial" w:hAnsi="Arial"/>
          <w:sz w:val="19"/>
          <w:szCs w:val="19"/>
          <w:b w:val="1"/>
          <w:bCs w:val="1"/>
          <w:color w:val="auto"/>
        </w:rPr>
        <w:t xml:space="preserve"> </w:t>
      </w:r>
      <w:r>
        <w:rPr>
          <w:rFonts w:ascii="Arial" w:cs="Arial" w:eastAsia="Arial" w:hAnsi="Arial"/>
          <w:sz w:val="19"/>
          <w:szCs w:val="19"/>
          <w:color w:val="auto"/>
        </w:rPr>
        <w:t>covering a number of Shares that may be settled in cash or by issuance of those Shares (which may consist of Restricted Stock). No Purchase Price shall apply to an RSU settled in Shares. All RSUs shall be made pursuant to an Award Agreement.</w:t>
      </w:r>
    </w:p>
    <w:p>
      <w:pPr>
        <w:spacing w:after="0" w:line="11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u w:val="single" w:color="auto"/>
          <w:color w:val="auto"/>
        </w:rPr>
        <w:t>Terms of RSUs</w:t>
      </w:r>
      <w:r>
        <w:rPr>
          <w:rFonts w:ascii="Arial" w:cs="Arial" w:eastAsia="Arial" w:hAnsi="Arial"/>
          <w:sz w:val="18"/>
          <w:szCs w:val="18"/>
          <w:color w:val="auto"/>
        </w:rPr>
        <w:t>. The Committee will determine the terms of an RSU including, without limitation: (a)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RSU; (b) the time or times during which the RSU may be vested and settled; (c) the consideration to be distributed on settlement; and (d) the effect of the Participant’s termination of Service on each RSU; provided that no RSU shall have a term longer than ten</w:t>
      </w:r>
    </w:p>
    <w:p>
      <w:pPr>
        <w:spacing w:after="0" w:line="2" w:lineRule="exact"/>
        <w:rPr>
          <w:sz w:val="20"/>
          <w:szCs w:val="20"/>
          <w:color w:val="auto"/>
        </w:rPr>
      </w:pPr>
    </w:p>
    <w:p>
      <w:pPr>
        <w:jc w:val="both"/>
        <w:ind w:firstLine="8"/>
        <w:spacing w:after="0" w:line="263" w:lineRule="auto"/>
        <w:tabs>
          <w:tab w:leader="none" w:pos="386" w:val="left"/>
        </w:tabs>
        <w:numPr>
          <w:ilvl w:val="0"/>
          <w:numId w:val="18"/>
        </w:numPr>
        <w:rPr>
          <w:rFonts w:ascii="Arial" w:cs="Arial" w:eastAsia="Arial" w:hAnsi="Arial"/>
          <w:sz w:val="19"/>
          <w:szCs w:val="19"/>
          <w:color w:val="auto"/>
        </w:rPr>
      </w:pPr>
      <w:r>
        <w:rPr>
          <w:rFonts w:ascii="Arial" w:cs="Arial" w:eastAsia="Arial" w:hAnsi="Arial"/>
          <w:sz w:val="19"/>
          <w:szCs w:val="19"/>
          <w:color w:val="auto"/>
        </w:rPr>
        <w:t>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3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u w:val="single" w:color="auto"/>
          <w:color w:val="auto"/>
        </w:rPr>
        <w:t>Form and Timing of Settlement</w:t>
      </w:r>
      <w:r>
        <w:rPr>
          <w:rFonts w:ascii="Arial" w:cs="Arial" w:eastAsia="Arial" w:hAnsi="Arial"/>
          <w:sz w:val="18"/>
          <w:szCs w:val="18"/>
          <w:color w:val="auto"/>
        </w:rPr>
        <w:t>. Payment of earned RSUs shall be made as soon as practicable after the date(s)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89"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9.3.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9.4. </w:t>
      </w:r>
      <w:r>
        <w:rPr>
          <w:rFonts w:ascii="Arial" w:cs="Arial" w:eastAsia="Arial" w:hAnsi="Arial"/>
          <w:sz w:val="20"/>
          <w:szCs w:val="20"/>
          <w:u w:val="single" w:color="auto"/>
          <w:color w:val="auto"/>
        </w:rPr>
        <w:t>Dividend Equivalent Payments</w:t>
      </w:r>
      <w:r>
        <w:rPr>
          <w:rFonts w:ascii="Arial" w:cs="Arial" w:eastAsia="Arial" w:hAnsi="Arial"/>
          <w:sz w:val="20"/>
          <w:szCs w:val="20"/>
          <w:color w:val="auto"/>
        </w:rPr>
        <w:t>. The Committee may permit Participants holding RSUs to receive dividend equivalent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on 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payments to be made on RSUs, the terms and conditions for such dividend equivalent payments will be set forth in the RSU Agreement.</w:t>
      </w:r>
    </w:p>
    <w:p>
      <w:pPr>
        <w:spacing w:after="0" w:line="192" w:lineRule="exact"/>
        <w:rPr>
          <w:sz w:val="20"/>
          <w:szCs w:val="20"/>
          <w:color w:val="auto"/>
        </w:rPr>
      </w:pPr>
    </w:p>
    <w:p>
      <w:pPr>
        <w:jc w:val="both"/>
        <w:ind w:firstLine="8"/>
        <w:spacing w:after="0" w:line="270" w:lineRule="auto"/>
        <w:tabs>
          <w:tab w:leader="none" w:pos="486" w:val="left"/>
        </w:tabs>
        <w:numPr>
          <w:ilvl w:val="0"/>
          <w:numId w:val="1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PERFORMANCE AWARDS</w:t>
      </w:r>
      <w:r>
        <w:rPr>
          <w:rFonts w:ascii="Arial" w:cs="Arial" w:eastAsia="Arial" w:hAnsi="Arial"/>
          <w:sz w:val="19"/>
          <w:szCs w:val="19"/>
          <w:color w:val="auto"/>
        </w:rPr>
        <w:t>. A Performance Award is an award to an eligible Employee, Consultant or Director that is based upon</w:t>
      </w:r>
      <w:r>
        <w:rPr>
          <w:rFonts w:ascii="Arial" w:cs="Arial" w:eastAsia="Arial" w:hAnsi="Arial"/>
          <w:sz w:val="19"/>
          <w:szCs w:val="19"/>
          <w:b w:val="1"/>
          <w:bCs w:val="1"/>
          <w:color w:val="auto"/>
        </w:rPr>
        <w:t xml:space="preserve"> </w:t>
      </w:r>
      <w:r>
        <w:rPr>
          <w:rFonts w:ascii="Arial" w:cs="Arial" w:eastAsia="Arial" w:hAnsi="Arial"/>
          <w:sz w:val="19"/>
          <w:szCs w:val="19"/>
          <w:color w:val="auto"/>
        </w:rPr>
        <w:t>the 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4" w:lineRule="exact"/>
        <w:rPr>
          <w:sz w:val="20"/>
          <w:szCs w:val="20"/>
          <w:color w:val="auto"/>
        </w:rPr>
      </w:pPr>
    </w:p>
    <w:p>
      <w:pPr>
        <w:ind w:firstLine="648"/>
        <w:spacing w:after="0" w:line="281" w:lineRule="auto"/>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u w:val="single" w:color="auto"/>
          <w:color w:val="auto"/>
        </w:rPr>
        <w:t>Types of Performance Awards</w:t>
      </w:r>
      <w:r>
        <w:rPr>
          <w:rFonts w:ascii="Arial" w:cs="Arial" w:eastAsia="Arial" w:hAnsi="Arial"/>
          <w:sz w:val="20"/>
          <w:szCs w:val="20"/>
          <w:color w:val="auto"/>
        </w:rPr>
        <w:t>. Performance Awards shall include Performance Shares, Performance Units and cash-based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Awards as set forth in Sections 10.1(a), 10.1(b) and 10.1(c) </w:t>
      </w:r>
      <w:r>
        <w:rPr>
          <w:rFonts w:ascii="Arial" w:cs="Arial" w:eastAsia="Arial" w:hAnsi="Arial"/>
          <w:sz w:val="20"/>
          <w:szCs w:val="20"/>
          <w:b w:val="1"/>
          <w:bCs w:val="1"/>
          <w:color w:val="auto"/>
        </w:rPr>
        <w:t>below.</w:t>
      </w:r>
    </w:p>
    <w:p>
      <w:pPr>
        <w:spacing w:after="0" w:line="102" w:lineRule="exact"/>
        <w:rPr>
          <w:sz w:val="20"/>
          <w:szCs w:val="20"/>
          <w:color w:val="auto"/>
        </w:rPr>
      </w:pPr>
    </w:p>
    <w:p>
      <w:pPr>
        <w:ind w:firstLine="1304"/>
        <w:spacing w:after="0" w:line="403" w:lineRule="auto"/>
        <w:tabs>
          <w:tab w:leader="none" w:pos="1794"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Performance Shares</w:t>
      </w:r>
      <w:r>
        <w:rPr>
          <w:rFonts w:ascii="Arial" w:cs="Arial" w:eastAsia="Arial" w:hAnsi="Arial"/>
          <w:sz w:val="16"/>
          <w:szCs w:val="16"/>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16" w:lineRule="exact"/>
        <w:rPr>
          <w:rFonts w:ascii="Arial" w:cs="Arial" w:eastAsia="Arial" w:hAnsi="Arial"/>
          <w:sz w:val="16"/>
          <w:szCs w:val="16"/>
          <w:color w:val="auto"/>
        </w:rPr>
      </w:pPr>
    </w:p>
    <w:p>
      <w:pPr>
        <w:ind w:firstLine="1304"/>
        <w:spacing w:after="0" w:line="332" w:lineRule="auto"/>
        <w:tabs>
          <w:tab w:leader="none" w:pos="184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Performance Units</w:t>
      </w:r>
      <w:r>
        <w:rPr>
          <w:rFonts w:ascii="Arial" w:cs="Arial" w:eastAsia="Arial" w:hAnsi="Arial"/>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75" w:lineRule="exact"/>
        <w:rPr>
          <w:rFonts w:ascii="Arial" w:cs="Arial" w:eastAsia="Arial" w:hAnsi="Arial"/>
          <w:sz w:val="18"/>
          <w:szCs w:val="18"/>
          <w:color w:val="auto"/>
        </w:rPr>
      </w:pPr>
    </w:p>
    <w:p>
      <w:pPr>
        <w:ind w:firstLine="1304"/>
        <w:spacing w:after="0" w:line="260" w:lineRule="auto"/>
        <w:tabs>
          <w:tab w:leader="none" w:pos="1794"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Cash-Settled Performance Awards</w:t>
      </w:r>
      <w:r>
        <w:rPr>
          <w:rFonts w:ascii="Arial" w:cs="Arial" w:eastAsia="Arial" w:hAnsi="Arial"/>
          <w:sz w:val="20"/>
          <w:szCs w:val="20"/>
          <w:color w:val="auto"/>
        </w:rPr>
        <w:t>. The Committee may also grant cash-settled Performance Awards to Participants under the terms of this Plan.</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amount to be paid under any Performance Award may be adjusted on the basis of such further consideration as the Committee shall determine in its sole discretion.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u w:val="single" w:color="auto"/>
          <w:color w:val="auto"/>
        </w:rPr>
        <w:t>Terms of Performance Awards</w:t>
      </w:r>
      <w:r>
        <w:rPr>
          <w:rFonts w:ascii="Arial" w:cs="Arial" w:eastAsia="Arial" w:hAnsi="Arial"/>
          <w:sz w:val="19"/>
          <w:szCs w:val="19"/>
          <w:color w:val="auto"/>
        </w:rPr>
        <w:t>. Performance Awards will be based on the attainment of performance goals using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Factors 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37"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b w:val="1"/>
          <w:bCs w:val="1"/>
          <w:color w:val="auto"/>
        </w:rPr>
        <w:t xml:space="preserve">10.3. </w:t>
      </w:r>
      <w:r>
        <w:rPr>
          <w:rFonts w:ascii="Arial" w:cs="Arial" w:eastAsia="Arial" w:hAnsi="Arial"/>
          <w:sz w:val="20"/>
          <w:szCs w:val="20"/>
          <w:u w:val="single" w:color="auto"/>
          <w:color w:val="auto"/>
        </w:rPr>
        <w:t>Termination of Service</w:t>
      </w:r>
      <w:r>
        <w:rPr>
          <w:rFonts w:ascii="Arial" w:cs="Arial" w:eastAsia="Arial" w:hAnsi="Arial"/>
          <w:sz w:val="20"/>
          <w:szCs w:val="20"/>
          <w:color w:val="auto"/>
        </w:rPr>
        <w:t>. Except as may be set forth in the Participant’s Award Agreement, vesting ceases on the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Service terminates (unless determined otherwise by the Committee).</w:t>
      </w:r>
    </w:p>
    <w:p>
      <w:pPr>
        <w:spacing w:after="0" w:line="96" w:lineRule="exact"/>
        <w:rPr>
          <w:sz w:val="20"/>
          <w:szCs w:val="20"/>
          <w:color w:val="auto"/>
        </w:rPr>
      </w:pPr>
    </w:p>
    <w:p>
      <w:pPr>
        <w:jc w:val="both"/>
        <w:ind w:firstLine="8"/>
        <w:spacing w:after="0" w:line="260" w:lineRule="auto"/>
        <w:tabs>
          <w:tab w:leader="none" w:pos="448"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PAYMENT FOR SHARE PURCHASES</w:t>
      </w:r>
      <w:r>
        <w:rPr>
          <w:rFonts w:ascii="Arial" w:cs="Arial" w:eastAsia="Arial" w:hAnsi="Arial"/>
          <w:sz w:val="20"/>
          <w:szCs w:val="20"/>
          <w:color w:val="auto"/>
        </w:rPr>
        <w:t>. Payment from a Participant for Shares acquired pursuant to this Plan may be made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or cash equivalents or, where expressly approved for the Participant by the Committee and where permitted by law (and to the extent not otherwise set forth in the applicable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9" w:right="339" w:bottom="1440" w:gutter="0" w:footer="0" w:header="0"/>
        </w:sectPr>
      </w:pPr>
    </w:p>
    <w:bookmarkStart w:id="21" w:name="page22"/>
    <w:bookmarkEnd w:id="21"/>
    <w:p>
      <w:pPr>
        <w:ind w:left="1720" w:hanging="416"/>
        <w:spacing w:after="0"/>
        <w:tabs>
          <w:tab w:leader="none" w:pos="1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by cancellation of indebtedness of the Company owed to the Participant;</w:t>
      </w:r>
    </w:p>
    <w:p>
      <w:pPr>
        <w:spacing w:after="0" w:line="175" w:lineRule="exact"/>
        <w:rPr>
          <w:rFonts w:ascii="Arial" w:cs="Arial" w:eastAsia="Arial" w:hAnsi="Arial"/>
          <w:sz w:val="20"/>
          <w:szCs w:val="20"/>
          <w:color w:val="auto"/>
        </w:rPr>
      </w:pPr>
    </w:p>
    <w:p>
      <w:pPr>
        <w:jc w:val="both"/>
        <w:ind w:firstLine="1304"/>
        <w:spacing w:after="0" w:line="257" w:lineRule="auto"/>
        <w:tabs>
          <w:tab w:leader="none" w:pos="1833" w:val="left"/>
        </w:tabs>
        <w:numPr>
          <w:ilvl w:val="0"/>
          <w:numId w:val="22"/>
        </w:numPr>
        <w:rPr>
          <w:rFonts w:ascii="Arial" w:cs="Arial" w:eastAsia="Arial" w:hAnsi="Arial"/>
          <w:sz w:val="20"/>
          <w:szCs w:val="20"/>
          <w:color w:val="auto"/>
        </w:rPr>
      </w:pPr>
      <w:r>
        <w:rPr>
          <w:rFonts w:ascii="Arial" w:cs="Arial" w:eastAsia="Arial" w:hAnsi="Arial"/>
          <w:sz w:val="20"/>
          <w:szCs w:val="20"/>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5" w:lineRule="exact"/>
        <w:rPr>
          <w:rFonts w:ascii="Arial" w:cs="Arial" w:eastAsia="Arial" w:hAnsi="Arial"/>
          <w:sz w:val="20"/>
          <w:szCs w:val="20"/>
          <w:color w:val="auto"/>
        </w:rPr>
      </w:pPr>
    </w:p>
    <w:p>
      <w:pPr>
        <w:ind w:firstLine="1304"/>
        <w:spacing w:after="0" w:line="274" w:lineRule="auto"/>
        <w:tabs>
          <w:tab w:leader="none" w:pos="1734" w:val="left"/>
        </w:tabs>
        <w:numPr>
          <w:ilvl w:val="0"/>
          <w:numId w:val="22"/>
        </w:numPr>
        <w:rPr>
          <w:rFonts w:ascii="Arial" w:cs="Arial" w:eastAsia="Arial" w:hAnsi="Arial"/>
          <w:sz w:val="20"/>
          <w:szCs w:val="20"/>
          <w:color w:val="auto"/>
        </w:rPr>
      </w:pPr>
      <w:r>
        <w:rPr>
          <w:rFonts w:ascii="Arial" w:cs="Arial" w:eastAsia="Arial" w:hAnsi="Arial"/>
          <w:sz w:val="20"/>
          <w:szCs w:val="20"/>
          <w:color w:val="auto"/>
        </w:rPr>
        <w:t>by waiver of compensation due or accrued to the Participant for services rendered or to be rendered to the Company or a Parent, Subsidiary or Affiliate;</w:t>
      </w:r>
    </w:p>
    <w:p>
      <w:pPr>
        <w:spacing w:after="0" w:line="122" w:lineRule="exact"/>
        <w:rPr>
          <w:rFonts w:ascii="Arial" w:cs="Arial" w:eastAsia="Arial" w:hAnsi="Arial"/>
          <w:sz w:val="20"/>
          <w:szCs w:val="20"/>
          <w:color w:val="auto"/>
        </w:rPr>
      </w:pPr>
    </w:p>
    <w:p>
      <w:pPr>
        <w:ind w:firstLine="1304"/>
        <w:spacing w:after="0" w:line="260" w:lineRule="auto"/>
        <w:tabs>
          <w:tab w:leader="none" w:pos="1797" w:val="left"/>
        </w:tabs>
        <w:numPr>
          <w:ilvl w:val="0"/>
          <w:numId w:val="22"/>
        </w:numPr>
        <w:rPr>
          <w:rFonts w:ascii="Arial" w:cs="Arial" w:eastAsia="Arial" w:hAnsi="Arial"/>
          <w:sz w:val="20"/>
          <w:szCs w:val="20"/>
          <w:color w:val="auto"/>
        </w:rPr>
      </w:pPr>
      <w:r>
        <w:rPr>
          <w:rFonts w:ascii="Arial" w:cs="Arial" w:eastAsia="Arial" w:hAnsi="Arial"/>
          <w:sz w:val="20"/>
          <w:szCs w:val="20"/>
          <w:color w:val="auto"/>
        </w:rPr>
        <w:t>by consideration received by the Company pursuant to a broker-assisted or other form of cashless exercise program implemented by the Company in connection with the Plan;</w:t>
      </w:r>
    </w:p>
    <w:p>
      <w:pPr>
        <w:spacing w:after="0" w:line="136" w:lineRule="exact"/>
        <w:rPr>
          <w:rFonts w:ascii="Arial" w:cs="Arial" w:eastAsia="Arial" w:hAnsi="Arial"/>
          <w:sz w:val="20"/>
          <w:szCs w:val="20"/>
          <w:color w:val="auto"/>
        </w:rPr>
      </w:pPr>
    </w:p>
    <w:p>
      <w:pPr>
        <w:ind w:left="1720" w:hanging="416"/>
        <w:spacing w:after="0"/>
        <w:tabs>
          <w:tab w:leader="none" w:pos="17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by any combination of the foregoing; or</w:t>
      </w:r>
    </w:p>
    <w:p>
      <w:pPr>
        <w:spacing w:after="0" w:line="161" w:lineRule="exact"/>
        <w:rPr>
          <w:rFonts w:ascii="Arial" w:cs="Arial" w:eastAsia="Arial" w:hAnsi="Arial"/>
          <w:sz w:val="20"/>
          <w:szCs w:val="20"/>
          <w:color w:val="auto"/>
        </w:rPr>
      </w:pPr>
    </w:p>
    <w:p>
      <w:pPr>
        <w:ind w:left="1700" w:hanging="396"/>
        <w:spacing w:after="0"/>
        <w:tabs>
          <w:tab w:leader="none" w:pos="1700" w:val="left"/>
        </w:tabs>
        <w:numPr>
          <w:ilvl w:val="0"/>
          <w:numId w:val="22"/>
        </w:numPr>
        <w:rPr>
          <w:rFonts w:ascii="Arial" w:cs="Arial" w:eastAsia="Arial" w:hAnsi="Arial"/>
          <w:sz w:val="20"/>
          <w:szCs w:val="20"/>
          <w:color w:val="auto"/>
        </w:rPr>
      </w:pPr>
      <w:r>
        <w:rPr>
          <w:rFonts w:ascii="Arial" w:cs="Arial" w:eastAsia="Arial" w:hAnsi="Arial"/>
          <w:sz w:val="20"/>
          <w:szCs w:val="20"/>
          <w:color w:val="auto"/>
        </w:rPr>
        <w:t>by any other method of payment as is permitted by applicable law.</w:t>
      </w:r>
    </w:p>
    <w:p>
      <w:pPr>
        <w:spacing w:after="0" w:line="175"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03" w:lineRule="exact"/>
        <w:rPr>
          <w:sz w:val="20"/>
          <w:szCs w:val="20"/>
          <w:color w:val="auto"/>
        </w:rPr>
      </w:pPr>
    </w:p>
    <w:p>
      <w:pPr>
        <w:jc w:val="both"/>
        <w:ind w:firstLine="8"/>
        <w:spacing w:after="0" w:line="281" w:lineRule="auto"/>
        <w:tabs>
          <w:tab w:leader="none" w:pos="486"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GRANTS TO NON-EMPLOYEE DIRECTORS</w:t>
      </w:r>
      <w:r>
        <w:rPr>
          <w:rFonts w:ascii="Arial" w:cs="Arial" w:eastAsia="Arial" w:hAnsi="Arial"/>
          <w:sz w:val="18"/>
          <w:szCs w:val="18"/>
          <w:color w:val="auto"/>
        </w:rPr>
        <w:t>. Non-Employee Directors are eligible to receive any type of Award offered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02"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u w:val="single" w:color="auto"/>
          <w:color w:val="auto"/>
        </w:rPr>
        <w:t>Eligibility</w:t>
      </w:r>
      <w:r>
        <w:rPr>
          <w:rFonts w:ascii="Arial" w:cs="Arial" w:eastAsia="Arial" w:hAnsi="Arial"/>
          <w:sz w:val="20"/>
          <w:szCs w:val="20"/>
          <w:color w:val="auto"/>
        </w:rPr>
        <w:t>. Awards pursuant to this Section 12 shall be granted only to Non-Employee Directors. A Non-Employee Director</w:t>
      </w:r>
      <w:r>
        <w:rPr>
          <w:rFonts w:ascii="Arial" w:cs="Arial" w:eastAsia="Arial" w:hAnsi="Arial"/>
          <w:sz w:val="20"/>
          <w:szCs w:val="20"/>
          <w:b w:val="1"/>
          <w:bCs w:val="1"/>
          <w:color w:val="auto"/>
        </w:rPr>
        <w:t xml:space="preserve"> </w:t>
      </w:r>
      <w:r>
        <w:rPr>
          <w:rFonts w:ascii="Arial" w:cs="Arial" w:eastAsia="Arial" w:hAnsi="Arial"/>
          <w:sz w:val="20"/>
          <w:szCs w:val="20"/>
          <w:color w:val="auto"/>
        </w:rPr>
        <w:t>who is elected or re-elected as a member of the Board will be eligible to receive an Award under this Section 12.</w:t>
      </w:r>
    </w:p>
    <w:p>
      <w:pPr>
        <w:spacing w:after="0" w:line="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12.2. </w:t>
      </w:r>
      <w:r>
        <w:rPr>
          <w:rFonts w:ascii="Arial" w:cs="Arial" w:eastAsia="Arial" w:hAnsi="Arial"/>
          <w:sz w:val="19"/>
          <w:szCs w:val="19"/>
          <w:u w:val="single" w:color="auto"/>
          <w:color w:val="auto"/>
        </w:rPr>
        <w:t>Vesting, Exercisability and Settlement</w:t>
      </w:r>
      <w:r>
        <w:rPr>
          <w:rFonts w:ascii="Arial" w:cs="Arial" w:eastAsia="Arial" w:hAnsi="Arial"/>
          <w:sz w:val="19"/>
          <w:szCs w:val="19"/>
          <w:color w:val="auto"/>
        </w:rPr>
        <w:t>. Except as set forth in Section 21, Awards shall vest, become exercisable and be settled</w:t>
      </w:r>
      <w:r>
        <w:rPr>
          <w:rFonts w:ascii="Arial" w:cs="Arial" w:eastAsia="Arial" w:hAnsi="Arial"/>
          <w:sz w:val="19"/>
          <w:szCs w:val="19"/>
          <w:b w:val="1"/>
          <w:bCs w:val="1"/>
          <w:color w:val="auto"/>
        </w:rPr>
        <w:t xml:space="preserve"> </w:t>
      </w:r>
      <w:r>
        <w:rPr>
          <w:rFonts w:ascii="Arial" w:cs="Arial" w:eastAsia="Arial" w:hAnsi="Arial"/>
          <w:sz w:val="19"/>
          <w:szCs w:val="19"/>
          <w:color w:val="auto"/>
        </w:rPr>
        <w:t>as determined by the Board. With respect to Options and SARs, the exercise price for such Awards granted to Non-Employee Directors will not be less than the Fair Market Value of the Shares at the time that such Option or SAR is granted.</w:t>
      </w:r>
    </w:p>
    <w:p>
      <w:pPr>
        <w:spacing w:after="0" w:line="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color w:val="auto"/>
        </w:rPr>
        <w:t xml:space="preserve">12.3. </w:t>
      </w:r>
      <w:r>
        <w:rPr>
          <w:rFonts w:ascii="Arial" w:cs="Arial" w:eastAsia="Arial" w:hAnsi="Arial"/>
          <w:sz w:val="20"/>
          <w:szCs w:val="20"/>
          <w:u w:val="single" w:color="auto"/>
          <w:color w:val="auto"/>
        </w:rPr>
        <w:t>Election to Receive Awards in Lieu of Cash</w:t>
      </w:r>
      <w:r>
        <w:rPr>
          <w:rFonts w:ascii="Arial" w:cs="Arial" w:eastAsia="Arial" w:hAnsi="Arial"/>
          <w:sz w:val="20"/>
          <w:szCs w:val="20"/>
          <w:color w:val="auto"/>
        </w:rPr>
        <w:t>. A Non-Employee Director may elect to receive his or her annual retainer</w:t>
      </w:r>
      <w:r>
        <w:rPr>
          <w:rFonts w:ascii="Arial" w:cs="Arial" w:eastAsia="Arial" w:hAnsi="Arial"/>
          <w:sz w:val="20"/>
          <w:szCs w:val="20"/>
          <w:b w:val="1"/>
          <w:bCs w:val="1"/>
          <w:color w:val="auto"/>
        </w:rPr>
        <w:t xml:space="preserve"> </w:t>
      </w:r>
      <w:r>
        <w:rPr>
          <w:rFonts w:ascii="Arial" w:cs="Arial" w:eastAsia="Arial" w:hAnsi="Arial"/>
          <w:sz w:val="20"/>
          <w:szCs w:val="20"/>
          <w:color w:val="auto"/>
        </w:rPr>
        <w:t>payments and/or meeting fees from the Company in the form of cash or Awards or a combination thereof, if permitted, and as determined, by the Committee. Such Awards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19" w:right="339" w:bottom="1440" w:gutter="0" w:footer="0" w:header="0"/>
        </w:sectPr>
      </w:pPr>
    </w:p>
    <w:bookmarkStart w:id="22" w:name="page23"/>
    <w:bookmarkEnd w:id="22"/>
    <w:p>
      <w:pPr>
        <w:spacing w:after="0"/>
        <w:rPr>
          <w:sz w:val="20"/>
          <w:szCs w:val="20"/>
          <w:color w:val="auto"/>
        </w:rPr>
      </w:pPr>
      <w:r>
        <w:rPr>
          <w:rFonts w:ascii="Arial" w:cs="Arial" w:eastAsia="Arial" w:hAnsi="Arial"/>
          <w:sz w:val="19"/>
          <w:szCs w:val="19"/>
          <w:color w:val="auto"/>
        </w:rPr>
        <w:t>be issued under the Plan. An election under this Section 12.3 will be filed with the Company on the form prescribed by the Company.</w:t>
      </w:r>
    </w:p>
    <w:p>
      <w:pPr>
        <w:spacing w:after="0" w:line="18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WITHHOLDING TAXES</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u w:val="single" w:color="auto"/>
          <w:color w:val="auto"/>
        </w:rPr>
        <w:t>Withholding Generally</w:t>
      </w:r>
      <w:r>
        <w:rPr>
          <w:rFonts w:ascii="Arial" w:cs="Arial" w:eastAsia="Arial" w:hAnsi="Arial"/>
          <w:sz w:val="16"/>
          <w:szCs w:val="16"/>
          <w:color w:val="auto"/>
        </w:rPr>
        <w:t>. Prior to any relevant taxable or tax withholding events in connection with the Awards under this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Arial" w:cs="Arial" w:eastAsia="Arial" w:hAnsi="Arial"/>
          <w:sz w:val="16"/>
          <w:szCs w:val="16"/>
          <w:b w:val="1"/>
          <w:bCs w:val="1"/>
          <w:i w:val="1"/>
          <w:iCs w:val="1"/>
          <w:color w:val="auto"/>
        </w:rPr>
        <w:t>Tax-Related Obligations</w:t>
      </w:r>
      <w:r>
        <w:rPr>
          <w:rFonts w:ascii="Arial" w:cs="Arial" w:eastAsia="Arial" w:hAnsi="Arial"/>
          <w:sz w:val="16"/>
          <w:szCs w:val="16"/>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9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u w:val="single" w:color="auto"/>
          <w:color w:val="auto"/>
        </w:rPr>
        <w:t>Stock Withholding</w:t>
      </w:r>
      <w:r>
        <w:rPr>
          <w:rFonts w:ascii="Arial" w:cs="Arial" w:eastAsia="Arial" w:hAnsi="Arial"/>
          <w:sz w:val="18"/>
          <w:szCs w:val="18"/>
          <w:color w:val="auto"/>
        </w:rPr>
        <w:t>. The Committee, or its delegate(s), as permitted by applicable law, may, in its sole discretion and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such 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23"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TRANSFERABILITY</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9"/>
          <w:szCs w:val="19"/>
          <w:u w:val="single" w:color="auto"/>
          <w:color w:val="auto"/>
        </w:rPr>
        <w:t>Transfer Generally</w:t>
      </w:r>
      <w:r>
        <w:rPr>
          <w:rFonts w:ascii="Arial" w:cs="Arial" w:eastAsia="Arial" w:hAnsi="Arial"/>
          <w:sz w:val="19"/>
          <w:szCs w:val="19"/>
          <w:color w:val="auto"/>
        </w:rPr>
        <w:t>. Unless determined otherwise by the Committee or pursuant to Section 15.2, an Award may not be sold,</w:t>
      </w:r>
      <w:r>
        <w:rPr>
          <w:rFonts w:ascii="Arial" w:cs="Arial" w:eastAsia="Arial" w:hAnsi="Arial"/>
          <w:sz w:val="19"/>
          <w:szCs w:val="19"/>
          <w:b w:val="1"/>
          <w:bCs w:val="1"/>
          <w:color w:val="auto"/>
        </w:rPr>
        <w:t xml:space="preserve"> </w:t>
      </w:r>
      <w:r>
        <w:rPr>
          <w:rFonts w:ascii="Arial" w:cs="Arial" w:eastAsia="Arial" w:hAnsi="Arial"/>
          <w:sz w:val="19"/>
          <w:szCs w:val="19"/>
          <w:color w:val="auto"/>
        </w:rPr>
        <w:t>pledged, 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 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9" w:right="339" w:bottom="1440" w:gutter="0" w:footer="0" w:header="0"/>
        </w:sectPr>
      </w:pPr>
    </w:p>
    <w:bookmarkStart w:id="23" w:name="page24"/>
    <w:bookmarkEnd w:id="23"/>
    <w:p>
      <w:pPr>
        <w:ind w:left="460" w:hanging="452"/>
        <w:spacing w:after="0"/>
        <w:tabs>
          <w:tab w:leader="none" w:pos="46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PRIVILEGES OF STOCK OWNERSHIP; RESTRICTIONS ON SHARES</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u w:val="single" w:color="auto"/>
          <w:color w:val="auto"/>
        </w:rPr>
        <w:t>Voting and Dividends</w:t>
      </w:r>
      <w:r>
        <w:rPr>
          <w:rFonts w:ascii="Arial" w:cs="Arial" w:eastAsia="Arial" w:hAnsi="Arial"/>
          <w:sz w:val="18"/>
          <w:szCs w:val="18"/>
          <w:color w:val="auto"/>
        </w:rPr>
        <w:t>. No Participant will have any of the rights of a stockholder with respect to any Shares until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are issued to 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35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u w:val="single" w:color="auto"/>
          <w:color w:val="auto"/>
        </w:rPr>
        <w:t>Restrictions on Shares</w:t>
      </w:r>
      <w:r>
        <w:rPr>
          <w:rFonts w:ascii="Arial" w:cs="Arial" w:eastAsia="Arial" w:hAnsi="Arial"/>
          <w:sz w:val="19"/>
          <w:szCs w:val="19"/>
          <w:color w:val="auto"/>
        </w:rPr>
        <w:t>. At the discretion of the Committee, the Company may reserve to itself and/or its assignee(s) a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repurchase (a “</w:t>
      </w:r>
      <w:r>
        <w:rPr>
          <w:rFonts w:ascii="Arial" w:cs="Arial" w:eastAsia="Arial" w:hAnsi="Arial"/>
          <w:sz w:val="19"/>
          <w:szCs w:val="19"/>
          <w:b w:val="1"/>
          <w:bCs w:val="1"/>
          <w:i w:val="1"/>
          <w:iCs w:val="1"/>
          <w:color w:val="auto"/>
        </w:rPr>
        <w:t>Right of Repurchase</w:t>
      </w:r>
      <w:r>
        <w:rPr>
          <w:rFonts w:ascii="Arial" w:cs="Arial" w:eastAsia="Arial" w:hAnsi="Arial"/>
          <w:sz w:val="19"/>
          <w:szCs w:val="19"/>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6" w:lineRule="exact"/>
        <w:rPr>
          <w:sz w:val="20"/>
          <w:szCs w:val="20"/>
          <w:color w:val="auto"/>
        </w:rPr>
      </w:pPr>
    </w:p>
    <w:p>
      <w:pPr>
        <w:jc w:val="both"/>
        <w:ind w:firstLine="8"/>
        <w:spacing w:after="0" w:line="253" w:lineRule="auto"/>
        <w:tabs>
          <w:tab w:leader="none" w:pos="513"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CERTIFICATES</w:t>
      </w:r>
      <w:r>
        <w:rPr>
          <w:rFonts w:ascii="Arial" w:cs="Arial" w:eastAsia="Arial" w:hAnsi="Arial"/>
          <w:sz w:val="20"/>
          <w:szCs w:val="20"/>
          <w:color w:val="auto"/>
        </w:rPr>
        <w:t>. All Shares or other securities whether or not certificated, delivered under this Plan will be subject to such stock</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orders, 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37" w:lineRule="exact"/>
        <w:rPr>
          <w:rFonts w:ascii="Arial" w:cs="Arial" w:eastAsia="Arial" w:hAnsi="Arial"/>
          <w:sz w:val="20"/>
          <w:szCs w:val="20"/>
          <w:b w:val="1"/>
          <w:bCs w:val="1"/>
          <w:color w:val="auto"/>
        </w:rPr>
      </w:pPr>
    </w:p>
    <w:p>
      <w:pPr>
        <w:jc w:val="both"/>
        <w:ind w:firstLine="8"/>
        <w:spacing w:after="0" w:line="253" w:lineRule="auto"/>
        <w:tabs>
          <w:tab w:leader="none" w:pos="472"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ESCROW; PLEDGE OF SHARES</w:t>
      </w:r>
      <w:r>
        <w:rPr>
          <w:rFonts w:ascii="Arial" w:cs="Arial" w:eastAsia="Arial" w:hAnsi="Arial"/>
          <w:sz w:val="20"/>
          <w:szCs w:val="20"/>
          <w:color w:val="auto"/>
        </w:rPr>
        <w:t>. To enforce any restrictions on a Participant’s Shares, the Committee may require the Participant</w:t>
      </w:r>
      <w:r>
        <w:rPr>
          <w:rFonts w:ascii="Arial" w:cs="Arial" w:eastAsia="Arial" w:hAnsi="Arial"/>
          <w:sz w:val="20"/>
          <w:szCs w:val="20"/>
          <w:b w:val="1"/>
          <w:bCs w:val="1"/>
          <w:color w:val="auto"/>
        </w:rPr>
        <w:t xml:space="preserve"> </w:t>
      </w:r>
      <w:r>
        <w:rPr>
          <w:rFonts w:ascii="Arial" w:cs="Arial" w:eastAsia="Arial" w:hAnsi="Arial"/>
          <w:sz w:val="20"/>
          <w:szCs w:val="20"/>
          <w:color w:val="auto"/>
        </w:rPr>
        <w:t>to 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13" w:right="339" w:bottom="1440" w:gutter="0" w:footer="0" w:header="0"/>
        </w:sectPr>
      </w:pPr>
    </w:p>
    <w:bookmarkStart w:id="24" w:name="page25"/>
    <w:bookmarkEnd w:id="24"/>
    <w:p>
      <w:pPr>
        <w:jc w:val="both"/>
        <w:spacing w:after="0" w:line="327" w:lineRule="auto"/>
        <w:rPr>
          <w:sz w:val="20"/>
          <w:szCs w:val="20"/>
          <w:color w:val="auto"/>
        </w:rPr>
      </w:pPr>
      <w:r>
        <w:rPr>
          <w:rFonts w:ascii="Arial" w:cs="Arial" w:eastAsia="Arial" w:hAnsi="Arial"/>
          <w:sz w:val="16"/>
          <w:szCs w:val="16"/>
          <w:color w:val="auto"/>
        </w:rPr>
        <w:t xml:space="preserve">be required to pledge and deposit with the Company all or part of the Shares so purchased as collateral to secure the payment of Participant’s obligation to the Company under the promissory note;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83" w:lineRule="exact"/>
        <w:rPr>
          <w:sz w:val="20"/>
          <w:szCs w:val="20"/>
          <w:color w:val="auto"/>
        </w:rPr>
      </w:pPr>
    </w:p>
    <w:p>
      <w:pPr>
        <w:jc w:val="both"/>
        <w:ind w:firstLine="8"/>
        <w:spacing w:after="0" w:line="269" w:lineRule="auto"/>
        <w:tabs>
          <w:tab w:leader="none" w:pos="52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REPRICING; EXCHANGE AND BUYOUT OF AWARDS</w:t>
      </w:r>
      <w:r>
        <w:rPr>
          <w:rFonts w:ascii="Arial" w:cs="Arial" w:eastAsia="Arial" w:hAnsi="Arial"/>
          <w:sz w:val="19"/>
          <w:szCs w:val="19"/>
          <w:color w:val="auto"/>
        </w:rPr>
        <w:t>. Without prior stockholder approval, the Committee may (a) reprice</w:t>
      </w:r>
      <w:r>
        <w:rPr>
          <w:rFonts w:ascii="Arial" w:cs="Arial" w:eastAsia="Arial" w:hAnsi="Arial"/>
          <w:sz w:val="19"/>
          <w:szCs w:val="19"/>
          <w:b w:val="1"/>
          <w:bCs w:val="1"/>
          <w:color w:val="auto"/>
        </w:rPr>
        <w:t xml:space="preserve"> </w:t>
      </w:r>
      <w:r>
        <w:rPr>
          <w:rFonts w:ascii="Arial" w:cs="Arial" w:eastAsia="Arial" w:hAnsi="Arial"/>
          <w:sz w:val="19"/>
          <w:szCs w:val="19"/>
          <w:color w:val="auto"/>
        </w:rPr>
        <w:t>Options or 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5" w:lineRule="exact"/>
        <w:rPr>
          <w:rFonts w:ascii="Arial" w:cs="Arial" w:eastAsia="Arial" w:hAnsi="Arial"/>
          <w:sz w:val="19"/>
          <w:szCs w:val="19"/>
          <w:b w:val="1"/>
          <w:bCs w:val="1"/>
          <w:color w:val="auto"/>
        </w:rPr>
      </w:pPr>
    </w:p>
    <w:p>
      <w:pPr>
        <w:jc w:val="both"/>
        <w:ind w:firstLine="8"/>
        <w:spacing w:after="0" w:line="263" w:lineRule="auto"/>
        <w:tabs>
          <w:tab w:leader="none" w:pos="540"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SECURITIES LAW AND OTHER REGULATORY COMPLIANCE</w:t>
      </w:r>
      <w:r>
        <w:rPr>
          <w:rFonts w:ascii="Arial" w:cs="Arial" w:eastAsia="Arial" w:hAnsi="Arial"/>
          <w:sz w:val="19"/>
          <w:szCs w:val="19"/>
          <w:color w:val="auto"/>
        </w:rPr>
        <w:t>. An Award will not be effective unless such Award is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33" w:lineRule="exact"/>
        <w:rPr>
          <w:rFonts w:ascii="Arial" w:cs="Arial" w:eastAsia="Arial" w:hAnsi="Arial"/>
          <w:sz w:val="19"/>
          <w:szCs w:val="19"/>
          <w:b w:val="1"/>
          <w:bCs w:val="1"/>
          <w:color w:val="auto"/>
        </w:rPr>
      </w:pPr>
    </w:p>
    <w:p>
      <w:pPr>
        <w:jc w:val="both"/>
        <w:ind w:firstLine="8"/>
        <w:spacing w:after="0" w:line="258" w:lineRule="auto"/>
        <w:tabs>
          <w:tab w:leader="none" w:pos="472"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OBLIGATION TO EMPLOY</w:t>
      </w:r>
      <w:r>
        <w:rPr>
          <w:rFonts w:ascii="Arial" w:cs="Arial" w:eastAsia="Arial" w:hAnsi="Arial"/>
          <w:sz w:val="20"/>
          <w:szCs w:val="20"/>
          <w:color w:val="auto"/>
        </w:rPr>
        <w:t>. Nothing in this Plan or any Award granted under this Plan will confer or be deemed to confer on</w:t>
      </w:r>
      <w:r>
        <w:rPr>
          <w:rFonts w:ascii="Arial" w:cs="Arial" w:eastAsia="Arial" w:hAnsi="Arial"/>
          <w:sz w:val="20"/>
          <w:szCs w:val="20"/>
          <w:b w:val="1"/>
          <w:bCs w:val="1"/>
          <w:color w:val="auto"/>
        </w:rPr>
        <w:t xml:space="preserve"> </w:t>
      </w:r>
      <w:r>
        <w:rPr>
          <w:rFonts w:ascii="Arial" w:cs="Arial" w:eastAsia="Arial" w:hAnsi="Arial"/>
          <w:sz w:val="20"/>
          <w:szCs w:val="20"/>
          <w:color w:val="auto"/>
        </w:rPr>
        <w:t>any 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18" w:lineRule="exact"/>
        <w:rPr>
          <w:rFonts w:ascii="Arial" w:cs="Arial" w:eastAsia="Arial" w:hAnsi="Arial"/>
          <w:sz w:val="20"/>
          <w:szCs w:val="20"/>
          <w:b w:val="1"/>
          <w:bCs w:val="1"/>
          <w:color w:val="auto"/>
        </w:rPr>
      </w:pPr>
    </w:p>
    <w:p>
      <w:pPr>
        <w:ind w:left="460" w:hanging="452"/>
        <w:spacing w:after="0"/>
        <w:tabs>
          <w:tab w:leader="none" w:pos="46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CORPORATE TRANSACTIONS</w:t>
      </w:r>
      <w:r>
        <w:rPr>
          <w:rFonts w:ascii="Arial" w:cs="Arial" w:eastAsia="Arial" w:hAnsi="Arial"/>
          <w:sz w:val="20"/>
          <w:szCs w:val="20"/>
          <w:color w:val="auto"/>
        </w:rPr>
        <w:t>.</w:t>
      </w:r>
    </w:p>
    <w:p>
      <w:pPr>
        <w:spacing w:after="0" w:line="17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21.1. </w:t>
      </w:r>
      <w:r>
        <w:rPr>
          <w:rFonts w:ascii="Arial" w:cs="Arial" w:eastAsia="Arial" w:hAnsi="Arial"/>
          <w:sz w:val="19"/>
          <w:szCs w:val="19"/>
          <w:u w:val="single" w:color="auto"/>
          <w:color w:val="auto"/>
        </w:rPr>
        <w:t>Assumption or Replacement of Awards by Successor</w:t>
      </w:r>
      <w:r>
        <w:rPr>
          <w:rFonts w:ascii="Arial" w:cs="Arial" w:eastAsia="Arial" w:hAnsi="Arial"/>
          <w:sz w:val="19"/>
          <w:szCs w:val="19"/>
          <w:color w:val="auto"/>
        </w:rPr>
        <w:t>. In the event that the Company is subject to a Corporate Transaction,</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12" w:lineRule="exact"/>
        <w:rPr>
          <w:sz w:val="20"/>
          <w:szCs w:val="20"/>
          <w:color w:val="auto"/>
        </w:rPr>
      </w:pPr>
    </w:p>
    <w:p>
      <w:pPr>
        <w:ind w:left="1720" w:hanging="416"/>
        <w:spacing w:after="0"/>
        <w:tabs>
          <w:tab w:leader="none" w:pos="1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continuation of an outstanding Award by the Company (if the Company is the successor entity).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19" w:right="339" w:bottom="1440" w:gutter="0" w:footer="0" w:header="0"/>
        </w:sectPr>
      </w:pPr>
    </w:p>
    <w:bookmarkStart w:id="25" w:name="page26"/>
    <w:bookmarkEnd w:id="25"/>
    <w:p>
      <w:pPr>
        <w:jc w:val="both"/>
        <w:ind w:firstLine="1304"/>
        <w:spacing w:after="0" w:line="273" w:lineRule="auto"/>
        <w:tabs>
          <w:tab w:leader="none" w:pos="1728"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12" w:lineRule="exact"/>
        <w:rPr>
          <w:rFonts w:ascii="Arial" w:cs="Arial" w:eastAsia="Arial" w:hAnsi="Arial"/>
          <w:sz w:val="19"/>
          <w:szCs w:val="19"/>
          <w:color w:val="auto"/>
        </w:rPr>
      </w:pPr>
    </w:p>
    <w:p>
      <w:pPr>
        <w:jc w:val="both"/>
        <w:ind w:firstLine="1304"/>
        <w:spacing w:after="0" w:line="273" w:lineRule="auto"/>
        <w:tabs>
          <w:tab w:leader="none" w:pos="1842"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26" w:lineRule="exact"/>
        <w:rPr>
          <w:rFonts w:ascii="Arial" w:cs="Arial" w:eastAsia="Arial" w:hAnsi="Arial"/>
          <w:sz w:val="19"/>
          <w:szCs w:val="19"/>
          <w:color w:val="auto"/>
        </w:rPr>
      </w:pPr>
    </w:p>
    <w:p>
      <w:pPr>
        <w:jc w:val="both"/>
        <w:ind w:firstLine="1304"/>
        <w:spacing w:after="0" w:line="257" w:lineRule="auto"/>
        <w:tabs>
          <w:tab w:leader="none" w:pos="172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138" w:lineRule="exact"/>
        <w:rPr>
          <w:rFonts w:ascii="Arial" w:cs="Arial" w:eastAsia="Arial" w:hAnsi="Arial"/>
          <w:sz w:val="20"/>
          <w:szCs w:val="20"/>
          <w:color w:val="auto"/>
        </w:rPr>
      </w:pPr>
    </w:p>
    <w:p>
      <w:pPr>
        <w:jc w:val="both"/>
        <w:ind w:firstLine="1304"/>
        <w:spacing w:after="0" w:line="265" w:lineRule="auto"/>
        <w:tabs>
          <w:tab w:leader="none" w:pos="1776"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22" w:lineRule="exact"/>
        <w:rPr>
          <w:rFonts w:ascii="Arial" w:cs="Arial" w:eastAsia="Arial" w:hAnsi="Arial"/>
          <w:sz w:val="19"/>
          <w:szCs w:val="19"/>
          <w:color w:val="auto"/>
        </w:rPr>
      </w:pPr>
    </w:p>
    <w:p>
      <w:pPr>
        <w:ind w:left="1700" w:hanging="396"/>
        <w:spacing w:after="0"/>
        <w:tabs>
          <w:tab w:leader="none" w:pos="17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cancellation of outstanding Awards in exchange for no consideration.</w:t>
      </w:r>
    </w:p>
    <w:p>
      <w:pPr>
        <w:spacing w:after="0" w:line="1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0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b w:val="1"/>
          <w:bCs w:val="1"/>
          <w:color w:val="auto"/>
        </w:rPr>
        <w:t xml:space="preserve">21.2. </w:t>
      </w:r>
      <w:r>
        <w:rPr>
          <w:rFonts w:ascii="Arial" w:cs="Arial" w:eastAsia="Arial" w:hAnsi="Arial"/>
          <w:sz w:val="19"/>
          <w:szCs w:val="19"/>
          <w:u w:val="single" w:color="auto"/>
          <w:color w:val="auto"/>
        </w:rPr>
        <w:t>Assumption of Awards by the Company</w:t>
      </w:r>
      <w:r>
        <w:rPr>
          <w:rFonts w:ascii="Arial" w:cs="Arial" w:eastAsia="Arial" w:hAnsi="Arial"/>
          <w:sz w:val="19"/>
          <w:szCs w:val="19"/>
          <w:color w:val="auto"/>
        </w:rPr>
        <w:t>. The Company, from time to time, also may substitute or assume outstanding awards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by 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w:t>
      </w:r>
      <w:r>
        <w:rPr>
          <w:rFonts w:ascii="Arial" w:cs="Arial" w:eastAsia="Arial" w:hAnsi="Arial"/>
          <w:sz w:val="19"/>
          <w:szCs w:val="19"/>
          <w:u w:val="single" w:color="auto"/>
          <w:color w:val="auto"/>
        </w:rPr>
        <w:t>except</w:t>
      </w:r>
      <w:r>
        <w:rPr>
          <w:rFonts w:ascii="Arial" w:cs="Arial" w:eastAsia="Arial" w:hAnsi="Arial"/>
          <w:sz w:val="19"/>
          <w:szCs w:val="19"/>
          <w:color w:val="auto"/>
        </w:rPr>
        <w:t xml:space="preserve"> that the Purchase Price or the Exercise Price, as the case may be, and the number and nature of Shares issuable upon exercise or settlement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19" w:right="3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20"/>
          <w:szCs w:val="20"/>
          <w:color w:val="auto"/>
        </w:rPr>
        <w:t>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24"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b w:val="1"/>
          <w:bCs w:val="1"/>
          <w:color w:val="auto"/>
        </w:rPr>
        <w:t xml:space="preserve">21.3. </w:t>
      </w:r>
      <w:r>
        <w:rPr>
          <w:rFonts w:ascii="Arial" w:cs="Arial" w:eastAsia="Arial" w:hAnsi="Arial"/>
          <w:sz w:val="18"/>
          <w:szCs w:val="18"/>
          <w:u w:val="single" w:color="auto"/>
          <w:color w:val="auto"/>
        </w:rPr>
        <w:t>Non-Employee Directors’ Awards</w:t>
      </w:r>
      <w:r>
        <w:rPr>
          <w:rFonts w:ascii="Arial" w:cs="Arial" w:eastAsia="Arial" w:hAnsi="Arial"/>
          <w:sz w:val="18"/>
          <w:szCs w:val="18"/>
          <w:color w:val="auto"/>
        </w:rPr>
        <w:t>. Notwithstanding any provision to the contrary herein, in the event of a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the vesting of all Awards granted to Non-Employee Directors shall accelerate and such Awards shall become exercisable (as applicable) in full prior to the consummation of such event at such times and on such conditions as the Committee determines.</w:t>
      </w:r>
    </w:p>
    <w:p>
      <w:pPr>
        <w:spacing w:after="0" w:line="75" w:lineRule="exact"/>
        <w:rPr>
          <w:sz w:val="20"/>
          <w:szCs w:val="20"/>
          <w:color w:val="auto"/>
        </w:rPr>
      </w:pPr>
    </w:p>
    <w:p>
      <w:pPr>
        <w:ind w:firstLine="8"/>
        <w:spacing w:after="0" w:line="308" w:lineRule="auto"/>
        <w:tabs>
          <w:tab w:leader="none" w:pos="499"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ADOPTION AND STOCKHOLDER APPROVAL</w:t>
      </w:r>
      <w:r>
        <w:rPr>
          <w:rFonts w:ascii="Arial" w:cs="Arial" w:eastAsia="Arial" w:hAnsi="Arial"/>
          <w:sz w:val="19"/>
          <w:szCs w:val="19"/>
          <w:color w:val="auto"/>
        </w:rPr>
        <w:t>. This Plan shall be submitted for the approval of the Company’s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consistent with applicable laws, within twelve (12) months before or after the date this Plan is adopted by the Board.</w:t>
      </w:r>
    </w:p>
    <w:p>
      <w:pPr>
        <w:spacing w:after="0" w:line="73" w:lineRule="exact"/>
        <w:rPr>
          <w:rFonts w:ascii="Arial" w:cs="Arial" w:eastAsia="Arial" w:hAnsi="Arial"/>
          <w:sz w:val="19"/>
          <w:szCs w:val="19"/>
          <w:b w:val="1"/>
          <w:bCs w:val="1"/>
          <w:color w:val="auto"/>
        </w:rPr>
      </w:pPr>
    </w:p>
    <w:p>
      <w:pPr>
        <w:jc w:val="both"/>
        <w:ind w:firstLine="8"/>
        <w:spacing w:after="0" w:line="310" w:lineRule="auto"/>
        <w:tabs>
          <w:tab w:leader="none" w:pos="4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PLAN/GOVERNING LAW</w:t>
      </w:r>
      <w:r>
        <w:rPr>
          <w:rFonts w:ascii="Arial" w:cs="Arial" w:eastAsia="Arial" w:hAnsi="Arial"/>
          <w:sz w:val="18"/>
          <w:szCs w:val="18"/>
          <w:color w:val="auto"/>
        </w:rPr>
        <w:t>. Unless earlier terminated as provided herein, this Plan will become effective on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and will terminate ten (10) years from the date this Plan is adopted by the Board. This Plan and all Awards granted hereunder shall be governed by and construed in accordance with the laws of the State of Delaware (excluding its conflict of law rules).</w:t>
      </w:r>
    </w:p>
    <w:p>
      <w:pPr>
        <w:spacing w:after="0" w:line="90" w:lineRule="exact"/>
        <w:rPr>
          <w:rFonts w:ascii="Arial" w:cs="Arial" w:eastAsia="Arial" w:hAnsi="Arial"/>
          <w:sz w:val="18"/>
          <w:szCs w:val="18"/>
          <w:b w:val="1"/>
          <w:bCs w:val="1"/>
          <w:color w:val="auto"/>
        </w:rPr>
      </w:pPr>
    </w:p>
    <w:p>
      <w:pPr>
        <w:jc w:val="both"/>
        <w:ind w:firstLine="8"/>
        <w:spacing w:after="0" w:line="285" w:lineRule="auto"/>
        <w:tabs>
          <w:tab w:leader="none" w:pos="44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OR TERMINATION OF PLAN</w:t>
      </w:r>
      <w:r>
        <w:rPr>
          <w:rFonts w:ascii="Arial" w:cs="Arial" w:eastAsia="Arial" w:hAnsi="Arial"/>
          <w:sz w:val="19"/>
          <w:szCs w:val="19"/>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may at any time terminate or amend this Plan in any respect,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limitation, amendment of any form of Award Agreement or instrument to be executed pursuant to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Board will not, without the approval of the stockholders of the Company, amend this Plan in any manner that requires such stockholder approval;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00" w:lineRule="exact"/>
        <w:rPr>
          <w:rFonts w:ascii="Arial" w:cs="Arial" w:eastAsia="Arial" w:hAnsi="Arial"/>
          <w:sz w:val="18"/>
          <w:szCs w:val="18"/>
          <w:b w:val="1"/>
          <w:bCs w:val="1"/>
          <w:color w:val="auto"/>
        </w:rPr>
      </w:pPr>
    </w:p>
    <w:p>
      <w:pPr>
        <w:jc w:val="both"/>
        <w:ind w:firstLine="8"/>
        <w:spacing w:after="0" w:line="256" w:lineRule="auto"/>
        <w:tabs>
          <w:tab w:leader="none" w:pos="445"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NON-EXCLUSIVITY OF THE PLAN</w:t>
      </w:r>
      <w:r>
        <w:rPr>
          <w:rFonts w:ascii="Arial" w:cs="Arial" w:eastAsia="Arial" w:hAnsi="Arial"/>
          <w:sz w:val="20"/>
          <w:szCs w:val="20"/>
          <w:color w:val="auto"/>
        </w:rPr>
        <w:t>. Neither the adoption of this Plan by the Board, the submission of this Plan to the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23" w:lineRule="exact"/>
        <w:rPr>
          <w:rFonts w:ascii="Arial" w:cs="Arial" w:eastAsia="Arial" w:hAnsi="Arial"/>
          <w:sz w:val="20"/>
          <w:szCs w:val="20"/>
          <w:b w:val="1"/>
          <w:bCs w:val="1"/>
          <w:color w:val="auto"/>
        </w:rPr>
      </w:pPr>
    </w:p>
    <w:p>
      <w:pPr>
        <w:jc w:val="both"/>
        <w:ind w:firstLine="8"/>
        <w:spacing w:after="0" w:line="260" w:lineRule="auto"/>
        <w:tabs>
          <w:tab w:leader="none" w:pos="445"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INSIDER TRADING POLICY</w:t>
      </w:r>
      <w:r>
        <w:rPr>
          <w:rFonts w:ascii="Arial" w:cs="Arial" w:eastAsia="Arial" w:hAnsi="Arial"/>
          <w:sz w:val="20"/>
          <w:szCs w:val="20"/>
          <w:color w:val="auto"/>
        </w:rPr>
        <w:t>. Each Participant who receives an Award shall comply with any policy adopted by the Company from</w:t>
      </w:r>
      <w:r>
        <w:rPr>
          <w:rFonts w:ascii="Arial" w:cs="Arial" w:eastAsia="Arial" w:hAnsi="Arial"/>
          <w:sz w:val="20"/>
          <w:szCs w:val="20"/>
          <w:b w:val="1"/>
          <w:bCs w:val="1"/>
          <w:color w:val="auto"/>
        </w:rPr>
        <w:t xml:space="preserve"> </w:t>
      </w:r>
      <w:r>
        <w:rPr>
          <w:rFonts w:ascii="Arial" w:cs="Arial" w:eastAsia="Arial" w:hAnsi="Arial"/>
          <w:sz w:val="20"/>
          <w:szCs w:val="20"/>
          <w:color w:val="auto"/>
        </w:rPr>
        <w:t>time to time covering transactions in the Company’s securities by Employees, officers and/or directors of the Company, as well as with any applicable insider trading or market abuse laws to which the Participant may be subject.</w:t>
      </w:r>
    </w:p>
    <w:p>
      <w:pPr>
        <w:spacing w:after="0" w:line="130" w:lineRule="exact"/>
        <w:rPr>
          <w:rFonts w:ascii="Arial" w:cs="Arial" w:eastAsia="Arial" w:hAnsi="Arial"/>
          <w:sz w:val="20"/>
          <w:szCs w:val="20"/>
          <w:b w:val="1"/>
          <w:bCs w:val="1"/>
          <w:color w:val="auto"/>
        </w:rPr>
      </w:pPr>
    </w:p>
    <w:p>
      <w:pPr>
        <w:jc w:val="both"/>
        <w:ind w:firstLine="8"/>
        <w:spacing w:after="0" w:line="288" w:lineRule="auto"/>
        <w:tabs>
          <w:tab w:leader="none" w:pos="47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AWARDS SUBJECT TO COMPANY CLAWBACK OR RECOUPMENT POLICY</w:t>
      </w:r>
      <w:r>
        <w:rPr>
          <w:rFonts w:ascii="Arial" w:cs="Arial" w:eastAsia="Arial" w:hAnsi="Arial"/>
          <w:sz w:val="18"/>
          <w:szCs w:val="18"/>
          <w:color w:val="auto"/>
        </w:rPr>
        <w:t>. All Awards shall, subject to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 be 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19" w:right="339" w:bottom="1440" w:gutter="0" w:footer="0" w:header="0"/>
        </w:sectPr>
      </w:pPr>
    </w:p>
    <w:bookmarkStart w:id="27" w:name="page28"/>
    <w:bookmarkEnd w:id="27"/>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Plan, and except as elsewhere defined herein, the following terms will have the following meanings:</w:t>
      </w:r>
    </w:p>
    <w:p>
      <w:pPr>
        <w:spacing w:after="0" w:line="19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28.1. </w:t>
      </w: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 any entity that, directly or indirectly, is controlled by, controls, or is under common control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(b) any entity in which the Company has a significant equity interest, in either case as determined by the Committee, whether now or hereafter existing.</w:t>
      </w:r>
    </w:p>
    <w:p>
      <w:pPr>
        <w:spacing w:after="0" w:line="117"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b w:val="1"/>
          <w:bCs w:val="1"/>
          <w:color w:val="auto"/>
        </w:rPr>
        <w:t xml:space="preserve">28.2. </w:t>
      </w:r>
      <w:r>
        <w:rPr>
          <w:rFonts w:ascii="Arial" w:cs="Arial" w:eastAsia="Arial" w:hAnsi="Arial"/>
          <w:sz w:val="20"/>
          <w:szCs w:val="20"/>
          <w:color w:val="auto"/>
        </w:rPr>
        <w:t>“</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means any award under the Plan, including any Option, Performance Award, Restricted Stock, Stock Bonus, Stock</w:t>
      </w:r>
      <w:r>
        <w:rPr>
          <w:rFonts w:ascii="Arial" w:cs="Arial" w:eastAsia="Arial" w:hAnsi="Arial"/>
          <w:sz w:val="20"/>
          <w:szCs w:val="20"/>
          <w:b w:val="1"/>
          <w:bCs w:val="1"/>
          <w:color w:val="auto"/>
        </w:rPr>
        <w:t xml:space="preserve"> </w:t>
      </w:r>
      <w:r>
        <w:rPr>
          <w:rFonts w:ascii="Arial" w:cs="Arial" w:eastAsia="Arial" w:hAnsi="Arial"/>
          <w:sz w:val="20"/>
          <w:szCs w:val="20"/>
          <w:color w:val="auto"/>
        </w:rPr>
        <w:t>Appreciation Right, or Restricted Stock Unit.</w:t>
      </w:r>
    </w:p>
    <w:p>
      <w:pPr>
        <w:spacing w:after="0" w:line="10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28.3. “</w:t>
      </w:r>
      <w:r>
        <w:rPr>
          <w:rFonts w:ascii="Arial" w:cs="Arial" w:eastAsia="Arial" w:hAnsi="Arial"/>
          <w:sz w:val="20"/>
          <w:szCs w:val="20"/>
          <w:b w:val="1"/>
          <w:bCs w:val="1"/>
          <w:i w:val="1"/>
          <w:iCs w:val="1"/>
          <w:color w:val="auto"/>
        </w:rPr>
        <w:t>Award Agreement</w:t>
      </w:r>
      <w:r>
        <w:rPr>
          <w:rFonts w:ascii="Arial" w:cs="Arial" w:eastAsia="Arial" w:hAnsi="Arial"/>
          <w:sz w:val="20"/>
          <w:szCs w:val="20"/>
          <w:color w:val="auto"/>
        </w:rPr>
        <w:t>” means, with respect to each Award, the written or electronic agreement between the Company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3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28.4.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6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28.5.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means the business combination effected pursuant to the Business Combination Agreement.</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28.6. </w:t>
      </w:r>
      <w:r>
        <w:rPr>
          <w:rFonts w:ascii="Arial" w:cs="Arial" w:eastAsia="Arial" w:hAnsi="Arial"/>
          <w:sz w:val="20"/>
          <w:szCs w:val="20"/>
          <w:color w:val="auto"/>
        </w:rPr>
        <w:t>“</w:t>
      </w:r>
      <w:r>
        <w:rPr>
          <w:rFonts w:ascii="Arial" w:cs="Arial" w:eastAsia="Arial" w:hAnsi="Arial"/>
          <w:sz w:val="20"/>
          <w:szCs w:val="20"/>
          <w:b w:val="1"/>
          <w:bCs w:val="1"/>
          <w:i w:val="1"/>
          <w:iCs w:val="1"/>
          <w:color w:val="auto"/>
        </w:rPr>
        <w:t>Business Combination Agreement</w:t>
      </w:r>
      <w:r>
        <w:rPr>
          <w:rFonts w:ascii="Arial" w:cs="Arial" w:eastAsia="Arial" w:hAnsi="Arial"/>
          <w:sz w:val="20"/>
          <w:szCs w:val="20"/>
          <w:color w:val="auto"/>
        </w:rPr>
        <w:t>” means the Agreement and Plan of Merger, by and among CM Life Sciences, Inc.,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certain other parties thereto, dated as of February 9, 2021.</w:t>
      </w:r>
    </w:p>
    <w:p>
      <w:pPr>
        <w:spacing w:after="0" w:line="1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 xml:space="preserve">28.7. </w:t>
      </w: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Participant’s (a) willful failure substantially to perform his or her duties and responsibilities to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deliberate 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 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18"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b w:val="1"/>
          <w:bCs w:val="1"/>
          <w:color w:val="auto"/>
        </w:rPr>
        <w:t>28.8.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and the regulations promulgated thereunder.</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28.9. </w:t>
      </w: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means the Compensation Committee of the Board or those persons to whom administration of the Plan, or part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Plan, has been delegated as permitted by law.</w:t>
      </w:r>
    </w:p>
    <w:p>
      <w:pPr>
        <w:spacing w:after="0" w:line="12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28.10.</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GeneDx Holdings Corp., or any successor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13" w:right="339" w:bottom="1440" w:gutter="0" w:footer="0" w:header="0"/>
        </w:sectPr>
      </w:pPr>
    </w:p>
    <w:bookmarkStart w:id="28" w:name="page29"/>
    <w:bookmarkEnd w:id="28"/>
    <w:p>
      <w:pPr>
        <w:ind w:firstLine="648"/>
        <w:spacing w:after="0" w:line="281" w:lineRule="auto"/>
        <w:rPr>
          <w:sz w:val="20"/>
          <w:szCs w:val="20"/>
          <w:color w:val="auto"/>
        </w:rPr>
      </w:pPr>
      <w:r>
        <w:rPr>
          <w:rFonts w:ascii="Arial" w:cs="Arial" w:eastAsia="Arial" w:hAnsi="Arial"/>
          <w:sz w:val="20"/>
          <w:szCs w:val="20"/>
          <w:b w:val="1"/>
          <w:bCs w:val="1"/>
          <w:color w:val="auto"/>
        </w:rPr>
        <w:t xml:space="preserve">28.11. </w:t>
      </w:r>
      <w:r>
        <w:rPr>
          <w:rFonts w:ascii="Arial" w:cs="Arial" w:eastAsia="Arial" w:hAnsi="Arial"/>
          <w:sz w:val="20"/>
          <w:szCs w:val="20"/>
          <w:color w:val="auto"/>
        </w:rPr>
        <w:t>“</w:t>
      </w:r>
      <w:r>
        <w:rPr>
          <w:rFonts w:ascii="Arial" w:cs="Arial" w:eastAsia="Arial" w:hAnsi="Arial"/>
          <w:sz w:val="20"/>
          <w:szCs w:val="20"/>
          <w:b w:val="1"/>
          <w:bCs w:val="1"/>
          <w:i w:val="1"/>
          <w:iCs w:val="1"/>
          <w:color w:val="auto"/>
        </w:rPr>
        <w:t>Consultant</w:t>
      </w:r>
      <w:r>
        <w:rPr>
          <w:rFonts w:ascii="Arial" w:cs="Arial" w:eastAsia="Arial" w:hAnsi="Arial"/>
          <w:sz w:val="20"/>
          <w:szCs w:val="20"/>
          <w:color w:val="auto"/>
        </w:rPr>
        <w:t>” means any natural person, including an advisor or independent contractor, engaged by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Parent, Subsidiary or Affiliate to render services to such entity.</w:t>
      </w:r>
    </w:p>
    <w:p>
      <w:pPr>
        <w:spacing w:after="0" w:line="9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Corporate Transaction</w:t>
      </w:r>
      <w:r>
        <w:rPr>
          <w:rFonts w:ascii="Arial" w:cs="Arial" w:eastAsia="Arial" w:hAnsi="Arial"/>
          <w:sz w:val="16"/>
          <w:szCs w:val="16"/>
          <w:color w:val="auto"/>
        </w:rPr>
        <w:t>” means the occurrence of any of the following events:</w:t>
      </w:r>
    </w:p>
    <w:p>
      <w:pPr>
        <w:spacing w:after="0" w:line="181" w:lineRule="exact"/>
        <w:rPr>
          <w:sz w:val="20"/>
          <w:szCs w:val="20"/>
          <w:color w:val="auto"/>
        </w:rPr>
      </w:pPr>
    </w:p>
    <w:p>
      <w:pPr>
        <w:jc w:val="both"/>
        <w:ind w:firstLine="1304"/>
        <w:spacing w:after="0" w:line="268" w:lineRule="auto"/>
        <w:tabs>
          <w:tab w:leader="none" w:pos="1753"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30" w:lineRule="exact"/>
        <w:rPr>
          <w:rFonts w:ascii="Arial" w:cs="Arial" w:eastAsia="Arial" w:hAnsi="Arial"/>
          <w:sz w:val="19"/>
          <w:szCs w:val="19"/>
          <w:color w:val="auto"/>
        </w:rPr>
      </w:pPr>
    </w:p>
    <w:p>
      <w:pPr>
        <w:ind w:left="1740" w:hanging="436"/>
        <w:spacing w:after="0"/>
        <w:tabs>
          <w:tab w:leader="none" w:pos="17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consummation of the sale or disposition by the Company of all or substantially all of the Company’s assets;</w:t>
      </w:r>
    </w:p>
    <w:p>
      <w:pPr>
        <w:spacing w:after="0" w:line="173" w:lineRule="exact"/>
        <w:rPr>
          <w:rFonts w:ascii="Arial" w:cs="Arial" w:eastAsia="Arial" w:hAnsi="Arial"/>
          <w:sz w:val="19"/>
          <w:szCs w:val="19"/>
          <w:color w:val="auto"/>
        </w:rPr>
      </w:pPr>
    </w:p>
    <w:p>
      <w:pPr>
        <w:jc w:val="both"/>
        <w:ind w:firstLine="1304"/>
        <w:spacing w:after="0" w:line="255" w:lineRule="auto"/>
        <w:tabs>
          <w:tab w:leader="none" w:pos="1802" w:val="left"/>
        </w:tabs>
        <w:numPr>
          <w:ilvl w:val="0"/>
          <w:numId w:val="33"/>
        </w:numPr>
        <w:rPr>
          <w:rFonts w:ascii="Arial" w:cs="Arial" w:eastAsia="Arial" w:hAnsi="Arial"/>
          <w:sz w:val="20"/>
          <w:szCs w:val="20"/>
          <w:color w:val="auto"/>
        </w:rPr>
      </w:pPr>
      <w:r>
        <w:rPr>
          <w:rFonts w:ascii="Arial" w:cs="Arial" w:eastAsia="Arial" w:hAnsi="Arial"/>
          <w:sz w:val="20"/>
          <w:szCs w:val="20"/>
          <w:color w:val="auto"/>
        </w:rPr>
        <w: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28" w:lineRule="exact"/>
        <w:rPr>
          <w:rFonts w:ascii="Arial" w:cs="Arial" w:eastAsia="Arial" w:hAnsi="Arial"/>
          <w:sz w:val="20"/>
          <w:szCs w:val="20"/>
          <w:color w:val="auto"/>
        </w:rPr>
      </w:pPr>
    </w:p>
    <w:p>
      <w:pPr>
        <w:jc w:val="both"/>
        <w:ind w:firstLine="1304"/>
        <w:spacing w:after="0" w:line="264" w:lineRule="auto"/>
        <w:tabs>
          <w:tab w:leader="none" w:pos="18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18" w:lineRule="exact"/>
        <w:rPr>
          <w:rFonts w:ascii="Arial" w:cs="Arial" w:eastAsia="Arial" w:hAnsi="Arial"/>
          <w:sz w:val="20"/>
          <w:szCs w:val="20"/>
          <w:color w:val="auto"/>
        </w:rPr>
      </w:pPr>
    </w:p>
    <w:p>
      <w:pPr>
        <w:jc w:val="both"/>
        <w:ind w:firstLine="1304"/>
        <w:spacing w:after="0" w:line="251" w:lineRule="auto"/>
        <w:tabs>
          <w:tab w:leader="none" w:pos="1776"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2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3" w:right="339" w:bottom="1440" w:gutter="0" w:footer="0" w:header="0"/>
        </w:sectPr>
      </w:pPr>
    </w:p>
    <w:bookmarkStart w:id="29" w:name="page30"/>
    <w:bookmarkEnd w:id="29"/>
    <w:p>
      <w:pPr>
        <w:jc w:val="both"/>
        <w:ind w:firstLine="648"/>
        <w:spacing w:after="0" w:line="258" w:lineRule="auto"/>
        <w:rPr>
          <w:sz w:val="20"/>
          <w:szCs w:val="20"/>
          <w:color w:val="auto"/>
        </w:rPr>
      </w:pPr>
      <w:r>
        <w:rPr>
          <w:rFonts w:ascii="Arial" w:cs="Arial" w:eastAsia="Arial" w:hAnsi="Arial"/>
          <w:sz w:val="20"/>
          <w:szCs w:val="20"/>
          <w:b w:val="1"/>
          <w:bCs w:val="1"/>
          <w:color w:val="auto"/>
        </w:rPr>
        <w:t xml:space="preserve">28.14. </w:t>
      </w:r>
      <w:r>
        <w:rPr>
          <w:rFonts w:ascii="Arial" w:cs="Arial" w:eastAsia="Arial" w:hAnsi="Arial"/>
          <w:sz w:val="20"/>
          <w:szCs w:val="20"/>
          <w:color w:val="auto"/>
        </w:rPr>
        <w:t>“</w:t>
      </w:r>
      <w:r>
        <w:rPr>
          <w:rFonts w:ascii="Arial" w:cs="Arial" w:eastAsia="Arial" w:hAnsi="Arial"/>
          <w:sz w:val="20"/>
          <w:szCs w:val="20"/>
          <w:b w:val="1"/>
          <w:bCs w:val="1"/>
          <w:i w:val="1"/>
          <w:iCs w:val="1"/>
          <w:color w:val="auto"/>
        </w:rPr>
        <w:t>Disability</w:t>
      </w:r>
      <w:r>
        <w:rPr>
          <w:rFonts w:ascii="Arial" w:cs="Arial" w:eastAsia="Arial" w:hAnsi="Arial"/>
          <w:sz w:val="20"/>
          <w:szCs w:val="20"/>
          <w:color w:val="auto"/>
        </w:rPr>
        <w:t>” means in the case of ISOs, total and permanent disability as defined in Section 22(e)(3) of the Code and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case of other 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1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28.15. </w:t>
      </w:r>
      <w:r>
        <w:rPr>
          <w:rFonts w:ascii="Arial" w:cs="Arial" w:eastAsia="Arial" w:hAnsi="Arial"/>
          <w:sz w:val="20"/>
          <w:szCs w:val="20"/>
          <w:color w:val="auto"/>
        </w:rPr>
        <w:t>“</w:t>
      </w:r>
      <w:r>
        <w:rPr>
          <w:rFonts w:ascii="Arial" w:cs="Arial" w:eastAsia="Arial" w:hAnsi="Arial"/>
          <w:sz w:val="20"/>
          <w:szCs w:val="20"/>
          <w:b w:val="1"/>
          <w:bCs w:val="1"/>
          <w:i w:val="1"/>
          <w:iCs w:val="1"/>
          <w:color w:val="auto"/>
        </w:rPr>
        <w:t>Dividend Equivalent Right</w:t>
      </w:r>
      <w:r>
        <w:rPr>
          <w:rFonts w:ascii="Arial" w:cs="Arial" w:eastAsia="Arial" w:hAnsi="Arial"/>
          <w:sz w:val="20"/>
          <w:szCs w:val="20"/>
          <w:color w:val="auto"/>
        </w:rPr>
        <w:t>” means the right of a Participant, granted at the discretion of the Committee or as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provided by the Plan, to receive a credit for the account of such Participant in an amount equal to the cash, stock or other property dividends for each Share represented by an Award held by such Participant.</w:t>
      </w:r>
    </w:p>
    <w:p>
      <w:pPr>
        <w:spacing w:after="0" w:line="110"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b w:val="1"/>
          <w:bCs w:val="1"/>
          <w:color w:val="auto"/>
        </w:rPr>
        <w:t xml:space="preserve">28.16. </w:t>
      </w: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shall mean the closing date of the Business Combination, subject to approval of the Plan by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w:t>
      </w:r>
    </w:p>
    <w:p>
      <w:pPr>
        <w:spacing w:after="0" w:line="9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b w:val="1"/>
          <w:bCs w:val="1"/>
          <w:color w:val="auto"/>
        </w:rPr>
        <w:t xml:space="preserve">28.17. </w:t>
      </w: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means any person, including Officers and Directors, employed by the Company or any Parent, Subsidiary or</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 For the avoidance of doubt, neither service as a Director nor payment of a director’s fee by the Company will be sufficient to constitute “employment” by the Company and the definition of “Employee” herein shall not include Non-Employee Directors.</w:t>
      </w:r>
    </w:p>
    <w:p>
      <w:pPr>
        <w:spacing w:after="0" w:line="9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means the United States Securities Exchange Act of 1934, as amended.</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28.19. </w:t>
      </w:r>
      <w:r>
        <w:rPr>
          <w:rFonts w:ascii="Arial" w:cs="Arial" w:eastAsia="Arial" w:hAnsi="Arial"/>
          <w:sz w:val="20"/>
          <w:szCs w:val="20"/>
          <w:color w:val="auto"/>
        </w:rPr>
        <w:t>“</w:t>
      </w:r>
      <w:r>
        <w:rPr>
          <w:rFonts w:ascii="Arial" w:cs="Arial" w:eastAsia="Arial" w:hAnsi="Arial"/>
          <w:sz w:val="20"/>
          <w:szCs w:val="20"/>
          <w:b w:val="1"/>
          <w:bCs w:val="1"/>
          <w:i w:val="1"/>
          <w:iCs w:val="1"/>
          <w:color w:val="auto"/>
        </w:rPr>
        <w:t>Exchange Program</w:t>
      </w:r>
      <w:r>
        <w:rPr>
          <w:rFonts w:ascii="Arial" w:cs="Arial" w:eastAsia="Arial" w:hAnsi="Arial"/>
          <w:sz w:val="20"/>
          <w:szCs w:val="20"/>
          <w:color w:val="auto"/>
        </w:rPr>
        <w:t>” means a program pursuant to which (a) outstanding Awards are surrendered, cancelled or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for cash, the same type of Award or a different Award (or combination thereof) or (b) the Exercise Price of an outstanding Award is increased or reduced.</w:t>
      </w:r>
    </w:p>
    <w:p>
      <w:pPr>
        <w:spacing w:after="0" w:line="13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28.20. </w:t>
      </w:r>
      <w:r>
        <w:rPr>
          <w:rFonts w:ascii="Arial" w:cs="Arial" w:eastAsia="Arial" w:hAnsi="Arial"/>
          <w:sz w:val="20"/>
          <w:szCs w:val="20"/>
          <w:color w:val="auto"/>
        </w:rPr>
        <w:t>“</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means, with respect to an Option, the price at which a holder may purchase the Shares issuable upon</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of an Option and with respect to a SAR, the price at which the SAR is granted to the holder thereof.</w:t>
      </w:r>
    </w:p>
    <w:p>
      <w:pPr>
        <w:spacing w:after="0" w:line="123"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a share of the Company’s common stock determined as follows:</w:t>
      </w:r>
    </w:p>
    <w:p>
      <w:pPr>
        <w:spacing w:after="0" w:line="168" w:lineRule="exact"/>
        <w:rPr>
          <w:sz w:val="20"/>
          <w:szCs w:val="20"/>
          <w:color w:val="auto"/>
        </w:rPr>
      </w:pPr>
    </w:p>
    <w:p>
      <w:pPr>
        <w:jc w:val="both"/>
        <w:ind w:firstLine="1304"/>
        <w:spacing w:after="0" w:line="257" w:lineRule="auto"/>
        <w:tabs>
          <w:tab w:leader="none" w:pos="1718"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20"/>
          <w:szCs w:val="20"/>
          <w:i w:val="1"/>
          <w:iCs w:val="1"/>
          <w:color w:val="auto"/>
        </w:rPr>
        <w:t>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Wall Street </w:t>
      </w:r>
      <w:r>
        <w:rPr>
          <w:rFonts w:ascii="Arial" w:cs="Arial" w:eastAsia="Arial" w:hAnsi="Arial"/>
          <w:sz w:val="20"/>
          <w:szCs w:val="20"/>
          <w:color w:val="auto"/>
        </w:rPr>
        <w:t>Journal or such other source as the Committee may determine;</w:t>
      </w:r>
    </w:p>
    <w:p>
      <w:pPr>
        <w:spacing w:after="0" w:line="138" w:lineRule="exact"/>
        <w:rPr>
          <w:rFonts w:ascii="Arial" w:cs="Arial" w:eastAsia="Arial" w:hAnsi="Arial"/>
          <w:sz w:val="20"/>
          <w:szCs w:val="20"/>
          <w:color w:val="auto"/>
        </w:rPr>
      </w:pPr>
    </w:p>
    <w:p>
      <w:pPr>
        <w:jc w:val="both"/>
        <w:ind w:firstLine="1304"/>
        <w:spacing w:after="0" w:line="257" w:lineRule="auto"/>
        <w:tabs>
          <w:tab w:leader="none" w:pos="1757"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but is neither listed nor admitted to trading on a national securities exchange, the average of the closing bid and asked prices on the date of determination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Committee deems reliable; or</w:t>
      </w:r>
    </w:p>
    <w:p>
      <w:pPr>
        <w:spacing w:after="0" w:line="138" w:lineRule="exact"/>
        <w:rPr>
          <w:rFonts w:ascii="Arial" w:cs="Arial" w:eastAsia="Arial" w:hAnsi="Arial"/>
          <w:sz w:val="20"/>
          <w:szCs w:val="20"/>
          <w:color w:val="auto"/>
        </w:rPr>
      </w:pPr>
    </w:p>
    <w:p>
      <w:pPr>
        <w:ind w:left="1720" w:hanging="416"/>
        <w:spacing w:after="0"/>
        <w:tabs>
          <w:tab w:leader="none" w:pos="17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if none of the foregoing is applicable, by the Board or the Committee in good faith.</w:t>
      </w:r>
    </w:p>
    <w:p>
      <w:pPr>
        <w:spacing w:after="0" w:line="156" w:lineRule="exact"/>
        <w:rPr>
          <w:sz w:val="20"/>
          <w:szCs w:val="20"/>
          <w:color w:val="auto"/>
        </w:rPr>
      </w:pPr>
    </w:p>
    <w:p>
      <w:pPr>
        <w:ind w:firstLine="648"/>
        <w:spacing w:after="0" w:line="281" w:lineRule="auto"/>
        <w:rPr>
          <w:sz w:val="20"/>
          <w:szCs w:val="20"/>
          <w:color w:val="auto"/>
        </w:rPr>
      </w:pPr>
      <w:r>
        <w:rPr>
          <w:rFonts w:ascii="Arial" w:cs="Arial" w:eastAsia="Arial" w:hAnsi="Arial"/>
          <w:sz w:val="20"/>
          <w:szCs w:val="20"/>
          <w:b w:val="1"/>
          <w:bCs w:val="1"/>
          <w:color w:val="auto"/>
        </w:rPr>
        <w:t>28.22. “</w:t>
      </w:r>
      <w:r>
        <w:rPr>
          <w:rFonts w:ascii="Arial" w:cs="Arial" w:eastAsia="Arial" w:hAnsi="Arial"/>
          <w:sz w:val="20"/>
          <w:szCs w:val="20"/>
          <w:b w:val="1"/>
          <w:bCs w:val="1"/>
          <w:i w:val="1"/>
          <w:iCs w:val="1"/>
          <w:color w:val="auto"/>
        </w:rPr>
        <w:t>Insider</w:t>
      </w:r>
      <w:r>
        <w:rPr>
          <w:rFonts w:ascii="Arial" w:cs="Arial" w:eastAsia="Arial" w:hAnsi="Arial"/>
          <w:sz w:val="20"/>
          <w:szCs w:val="20"/>
          <w:color w:val="auto"/>
        </w:rPr>
        <w:t>” means an officer or director of the Company or any other person whose transactions in the Company’s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stock are subject to Section 16 of the Exchange Act.</w:t>
      </w:r>
    </w:p>
    <w:p>
      <w:pPr>
        <w:spacing w:after="0" w:line="10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IRS</w:t>
      </w:r>
      <w:r>
        <w:rPr>
          <w:rFonts w:ascii="Arial" w:cs="Arial" w:eastAsia="Arial" w:hAnsi="Arial"/>
          <w:sz w:val="16"/>
          <w:szCs w:val="16"/>
          <w:color w:val="auto"/>
        </w:rPr>
        <w:t>” means the United States Internal Revenue Service.</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is not an Employee of the Company or any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3" w:right="339" w:bottom="1440" w:gutter="0" w:footer="0" w:header="0"/>
        </w:sectPr>
      </w:pPr>
    </w:p>
    <w:bookmarkStart w:id="30" w:name="page31"/>
    <w:bookmarkEnd w:id="30"/>
    <w:p>
      <w:pPr>
        <w:ind w:left="660"/>
        <w:spacing w:after="0"/>
        <w:tabs>
          <w:tab w:leader="none" w:pos="1320" w:val="left"/>
        </w:tabs>
        <w:rPr>
          <w:sz w:val="20"/>
          <w:szCs w:val="20"/>
          <w:color w:val="auto"/>
        </w:rPr>
      </w:pPr>
      <w:r>
        <w:rPr>
          <w:rFonts w:ascii="Arial" w:cs="Arial" w:eastAsia="Arial" w:hAnsi="Arial"/>
          <w:sz w:val="20"/>
          <w:szCs w:val="20"/>
          <w:b w:val="1"/>
          <w:bCs w:val="1"/>
          <w:color w:val="auto"/>
        </w:rPr>
        <w:t>28.25.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award of an option to purchase Shares pursuant to Section 5 or Section 12.</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28.26. </w:t>
      </w:r>
      <w:r>
        <w:rPr>
          <w:rFonts w:ascii="Arial" w:cs="Arial" w:eastAsia="Arial" w:hAnsi="Arial"/>
          <w:sz w:val="20"/>
          <w:szCs w:val="20"/>
          <w:color w:val="auto"/>
        </w:rPr>
        <w:t>“</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means any corporation (other than the Company) in an unbroken chain of corporations ending with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if each of such corporations other than the Company owns stock possessing fifty percent (50%) or more of the total combined voting power of all classes of stock in one of the other corporations in such chain.</w:t>
      </w:r>
    </w:p>
    <w:p>
      <w:pPr>
        <w:spacing w:after="0" w:line="11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who holds an Award under this Plan.</w:t>
      </w:r>
    </w:p>
    <w:p>
      <w:pPr>
        <w:spacing w:after="0" w:line="17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0"/>
          <w:szCs w:val="20"/>
          <w:b w:val="1"/>
          <w:bCs w:val="1"/>
          <w:color w:val="auto"/>
        </w:rPr>
        <w:t>28.28.</w:t>
      </w:r>
      <w:r>
        <w:rPr>
          <w:sz w:val="20"/>
          <w:szCs w:val="20"/>
          <w:color w:val="auto"/>
        </w:rPr>
        <w:tab/>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covering cash, Shares or other property granted pursuant to Section 10 or Section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12 of the Plan.</w:t>
      </w:r>
    </w:p>
    <w:p>
      <w:pPr>
        <w:spacing w:after="0" w:line="14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28.29. </w:t>
      </w: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Factors</w:t>
      </w:r>
      <w:r>
        <w:rPr>
          <w:rFonts w:ascii="Arial" w:cs="Arial" w:eastAsia="Arial" w:hAnsi="Arial"/>
          <w:sz w:val="19"/>
          <w:szCs w:val="19"/>
          <w:color w:val="auto"/>
        </w:rPr>
        <w:t>” means any of the factors selected by the Committee and specified in an Award Agreement, from</w:t>
      </w:r>
      <w:r>
        <w:rPr>
          <w:rFonts w:ascii="Arial" w:cs="Arial" w:eastAsia="Arial" w:hAnsi="Arial"/>
          <w:sz w:val="19"/>
          <w:szCs w:val="19"/>
          <w:b w:val="1"/>
          <w:bCs w:val="1"/>
          <w:color w:val="auto"/>
        </w:rPr>
        <w:t xml:space="preserve"> </w:t>
      </w:r>
      <w:r>
        <w:rPr>
          <w:rFonts w:ascii="Arial" w:cs="Arial" w:eastAsia="Arial" w:hAnsi="Arial"/>
          <w:sz w:val="19"/>
          <w:szCs w:val="19"/>
          <w:color w:val="auto"/>
        </w:rPr>
        <w:t>among the 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13" w:lineRule="exact"/>
        <w:rPr>
          <w:sz w:val="20"/>
          <w:szCs w:val="20"/>
          <w:color w:val="auto"/>
        </w:rPr>
      </w:pPr>
    </w:p>
    <w:p>
      <w:pPr>
        <w:ind w:left="1720" w:hanging="416"/>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profit before tax;</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billings;</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revenue;</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net revenue;</w:t>
      </w:r>
    </w:p>
    <w:p>
      <w:pPr>
        <w:spacing w:after="0" w:line="175" w:lineRule="exact"/>
        <w:rPr>
          <w:rFonts w:ascii="Arial" w:cs="Arial" w:eastAsia="Arial" w:hAnsi="Arial"/>
          <w:sz w:val="20"/>
          <w:szCs w:val="20"/>
          <w:color w:val="auto"/>
        </w:rPr>
      </w:pPr>
    </w:p>
    <w:p>
      <w:pPr>
        <w:ind w:firstLine="1304"/>
        <w:spacing w:after="0" w:line="260" w:lineRule="auto"/>
        <w:tabs>
          <w:tab w:leader="none" w:pos="1857"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earnings (which may include earnings before interest and taxes, earnings before taxes, net earnings, stock-based compensation expenses, depreciation, and amortization);</w:t>
      </w:r>
    </w:p>
    <w:p>
      <w:pPr>
        <w:spacing w:after="0" w:line="136" w:lineRule="exact"/>
        <w:rPr>
          <w:rFonts w:ascii="Arial" w:cs="Arial" w:eastAsia="Arial" w:hAnsi="Arial"/>
          <w:sz w:val="20"/>
          <w:szCs w:val="20"/>
          <w:color w:val="auto"/>
        </w:rPr>
      </w:pPr>
    </w:p>
    <w:p>
      <w:pPr>
        <w:ind w:left="1700" w:hanging="396"/>
        <w:spacing w:after="0"/>
        <w:tabs>
          <w:tab w:leader="none" w:pos="17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operating income;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operating margin;</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operating profit;</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controllable operating profit or net operating profit;</w:t>
      </w:r>
    </w:p>
    <w:p>
      <w:pPr>
        <w:spacing w:after="0" w:line="175" w:lineRule="exact"/>
        <w:rPr>
          <w:rFonts w:ascii="Arial" w:cs="Arial" w:eastAsia="Arial" w:hAnsi="Arial"/>
          <w:sz w:val="20"/>
          <w:szCs w:val="20"/>
          <w:color w:val="auto"/>
        </w:rPr>
      </w:pPr>
    </w:p>
    <w:p>
      <w:pPr>
        <w:ind w:left="1680" w:hanging="376"/>
        <w:spacing w:after="0"/>
        <w:tabs>
          <w:tab w:leader="none" w:pos="16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net profit;</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gross margin;</w:t>
      </w:r>
    </w:p>
    <w:p>
      <w:pPr>
        <w:spacing w:after="0" w:line="161" w:lineRule="exact"/>
        <w:rPr>
          <w:rFonts w:ascii="Arial" w:cs="Arial" w:eastAsia="Arial" w:hAnsi="Arial"/>
          <w:sz w:val="20"/>
          <w:szCs w:val="20"/>
          <w:color w:val="auto"/>
        </w:rPr>
      </w:pPr>
    </w:p>
    <w:p>
      <w:pPr>
        <w:ind w:left="1680" w:hanging="376"/>
        <w:spacing w:after="0"/>
        <w:tabs>
          <w:tab w:leader="none" w:pos="16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operating expenses or operating expenses as a percentage of revenue;</w:t>
      </w:r>
    </w:p>
    <w:p>
      <w:pPr>
        <w:spacing w:after="0" w:line="175" w:lineRule="exact"/>
        <w:rPr>
          <w:rFonts w:ascii="Arial" w:cs="Arial" w:eastAsia="Arial" w:hAnsi="Arial"/>
          <w:sz w:val="20"/>
          <w:szCs w:val="20"/>
          <w:color w:val="auto"/>
        </w:rPr>
      </w:pPr>
    </w:p>
    <w:p>
      <w:pPr>
        <w:ind w:left="1780" w:hanging="476"/>
        <w:spacing w:after="0"/>
        <w:tabs>
          <w:tab w:leader="none" w:pos="17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net income;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total stockholder return;</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market share;</w:t>
      </w:r>
    </w:p>
    <w:p>
      <w:pPr>
        <w:spacing w:after="0" w:line="161" w:lineRule="exact"/>
        <w:rPr>
          <w:rFonts w:ascii="Arial" w:cs="Arial" w:eastAsia="Arial" w:hAnsi="Arial"/>
          <w:sz w:val="20"/>
          <w:szCs w:val="20"/>
          <w:color w:val="auto"/>
        </w:rPr>
      </w:pPr>
    </w:p>
    <w:p>
      <w:pPr>
        <w:ind w:left="1740" w:hanging="436"/>
        <w:spacing w:after="0"/>
        <w:tabs>
          <w:tab w:leader="none" w:pos="17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return on assets or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13" w:right="339" w:bottom="1440" w:gutter="0" w:footer="0" w:header="0"/>
        </w:sectPr>
      </w:pPr>
    </w:p>
    <w:bookmarkStart w:id="31" w:name="page32"/>
    <w:bookmarkEnd w:id="31"/>
    <w:p>
      <w:pPr>
        <w:ind w:left="580" w:hanging="396"/>
        <w:spacing w:after="0"/>
        <w:tabs>
          <w:tab w:leader="none" w:pos="5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Company’s stock price;</w:t>
      </w:r>
    </w:p>
    <w:p>
      <w:pPr>
        <w:spacing w:after="0" w:line="175" w:lineRule="exact"/>
        <w:rPr>
          <w:rFonts w:ascii="Arial" w:cs="Arial" w:eastAsia="Arial" w:hAnsi="Arial"/>
          <w:sz w:val="20"/>
          <w:szCs w:val="20"/>
          <w:color w:val="auto"/>
        </w:rPr>
      </w:pPr>
    </w:p>
    <w:p>
      <w:pPr>
        <w:ind w:left="600" w:hanging="416"/>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growth in stockholder value relative to a pre-determined index;</w:t>
      </w:r>
    </w:p>
    <w:p>
      <w:pPr>
        <w:spacing w:after="0" w:line="161" w:lineRule="exact"/>
        <w:rPr>
          <w:rFonts w:ascii="Arial" w:cs="Arial" w:eastAsia="Arial" w:hAnsi="Arial"/>
          <w:sz w:val="20"/>
          <w:szCs w:val="20"/>
          <w:color w:val="auto"/>
        </w:rPr>
      </w:pPr>
    </w:p>
    <w:p>
      <w:pPr>
        <w:ind w:left="560" w:hanging="376"/>
        <w:spacing w:after="0"/>
        <w:tabs>
          <w:tab w:leader="none" w:pos="5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return on equity;</w:t>
      </w:r>
    </w:p>
    <w:p>
      <w:pPr>
        <w:spacing w:after="0" w:line="175" w:lineRule="exact"/>
        <w:rPr>
          <w:rFonts w:ascii="Arial" w:cs="Arial" w:eastAsia="Arial" w:hAnsi="Arial"/>
          <w:sz w:val="20"/>
          <w:szCs w:val="20"/>
          <w:color w:val="auto"/>
        </w:rPr>
      </w:pPr>
    </w:p>
    <w:p>
      <w:pPr>
        <w:ind w:left="620" w:hanging="436"/>
        <w:spacing w:after="0"/>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return on invested capital;</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cash flow (including free cash flow or operating cash flows);</w:t>
      </w:r>
    </w:p>
    <w:p>
      <w:pPr>
        <w:spacing w:after="0" w:line="175" w:lineRule="exact"/>
        <w:rPr>
          <w:rFonts w:ascii="Arial" w:cs="Arial" w:eastAsia="Arial" w:hAnsi="Arial"/>
          <w:sz w:val="20"/>
          <w:szCs w:val="20"/>
          <w:color w:val="auto"/>
        </w:rPr>
      </w:pPr>
    </w:p>
    <w:p>
      <w:pPr>
        <w:ind w:left="660" w:hanging="476"/>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cash conversion cycle;</w:t>
      </w:r>
    </w:p>
    <w:p>
      <w:pPr>
        <w:spacing w:after="0" w:line="175" w:lineRule="exact"/>
        <w:rPr>
          <w:rFonts w:ascii="Arial" w:cs="Arial" w:eastAsia="Arial" w:hAnsi="Arial"/>
          <w:sz w:val="20"/>
          <w:szCs w:val="20"/>
          <w:color w:val="auto"/>
        </w:rPr>
      </w:pPr>
    </w:p>
    <w:p>
      <w:pPr>
        <w:ind w:left="620" w:hanging="436"/>
        <w:spacing w:after="0"/>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economic value added;</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individual confidential business objectives;</w:t>
      </w:r>
    </w:p>
    <w:p>
      <w:pPr>
        <w:spacing w:after="0" w:line="175" w:lineRule="exact"/>
        <w:rPr>
          <w:rFonts w:ascii="Arial" w:cs="Arial" w:eastAsia="Arial" w:hAnsi="Arial"/>
          <w:sz w:val="20"/>
          <w:szCs w:val="20"/>
          <w:color w:val="auto"/>
        </w:rPr>
      </w:pPr>
    </w:p>
    <w:p>
      <w:pPr>
        <w:ind w:left="600" w:hanging="416"/>
        <w:spacing w:after="0"/>
        <w:tabs>
          <w:tab w:leader="none" w:pos="60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contract awards or backlog;</w:t>
      </w:r>
    </w:p>
    <w:p>
      <w:pPr>
        <w:spacing w:after="0" w:line="162" w:lineRule="exact"/>
        <w:rPr>
          <w:sz w:val="20"/>
          <w:szCs w:val="20"/>
          <w:color w:val="auto"/>
        </w:rPr>
      </w:pPr>
    </w:p>
    <w:p>
      <w:pPr>
        <w:ind w:left="680" w:hanging="496"/>
        <w:spacing w:after="0"/>
        <w:tabs>
          <w:tab w:leader="none" w:pos="6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overhead or other expense reduction;</w:t>
      </w:r>
    </w:p>
    <w:p>
      <w:pPr>
        <w:spacing w:after="0" w:line="175"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credit rating;</w:t>
      </w:r>
    </w:p>
    <w:p>
      <w:pPr>
        <w:spacing w:after="0" w:line="175" w:lineRule="exact"/>
        <w:rPr>
          <w:rFonts w:ascii="Arial" w:cs="Arial" w:eastAsia="Arial" w:hAnsi="Arial"/>
          <w:sz w:val="20"/>
          <w:szCs w:val="20"/>
          <w:color w:val="auto"/>
        </w:rPr>
      </w:pPr>
    </w:p>
    <w:p>
      <w:pPr>
        <w:ind w:left="680" w:hanging="496"/>
        <w:spacing w:after="0"/>
        <w:tabs>
          <w:tab w:leader="none" w:pos="6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strategic plan development and implementation;</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succession plan development and implementation;</w:t>
      </w:r>
    </w:p>
    <w:p>
      <w:pPr>
        <w:spacing w:after="0" w:line="175" w:lineRule="exact"/>
        <w:rPr>
          <w:rFonts w:ascii="Arial" w:cs="Arial" w:eastAsia="Arial" w:hAnsi="Arial"/>
          <w:sz w:val="20"/>
          <w:szCs w:val="20"/>
          <w:color w:val="auto"/>
        </w:rPr>
      </w:pPr>
    </w:p>
    <w:p>
      <w:pPr>
        <w:ind w:left="680" w:hanging="496"/>
        <w:spacing w:after="0"/>
        <w:tabs>
          <w:tab w:leader="none" w:pos="6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improvement in workforce diversity;</w:t>
      </w:r>
    </w:p>
    <w:p>
      <w:pPr>
        <w:spacing w:after="0" w:line="161" w:lineRule="exact"/>
        <w:rPr>
          <w:rFonts w:ascii="Arial" w:cs="Arial" w:eastAsia="Arial" w:hAnsi="Arial"/>
          <w:sz w:val="20"/>
          <w:szCs w:val="20"/>
          <w:color w:val="auto"/>
        </w:rPr>
      </w:pPr>
    </w:p>
    <w:p>
      <w:pPr>
        <w:ind w:left="640" w:hanging="456"/>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customer indicators and/or satisfaction;</w:t>
      </w:r>
    </w:p>
    <w:p>
      <w:pPr>
        <w:spacing w:after="0" w:line="175"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new product invention or innovation;</w:t>
      </w:r>
    </w:p>
    <w:p>
      <w:pPr>
        <w:spacing w:after="0" w:line="175"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attainment of research and development milestones;</w:t>
      </w:r>
    </w:p>
    <w:p>
      <w:pPr>
        <w:spacing w:after="0" w:line="161" w:lineRule="exact"/>
        <w:rPr>
          <w:rFonts w:ascii="Arial" w:cs="Arial" w:eastAsia="Arial" w:hAnsi="Arial"/>
          <w:sz w:val="20"/>
          <w:szCs w:val="20"/>
          <w:color w:val="auto"/>
        </w:rPr>
      </w:pPr>
    </w:p>
    <w:p>
      <w:pPr>
        <w:ind w:left="620" w:hanging="436"/>
        <w:spacing w:after="0"/>
        <w:tabs>
          <w:tab w:leader="none" w:pos="6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improvements in productivity;</w:t>
      </w:r>
    </w:p>
    <w:p>
      <w:pPr>
        <w:spacing w:after="0" w:line="175" w:lineRule="exact"/>
        <w:rPr>
          <w:rFonts w:ascii="Arial" w:cs="Arial" w:eastAsia="Arial" w:hAnsi="Arial"/>
          <w:sz w:val="20"/>
          <w:szCs w:val="20"/>
          <w:color w:val="auto"/>
        </w:rPr>
      </w:pPr>
    </w:p>
    <w:p>
      <w:pPr>
        <w:ind w:left="620" w:hanging="436"/>
        <w:spacing w:after="0"/>
        <w:tabs>
          <w:tab w:leader="none" w:pos="6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bookings;</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attainment of objective operating goals and employee metrics;</w:t>
      </w:r>
    </w:p>
    <w:p>
      <w:pPr>
        <w:spacing w:after="0" w:line="175" w:lineRule="exact"/>
        <w:rPr>
          <w:rFonts w:ascii="Arial" w:cs="Arial" w:eastAsia="Arial" w:hAnsi="Arial"/>
          <w:sz w:val="20"/>
          <w:szCs w:val="20"/>
          <w:color w:val="auto"/>
        </w:rPr>
      </w:pPr>
    </w:p>
    <w:p>
      <w:pPr>
        <w:ind w:left="620" w:hanging="436"/>
        <w:spacing w:after="0"/>
        <w:tabs>
          <w:tab w:leader="none" w:pos="6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sales;</w:t>
      </w:r>
    </w:p>
    <w:p>
      <w:pPr>
        <w:spacing w:after="0" w:line="161" w:lineRule="exact"/>
        <w:rPr>
          <w:rFonts w:ascii="Arial" w:cs="Arial" w:eastAsia="Arial" w:hAnsi="Arial"/>
          <w:sz w:val="20"/>
          <w:szCs w:val="20"/>
          <w:color w:val="auto"/>
        </w:rPr>
      </w:pPr>
    </w:p>
    <w:p>
      <w:pPr>
        <w:ind w:left="820" w:hanging="636"/>
        <w:spacing w:after="0"/>
        <w:tabs>
          <w:tab w:leader="none" w:pos="8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expenses;</w:t>
      </w:r>
    </w:p>
    <w:p>
      <w:pPr>
        <w:spacing w:after="0" w:line="175"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balance of cash, cash equivalents, and marketable securities;</w:t>
      </w:r>
    </w:p>
    <w:p>
      <w:pPr>
        <w:spacing w:after="0" w:line="175"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completion of an identified special project;</w:t>
      </w:r>
    </w:p>
    <w:p>
      <w:pPr>
        <w:spacing w:after="0" w:line="161"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completion of a joint venture or other corporate transaction;</w:t>
      </w:r>
    </w:p>
    <w:p>
      <w:pPr>
        <w:spacing w:after="0" w:line="175" w:lineRule="exact"/>
        <w:rPr>
          <w:rFonts w:ascii="Arial" w:cs="Arial" w:eastAsia="Arial" w:hAnsi="Arial"/>
          <w:sz w:val="20"/>
          <w:szCs w:val="20"/>
          <w:color w:val="auto"/>
        </w:rPr>
      </w:pPr>
    </w:p>
    <w:p>
      <w:pPr>
        <w:ind w:left="720" w:hanging="536"/>
        <w:spacing w:after="0"/>
        <w:tabs>
          <w:tab w:leader="none" w:pos="72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employee satisfaction and/or retention;</w:t>
      </w:r>
    </w:p>
    <w:p>
      <w:pPr>
        <w:spacing w:after="0" w:line="161" w:lineRule="exact"/>
        <w:rPr>
          <w:rFonts w:ascii="Arial" w:cs="Arial" w:eastAsia="Arial" w:hAnsi="Arial"/>
          <w:sz w:val="20"/>
          <w:szCs w:val="20"/>
          <w:color w:val="auto"/>
        </w:rPr>
      </w:pPr>
    </w:p>
    <w:p>
      <w:pPr>
        <w:ind w:left="640" w:hanging="456"/>
        <w:spacing w:after="0"/>
        <w:tabs>
          <w:tab w:leader="none" w:pos="6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research and development expenses;</w:t>
      </w:r>
    </w:p>
    <w:p>
      <w:pPr>
        <w:spacing w:after="0" w:line="175" w:lineRule="exact"/>
        <w:rPr>
          <w:rFonts w:ascii="Arial" w:cs="Arial" w:eastAsia="Arial" w:hAnsi="Arial"/>
          <w:sz w:val="20"/>
          <w:szCs w:val="20"/>
          <w:color w:val="auto"/>
        </w:rPr>
      </w:pPr>
    </w:p>
    <w:p>
      <w:pPr>
        <w:ind w:left="660" w:hanging="476"/>
        <w:spacing w:after="0"/>
        <w:tabs>
          <w:tab w:leader="none" w:pos="6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working capital targets and changes in working capital; and</w:t>
      </w:r>
    </w:p>
    <w:p>
      <w:pPr>
        <w:spacing w:after="0" w:line="175" w:lineRule="exact"/>
        <w:rPr>
          <w:rFonts w:ascii="Arial" w:cs="Arial" w:eastAsia="Arial" w:hAnsi="Arial"/>
          <w:sz w:val="20"/>
          <w:szCs w:val="20"/>
          <w:color w:val="auto"/>
        </w:rPr>
      </w:pPr>
    </w:p>
    <w:p>
      <w:pPr>
        <w:ind w:left="620" w:hanging="436"/>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other metric that is capable of measurement as determined by the Committee.</w:t>
      </w:r>
    </w:p>
    <w:p>
      <w:pPr>
        <w:sectPr>
          <w:pgSz w:w="11900" w:h="16838" w:orient="portrait"/>
          <w:cols w:equalWidth="0" w:num="1">
            <w:col w:w="9019"/>
          </w:cols>
          <w:pgMar w:left="1440" w:top="14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9019"/>
          </w:cols>
          <w:pgMar w:left="1440" w:top="1419" w:right="1440" w:bottom="1440" w:gutter="0" w:footer="0" w:header="0"/>
          <w:type w:val="continuous"/>
        </w:sectPr>
      </w:pPr>
    </w:p>
    <w:bookmarkStart w:id="32" w:name="page33"/>
    <w:bookmarkEnd w:id="32"/>
    <w:p>
      <w:pPr>
        <w:jc w:val="both"/>
        <w:ind w:firstLine="648"/>
        <w:spacing w:after="0" w:line="255" w:lineRule="auto"/>
        <w:rPr>
          <w:sz w:val="20"/>
          <w:szCs w:val="20"/>
          <w:color w:val="auto"/>
        </w:rPr>
      </w:pPr>
      <w:r>
        <w:rPr>
          <w:rFonts w:ascii="Arial" w:cs="Arial" w:eastAsia="Arial" w:hAnsi="Arial"/>
          <w:sz w:val="20"/>
          <w:szCs w:val="20"/>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2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28.30.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Period</w:t>
      </w:r>
      <w:r>
        <w:rPr>
          <w:rFonts w:ascii="Arial" w:cs="Arial" w:eastAsia="Arial" w:hAnsi="Arial"/>
          <w:sz w:val="20"/>
          <w:szCs w:val="20"/>
          <w:color w:val="auto"/>
        </w:rPr>
        <w:t>” means one or more periods of time, which may be of varying and overlapping durations, as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may select, over which the attainment of one or more Performance Factors will be measured for the purpose of determining a Participant’s right to, and the payment of, a Performance Award.</w:t>
      </w:r>
    </w:p>
    <w:p>
      <w:pPr>
        <w:spacing w:after="0" w:line="11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color w:val="auto"/>
        </w:rPr>
        <w:t xml:space="preserve">28.31. </w:t>
      </w:r>
      <w:r>
        <w:rPr>
          <w:rFonts w:ascii="Arial" w:cs="Arial" w:eastAsia="Arial" w:hAnsi="Arial"/>
          <w:sz w:val="20"/>
          <w:szCs w:val="20"/>
          <w:color w:val="auto"/>
        </w:rPr>
        <w:t>“</w:t>
      </w:r>
      <w:r>
        <w:rPr>
          <w:rFonts w:ascii="Arial" w:cs="Arial" w:eastAsia="Arial" w:hAnsi="Arial"/>
          <w:sz w:val="20"/>
          <w:szCs w:val="20"/>
          <w:b w:val="1"/>
          <w:bCs w:val="1"/>
          <w:i w:val="1"/>
          <w:iCs w:val="1"/>
          <w:color w:val="auto"/>
        </w:rPr>
        <w:t>Performance Share</w:t>
      </w:r>
      <w:r>
        <w:rPr>
          <w:rFonts w:ascii="Arial" w:cs="Arial" w:eastAsia="Arial" w:hAnsi="Arial"/>
          <w:sz w:val="20"/>
          <w:szCs w:val="20"/>
          <w:color w:val="auto"/>
        </w:rPr>
        <w:t>” means an Award granted pursuant to Section 10 of the Plan, consisting of a unit valued by reference</w:t>
      </w:r>
      <w:r>
        <w:rPr>
          <w:rFonts w:ascii="Arial" w:cs="Arial" w:eastAsia="Arial" w:hAnsi="Arial"/>
          <w:sz w:val="20"/>
          <w:szCs w:val="20"/>
          <w:b w:val="1"/>
          <w:bCs w:val="1"/>
          <w:color w:val="auto"/>
        </w:rPr>
        <w:t xml:space="preserve"> </w:t>
      </w:r>
      <w:r>
        <w:rPr>
          <w:rFonts w:ascii="Arial" w:cs="Arial" w:eastAsia="Arial" w:hAnsi="Arial"/>
          <w:sz w:val="20"/>
          <w:szCs w:val="20"/>
          <w:color w:val="auto"/>
        </w:rPr>
        <w:t>to a 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2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b w:val="1"/>
          <w:bCs w:val="1"/>
          <w:color w:val="auto"/>
        </w:rPr>
        <w:t xml:space="preserve">28.32. </w:t>
      </w: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 Award granted pursuant to Section 10 of the Plan, consisting of a unit valued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a designated 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b w:val="1"/>
          <w:bCs w:val="1"/>
          <w:color w:val="auto"/>
        </w:rPr>
        <w:t xml:space="preserve">28.33. </w:t>
      </w: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any child, stepchild, grandchild, parent, stepparent, grandparent, spouse, former spouse,</w:t>
      </w:r>
      <w:r>
        <w:rPr>
          <w:rFonts w:ascii="Arial" w:cs="Arial" w:eastAsia="Arial" w:hAnsi="Arial"/>
          <w:sz w:val="18"/>
          <w:szCs w:val="18"/>
          <w:b w:val="1"/>
          <w:bCs w:val="1"/>
          <w:color w:val="auto"/>
        </w:rPr>
        <w:t xml:space="preserve"> </w:t>
      </w:r>
      <w:r>
        <w:rPr>
          <w:rFonts w:ascii="Arial" w:cs="Arial" w:eastAsia="Arial" w:hAnsi="Arial"/>
          <w:sz w:val="18"/>
          <w:szCs w:val="18"/>
          <w:color w:val="auto"/>
        </w:rPr>
        <w:t>sibling, niece, 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9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GeneDx Holdings Corp. 2021 Equity Incentive Plan.</w:t>
      </w:r>
    </w:p>
    <w:p>
      <w:pPr>
        <w:spacing w:after="0" w:line="17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20"/>
          <w:szCs w:val="20"/>
          <w:b w:val="1"/>
          <w:bCs w:val="1"/>
          <w:color w:val="auto"/>
        </w:rPr>
        <w:t xml:space="preserve">28.35. </w:t>
      </w: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means the price to be paid for Shares acquired under the Plan, other than Shares acquired upon exercise of</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or SAR.</w:t>
      </w:r>
    </w:p>
    <w:p>
      <w:pPr>
        <w:spacing w:after="0" w:line="96"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20"/>
          <w:szCs w:val="20"/>
          <w:b w:val="1"/>
          <w:bCs w:val="1"/>
          <w:color w:val="auto"/>
        </w:rPr>
        <w:t xml:space="preserve">28.36. </w:t>
      </w:r>
      <w:r>
        <w:rPr>
          <w:rFonts w:ascii="Arial" w:cs="Arial" w:eastAsia="Arial" w:hAnsi="Arial"/>
          <w:sz w:val="20"/>
          <w:szCs w:val="20"/>
          <w:color w:val="auto"/>
        </w:rPr>
        <w:t>“</w:t>
      </w:r>
      <w:r>
        <w:rPr>
          <w:rFonts w:ascii="Arial" w:cs="Arial" w:eastAsia="Arial" w:hAnsi="Arial"/>
          <w:sz w:val="20"/>
          <w:szCs w:val="20"/>
          <w:b w:val="1"/>
          <w:bCs w:val="1"/>
          <w:i w:val="1"/>
          <w:iCs w:val="1"/>
          <w:color w:val="auto"/>
        </w:rPr>
        <w:t>Restricted Stock Award</w:t>
      </w:r>
      <w:r>
        <w:rPr>
          <w:rFonts w:ascii="Arial" w:cs="Arial" w:eastAsia="Arial" w:hAnsi="Arial"/>
          <w:sz w:val="20"/>
          <w:szCs w:val="20"/>
          <w:color w:val="auto"/>
        </w:rPr>
        <w:t>” means an award of Shares pursuant to Section 6 or Section 12 of the Plan, or issued pursuant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early exercise of an Option.</w:t>
      </w:r>
    </w:p>
    <w:p>
      <w:pPr>
        <w:spacing w:after="0" w:line="96"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an Award granted pursuant to Section 9 or Section 12 of the Plan.</w:t>
      </w:r>
    </w:p>
    <w:p>
      <w:pPr>
        <w:spacing w:after="0" w:line="17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United States Securities and Exchange Commission.</w:t>
      </w:r>
    </w:p>
    <w:p>
      <w:pPr>
        <w:spacing w:after="0" w:line="17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United States Securities Act of 1933, as amended.</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b w:val="1"/>
          <w:bCs w:val="1"/>
          <w:color w:val="auto"/>
        </w:rPr>
        <w:t xml:space="preserve">28.40. </w:t>
      </w: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shall mean service as an Employee, Consultant, Director or Non-Employee Director, subject to such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as may be set forth in the Plan or the applicable Award Agreement. An Employee will not be deemed to have ceased to provide Service in the case of any leave of absence approved by the Company. In the case of any Employee on an approved leave of absence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19" w:right="339" w:bottom="1440" w:gutter="0" w:footer="0" w:header="0"/>
        </w:sectPr>
      </w:pPr>
    </w:p>
    <w:bookmarkStart w:id="33" w:name="page34"/>
    <w:bookmarkEnd w:id="33"/>
    <w:p>
      <w:pPr>
        <w:jc w:val="both"/>
        <w:spacing w:after="0" w:line="317" w:lineRule="auto"/>
        <w:rPr>
          <w:sz w:val="20"/>
          <w:szCs w:val="20"/>
          <w:color w:val="auto"/>
        </w:rPr>
      </w:pPr>
      <w:r>
        <w:rPr>
          <w:rFonts w:ascii="Arial" w:cs="Arial" w:eastAsia="Arial" w:hAnsi="Arial"/>
          <w:sz w:val="16"/>
          <w:szCs w:val="16"/>
          <w:color w:val="auto"/>
        </w:rPr>
        <w:t xml:space="preserve">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 terminated employment as of the date he or she ceases to provide Service (regardless of whether the termination is in breach of local employment laws or is later found to be invalid) and employment shall not be extended by any notice period or garden leave mandated by local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33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means shares of the common stock of the Company and the common stock of any successor entity.</w:t>
      </w:r>
    </w:p>
    <w:p>
      <w:pPr>
        <w:spacing w:after="0" w:line="16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means an Award granted pursuant to Section 8 of the Plan.</w:t>
      </w:r>
    </w:p>
    <w:p>
      <w:pPr>
        <w:spacing w:after="0" w:line="17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Stock Bonus</w:t>
      </w:r>
      <w:r>
        <w:rPr>
          <w:rFonts w:ascii="Arial" w:cs="Arial" w:eastAsia="Arial" w:hAnsi="Arial"/>
          <w:sz w:val="16"/>
          <w:szCs w:val="16"/>
          <w:color w:val="auto"/>
        </w:rPr>
        <w:t>” means an Award granted pursuant to Section 7 of the Plan.</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color w:val="auto"/>
        </w:rPr>
        <w:t xml:space="preserve">28.44. </w:t>
      </w: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corporation (other than the Company) in an unbroken chain of corporations beginning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if each of the corporations other than the last corporation in the unbroken chain owns stock possessing fifty percent (50%) or more of the total combined voting power of all classes of stock in one of the other corporations in such chain.</w:t>
      </w:r>
    </w:p>
    <w:p>
      <w:pPr>
        <w:spacing w:after="0" w:line="11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0"/>
          <w:szCs w:val="20"/>
          <w:b w:val="1"/>
          <w:bCs w:val="1"/>
          <w:color w:val="auto"/>
        </w:rPr>
        <w:t>28.45.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regulations promulgated by the United States Treasury Department.</w:t>
      </w:r>
    </w:p>
    <w:p>
      <w:pPr>
        <w:spacing w:after="0" w:line="17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28.46. </w:t>
      </w:r>
      <w:r>
        <w:rPr>
          <w:rFonts w:ascii="Arial" w:cs="Arial" w:eastAsia="Arial" w:hAnsi="Arial"/>
          <w:sz w:val="20"/>
          <w:szCs w:val="20"/>
          <w:color w:val="auto"/>
        </w:rPr>
        <w:t>“</w:t>
      </w:r>
      <w:r>
        <w:rPr>
          <w:rFonts w:ascii="Arial" w:cs="Arial" w:eastAsia="Arial" w:hAnsi="Arial"/>
          <w:sz w:val="20"/>
          <w:szCs w:val="20"/>
          <w:b w:val="1"/>
          <w:bCs w:val="1"/>
          <w:i w:val="1"/>
          <w:iCs w:val="1"/>
          <w:color w:val="auto"/>
        </w:rPr>
        <w:t>Unvested Shares</w:t>
      </w:r>
      <w:r>
        <w:rPr>
          <w:rFonts w:ascii="Arial" w:cs="Arial" w:eastAsia="Arial" w:hAnsi="Arial"/>
          <w:sz w:val="20"/>
          <w:szCs w:val="20"/>
          <w:color w:val="auto"/>
        </w:rPr>
        <w:t>” means Shares that have not yet vested or are subject to a right of repurchase in favor of the Company (or</w:t>
      </w:r>
      <w:r>
        <w:rPr>
          <w:rFonts w:ascii="Arial" w:cs="Arial" w:eastAsia="Arial" w:hAnsi="Arial"/>
          <w:sz w:val="20"/>
          <w:szCs w:val="20"/>
          <w:b w:val="1"/>
          <w:bCs w:val="1"/>
          <w:color w:val="auto"/>
        </w:rPr>
        <w:t xml:space="preserve"> </w:t>
      </w:r>
      <w:r>
        <w:rPr>
          <w:rFonts w:ascii="Arial" w:cs="Arial" w:eastAsia="Arial" w:hAnsi="Arial"/>
          <w:sz w:val="20"/>
          <w:szCs w:val="20"/>
          <w:color w:val="auto"/>
        </w:rPr>
        <w:t>any successor thereto).</w:t>
      </w:r>
    </w:p>
    <w:p>
      <w:pPr>
        <w:spacing w:after="0" w:line="123" w:lineRule="exact"/>
        <w:rPr>
          <w:sz w:val="20"/>
          <w:szCs w:val="20"/>
          <w:color w:val="auto"/>
        </w:rPr>
      </w:pPr>
    </w:p>
    <w:p>
      <w:pPr>
        <w:jc w:val="both"/>
        <w:ind w:firstLine="8"/>
        <w:spacing w:after="0" w:line="277" w:lineRule="auto"/>
        <w:tabs>
          <w:tab w:leader="none" w:pos="513"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CODE SECTION 409A</w:t>
      </w:r>
      <w:r>
        <w:rPr>
          <w:rFonts w:ascii="Arial" w:cs="Arial" w:eastAsia="Arial" w:hAnsi="Arial"/>
          <w:sz w:val="18"/>
          <w:szCs w:val="18"/>
          <w:color w:val="auto"/>
        </w:rPr>
        <w:t>. This Plan and Awards granted hereunder are intended to comply with Section 409A of the Code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and guidance promulgated thereunder (collectively,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 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w:t>
      </w:r>
      <w:r>
        <w:rPr>
          <w:rFonts w:ascii="Arial" w:cs="Arial" w:eastAsia="Arial" w:hAnsi="Arial"/>
          <w:sz w:val="18"/>
          <w:szCs w:val="18"/>
          <w:b w:val="1"/>
          <w:bCs w:val="1"/>
          <w:i w:val="1"/>
          <w:iCs w:val="1"/>
          <w:color w:val="auto"/>
        </w:rPr>
        <w:t>Deferred Amounts</w:t>
      </w:r>
      <w:r>
        <w:rPr>
          <w:rFonts w:ascii="Arial" w:cs="Arial" w:eastAsia="Arial" w:hAnsi="Arial"/>
          <w:sz w:val="18"/>
          <w:szCs w:val="18"/>
          <w:color w:val="auto"/>
        </w:rPr>
        <w:t>”) shall instead be paid on the first payroll date after the earlier of</w:t>
      </w:r>
    </w:p>
    <w:p>
      <w:pPr>
        <w:spacing w:after="0" w:line="5" w:lineRule="exact"/>
        <w:rPr>
          <w:rFonts w:ascii="Arial" w:cs="Arial" w:eastAsia="Arial" w:hAnsi="Arial"/>
          <w:sz w:val="18"/>
          <w:szCs w:val="18"/>
          <w:b w:val="1"/>
          <w:bCs w:val="1"/>
          <w:color w:val="auto"/>
        </w:rPr>
      </w:pPr>
    </w:p>
    <w:p>
      <w:pPr>
        <w:jc w:val="both"/>
        <w:spacing w:after="0" w:line="253" w:lineRule="auto"/>
        <w:rPr>
          <w:rFonts w:ascii="Arial" w:cs="Arial" w:eastAsia="Arial" w:hAnsi="Arial"/>
          <w:sz w:val="18"/>
          <w:szCs w:val="18"/>
          <w:b w:val="1"/>
          <w:bCs w:val="1"/>
          <w:color w:val="auto"/>
        </w:rPr>
      </w:pPr>
      <w:r>
        <w:rPr>
          <w:rFonts w:ascii="Arial" w:cs="Arial" w:eastAsia="Arial" w:hAnsi="Arial"/>
          <w:sz w:val="20"/>
          <w:szCs w:val="20"/>
          <w:color w:val="auto"/>
        </w:rPr>
        <w:t>(i) the six-month anniversary of the Participant’s “separation from service” (as defined in Section 409A) or (ii) the Participant’s death (such date, the “</w:t>
      </w:r>
      <w:r>
        <w:rPr>
          <w:rFonts w:ascii="Arial" w:cs="Arial" w:eastAsia="Arial" w:hAnsi="Arial"/>
          <w:sz w:val="20"/>
          <w:szCs w:val="20"/>
          <w:b w:val="1"/>
          <w:bCs w:val="1"/>
          <w:i w:val="1"/>
          <w:iCs w:val="1"/>
          <w:color w:val="auto"/>
        </w:rPr>
        <w:t>Section 409A Payment Date</w:t>
      </w:r>
      <w:r>
        <w:rPr>
          <w:rFonts w:ascii="Arial" w:cs="Arial" w:eastAsia="Arial" w:hAnsi="Arial"/>
          <w:sz w:val="20"/>
          <w:szCs w:val="20"/>
          <w:color w:val="auto"/>
        </w:rPr>
        <w:t>”), with any portion of the Deferred Amounts that would otherwise be payable prior to the Section 409A Payment Date aggregated and paid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19" w:right="339" w:bottom="1440" w:gutter="0" w:footer="0" w:header="0"/>
        </w:sectPr>
      </w:pPr>
    </w:p>
    <w:bookmarkStart w:id="34" w:name="page35"/>
    <w:bookmarkEnd w:id="34"/>
    <w:p>
      <w:pPr>
        <w:jc w:val="both"/>
        <w:spacing w:after="0" w:line="293" w:lineRule="auto"/>
        <w:rPr>
          <w:sz w:val="20"/>
          <w:szCs w:val="20"/>
          <w:color w:val="auto"/>
        </w:rPr>
      </w:pPr>
      <w:r>
        <w:rPr>
          <w:rFonts w:ascii="Arial" w:cs="Arial" w:eastAsia="Arial" w:hAnsi="Arial"/>
          <w:sz w:val="18"/>
          <w:szCs w:val="18"/>
          <w:color w:val="auto"/>
        </w:rPr>
        <w:t>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9"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GENEDX HOLDINGS CORP.</w:t>
      </w:r>
    </w:p>
    <w:p>
      <w:pPr>
        <w:spacing w:after="0" w:line="2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2021 EQUITY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STOCK OPTION GRANT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You (the “</w:t>
      </w:r>
      <w:r>
        <w:rPr>
          <w:rFonts w:ascii="Arial" w:cs="Arial" w:eastAsia="Arial" w:hAnsi="Arial"/>
          <w:sz w:val="20"/>
          <w:szCs w:val="20"/>
          <w:b w:val="1"/>
          <w:bCs w:val="1"/>
          <w:i w:val="1"/>
          <w:iCs w:val="1"/>
          <w:color w:val="auto"/>
        </w:rPr>
        <w:t>Optionee</w:t>
      </w:r>
      <w:r>
        <w:rPr>
          <w:rFonts w:ascii="Arial" w:cs="Arial" w:eastAsia="Arial" w:hAnsi="Arial"/>
          <w:sz w:val="20"/>
          <w:szCs w:val="20"/>
          <w:color w:val="auto"/>
        </w:rPr>
        <w:t>”) have been granted an option to purchase shares of the Company’s common stock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under the GeneDx Holdings Corp.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subject to the terms and conditions of the Plan, this Notice of Stock Option Grant (this “</w:t>
      </w:r>
      <w:r>
        <w:rPr>
          <w:rFonts w:ascii="Arial" w:cs="Arial" w:eastAsia="Arial" w:hAnsi="Arial"/>
          <w:sz w:val="20"/>
          <w:szCs w:val="20"/>
          <w:b w:val="1"/>
          <w:bCs w:val="1"/>
          <w:i w:val="1"/>
          <w:iCs w:val="1"/>
          <w:color w:val="auto"/>
        </w:rPr>
        <w:t>Notice</w:t>
      </w:r>
      <w:r>
        <w:rPr>
          <w:rFonts w:ascii="Arial" w:cs="Arial" w:eastAsia="Arial" w:hAnsi="Arial"/>
          <w:sz w:val="20"/>
          <w:szCs w:val="20"/>
          <w:color w:val="auto"/>
        </w:rPr>
        <w:t>”), and the Stock Option Agreement (the “</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Unless otherwise defined herein, the terms defined in the Plan will have the same meanings in this Notice and the electronic representation of this Notice established and maintained by the Company or a third party designated by the Company.</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Name: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Address: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Grant Number:</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Date of Grant:</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Vesting Commencement Date:</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Exercise Price per Share:</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Total Number of Shares: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Type of Option: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Expiration Date:</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0"/>
          <w:szCs w:val="20"/>
          <w:color w:val="auto"/>
        </w:rPr>
        <w:t>___ Non-Qualified Stock Option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 Incentive Stock Option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 __, 20__; the Option expires earlier if Optionee’s Service terminates earlier, as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described in the Option Agreement.</w:t>
      </w:r>
    </w:p>
    <w:p>
      <w:pPr>
        <w:spacing w:after="0" w:line="213" w:lineRule="exact"/>
        <w:rPr>
          <w:sz w:val="20"/>
          <w:szCs w:val="20"/>
          <w:color w:val="auto"/>
        </w:rPr>
      </w:pPr>
    </w:p>
    <w:p>
      <w:pPr>
        <w:ind w:right="400"/>
        <w:spacing w:after="0" w:line="257" w:lineRule="auto"/>
        <w:rPr>
          <w:sz w:val="20"/>
          <w:szCs w:val="20"/>
          <w:color w:val="auto"/>
        </w:rPr>
      </w:pPr>
      <w:r>
        <w:rPr>
          <w:rFonts w:ascii="Arial" w:cs="Arial" w:eastAsia="Arial" w:hAnsi="Arial"/>
          <w:sz w:val="20"/>
          <w:szCs w:val="20"/>
          <w:color w:val="auto"/>
        </w:rPr>
        <w:t>Subject to the limitations set forth in this Notice, the Plan, and the Option Agreement, the Option will vest in accordance with the following schedule: [insert applicable vesting schedule]</w:t>
      </w:r>
    </w:p>
    <w:p>
      <w:pPr>
        <w:spacing w:after="0" w:line="200" w:lineRule="exact"/>
        <w:rPr>
          <w:sz w:val="20"/>
          <w:szCs w:val="20"/>
          <w:color w:val="auto"/>
        </w:rPr>
      </w:pPr>
    </w:p>
    <w:p>
      <w:pPr>
        <w:sectPr>
          <w:pgSz w:w="11900" w:h="16838" w:orient="portrait"/>
          <w:cols w:equalWidth="0" w:num="2">
            <w:col w:w="3020" w:space="720"/>
            <w:col w:w="7500"/>
          </w:cols>
          <w:pgMar w:left="320" w:top="121" w:right="339" w:bottom="144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Option, Optionee acknowledges and agrees to the following:</w:t>
      </w:r>
    </w:p>
    <w:p>
      <w:pPr>
        <w:spacing w:after="0" w:line="189" w:lineRule="exact"/>
        <w:rPr>
          <w:sz w:val="20"/>
          <w:szCs w:val="20"/>
          <w:color w:val="auto"/>
        </w:rPr>
      </w:pPr>
    </w:p>
    <w:p>
      <w:pPr>
        <w:jc w:val="both"/>
        <w:ind w:left="660" w:hanging="328"/>
        <w:spacing w:after="0" w:line="285" w:lineRule="auto"/>
        <w:tabs>
          <w:tab w:leader="none" w:pos="6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Optionee understands that Optionee’s Service is for an unspecified duration, can be terminated at any time (</w:t>
      </w:r>
      <w:r>
        <w:rPr>
          <w:rFonts w:ascii="Arial" w:cs="Arial" w:eastAsia="Arial" w:hAnsi="Arial"/>
          <w:sz w:val="18"/>
          <w:szCs w:val="18"/>
          <w:i w:val="1"/>
          <w:iCs w:val="1"/>
          <w:color w:val="auto"/>
        </w:rPr>
        <w:t>i.e.</w:t>
      </w:r>
      <w:r>
        <w:rPr>
          <w:rFonts w:ascii="Arial" w:cs="Arial" w:eastAsia="Arial" w:hAnsi="Arial"/>
          <w:sz w:val="18"/>
          <w:szCs w:val="18"/>
          <w:color w:val="auto"/>
        </w:rPr>
        <w:t>, is “at-will”) except where otherwise prohibited by applicable law, and that nothing in this Notice, the Option Agreement, or the Plan changes the nature of that relationship. Optionee acknowledges that the vesting of the Option pursuant to this Notice is subject to Optionee’s continuing Service. Optionee agrees and acknowledges that the Vesting Schedule may change prospectively in the event that Optionee’s Service status changes between full- and part-time and/or in the event the Optionee is on a leave of absence, in accordance with Company policies relating to work schedules and vesting of Awards or as determined by the Committee.</w:t>
      </w:r>
    </w:p>
    <w:p>
      <w:pPr>
        <w:spacing w:after="0" w:line="131" w:lineRule="exact"/>
        <w:rPr>
          <w:rFonts w:ascii="Arial" w:cs="Arial" w:eastAsia="Arial" w:hAnsi="Arial"/>
          <w:sz w:val="18"/>
          <w:szCs w:val="18"/>
          <w:color w:val="auto"/>
        </w:rPr>
      </w:pPr>
    </w:p>
    <w:p>
      <w:pPr>
        <w:ind w:left="660" w:hanging="328"/>
        <w:spacing w:after="0" w:line="260" w:lineRule="auto"/>
        <w:tabs>
          <w:tab w:leader="none" w:pos="649"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This grant is made under and governed by the Plan, the Option Agreement, and this Notice, and this Notice is subject to the terms and conditions of the Option Agreement and the Plan, both of</w:t>
      </w:r>
    </w:p>
    <w:p>
      <w:pPr>
        <w:sectPr>
          <w:pgSz w:w="11900" w:h="16838" w:orient="portrait"/>
          <w:cols w:equalWidth="0" w:num="1">
            <w:col w:w="11240"/>
          </w:cols>
          <w:pgMar w:left="320" w:top="121" w:right="339" w:bottom="1440" w:gutter="0" w:footer="0" w:header="0"/>
          <w:type w:val="continuous"/>
        </w:sectPr>
      </w:pPr>
    </w:p>
    <w:bookmarkStart w:id="36" w:name="page37"/>
    <w:bookmarkEnd w:id="36"/>
    <w:p>
      <w:pPr>
        <w:ind w:left="580"/>
        <w:spacing w:after="0"/>
        <w:rPr>
          <w:sz w:val="20"/>
          <w:szCs w:val="20"/>
          <w:color w:val="auto"/>
        </w:rPr>
      </w:pPr>
      <w:r>
        <w:rPr>
          <w:rFonts w:ascii="Arial" w:cs="Arial" w:eastAsia="Arial" w:hAnsi="Arial"/>
          <w:sz w:val="20"/>
          <w:szCs w:val="20"/>
          <w:color w:val="auto"/>
        </w:rPr>
        <w:t>which are incorporated herein by reference. Optionee has read the Notice, the Option Agreement and the Plan.</w:t>
      </w:r>
    </w:p>
    <w:p>
      <w:pPr>
        <w:spacing w:after="0" w:line="189" w:lineRule="exact"/>
        <w:rPr>
          <w:sz w:val="20"/>
          <w:szCs w:val="20"/>
          <w:color w:val="auto"/>
        </w:rPr>
      </w:pPr>
    </w:p>
    <w:p>
      <w:pPr>
        <w:ind w:left="580" w:right="120" w:hanging="328"/>
        <w:spacing w:after="0" w:line="274" w:lineRule="auto"/>
        <w:tabs>
          <w:tab w:leader="none" w:pos="569" w:val="left"/>
        </w:tabs>
        <w:numPr>
          <w:ilvl w:val="0"/>
          <w:numId w:val="40"/>
        </w:numPr>
        <w:rPr>
          <w:rFonts w:ascii="Arial" w:cs="Arial" w:eastAsia="Arial" w:hAnsi="Arial"/>
          <w:sz w:val="20"/>
          <w:szCs w:val="20"/>
          <w:color w:val="auto"/>
        </w:rPr>
      </w:pPr>
      <w:r>
        <w:rPr>
          <w:rFonts w:ascii="Arial" w:cs="Arial" w:eastAsia="Arial" w:hAnsi="Arial"/>
          <w:sz w:val="20"/>
          <w:szCs w:val="20"/>
          <w:color w:val="auto"/>
        </w:rPr>
        <w:t>Optionee has read the Company’s Insider Trading Policy, and agrees to comply with such policy, as it may be amended from time to time, whenever Optionee acquires or disposes of the Company’s securities.</w:t>
      </w:r>
    </w:p>
    <w:p>
      <w:pPr>
        <w:spacing w:after="0" w:line="122" w:lineRule="exact"/>
        <w:rPr>
          <w:rFonts w:ascii="Arial" w:cs="Arial" w:eastAsia="Arial" w:hAnsi="Arial"/>
          <w:sz w:val="20"/>
          <w:szCs w:val="20"/>
          <w:color w:val="auto"/>
        </w:rPr>
      </w:pPr>
    </w:p>
    <w:p>
      <w:pPr>
        <w:ind w:left="560" w:hanging="308"/>
        <w:spacing w:after="0"/>
        <w:tabs>
          <w:tab w:leader="none" w:pos="5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By accepting the Option, Optionee consents to electronic delivery and participation as set forth in the Option Agreement.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820" w:type="dxa"/>
            <w:vAlign w:val="bottom"/>
          </w:tcPr>
          <w:p>
            <w:pPr>
              <w:spacing w:after="0"/>
              <w:rPr>
                <w:sz w:val="20"/>
                <w:szCs w:val="20"/>
                <w:color w:val="auto"/>
              </w:rPr>
            </w:pPr>
            <w:r>
              <w:rPr>
                <w:rFonts w:ascii="Arial" w:cs="Arial" w:eastAsia="Arial" w:hAnsi="Arial"/>
                <w:sz w:val="20"/>
                <w:szCs w:val="20"/>
                <w:b w:val="1"/>
                <w:bCs w:val="1"/>
                <w:color w:val="auto"/>
              </w:rPr>
              <w:t>OPTIONEE</w:t>
            </w:r>
          </w:p>
        </w:tc>
        <w:tc>
          <w:tcPr>
            <w:tcW w:w="3940" w:type="dxa"/>
            <w:vAlign w:val="bottom"/>
          </w:tcPr>
          <w:p>
            <w:pPr>
              <w:spacing w:after="0"/>
              <w:rPr>
                <w:sz w:val="22"/>
                <w:szCs w:val="22"/>
                <w:color w:val="auto"/>
              </w:rPr>
            </w:pPr>
          </w:p>
        </w:tc>
        <w:tc>
          <w:tcPr>
            <w:tcW w:w="5380" w:type="dxa"/>
            <w:vAlign w:val="bottom"/>
            <w:gridSpan w:val="2"/>
          </w:tcPr>
          <w:p>
            <w:pPr>
              <w:ind w:left="780"/>
              <w:spacing w:after="0"/>
              <w:rPr>
                <w:sz w:val="20"/>
                <w:szCs w:val="20"/>
                <w:color w:val="auto"/>
              </w:rPr>
            </w:pPr>
            <w:r>
              <w:rPr>
                <w:rFonts w:ascii="Arial" w:cs="Arial" w:eastAsia="Arial" w:hAnsi="Arial"/>
                <w:sz w:val="20"/>
                <w:szCs w:val="20"/>
                <w:b w:val="1"/>
                <w:bCs w:val="1"/>
                <w:color w:val="auto"/>
              </w:rPr>
              <w:t>GENEDX HOLDINGS CORP.</w:t>
            </w:r>
          </w:p>
        </w:tc>
      </w:tr>
      <w:tr>
        <w:trPr>
          <w:trHeight w:val="553"/>
        </w:trPr>
        <w:tc>
          <w:tcPr>
            <w:tcW w:w="1820" w:type="dxa"/>
            <w:vAlign w:val="bottom"/>
          </w:tcPr>
          <w:p>
            <w:pPr>
              <w:spacing w:after="0"/>
              <w:rPr>
                <w:sz w:val="20"/>
                <w:szCs w:val="20"/>
                <w:color w:val="auto"/>
              </w:rPr>
            </w:pPr>
            <w:r>
              <w:rPr>
                <w:rFonts w:ascii="Arial" w:cs="Arial" w:eastAsia="Arial" w:hAnsi="Arial"/>
                <w:sz w:val="20"/>
                <w:szCs w:val="20"/>
                <w:color w:val="auto"/>
              </w:rPr>
              <w:t>Signature:</w:t>
            </w:r>
          </w:p>
        </w:tc>
        <w:tc>
          <w:tcPr>
            <w:tcW w:w="3940" w:type="dxa"/>
            <w:vAlign w:val="bottom"/>
          </w:tcPr>
          <w:p>
            <w:pPr>
              <w:spacing w:after="0"/>
              <w:rPr>
                <w:sz w:val="24"/>
                <w:szCs w:val="24"/>
                <w:color w:val="auto"/>
              </w:rPr>
            </w:pPr>
          </w:p>
        </w:tc>
        <w:tc>
          <w:tcPr>
            <w:tcW w:w="5380" w:type="dxa"/>
            <w:vAlign w:val="bottom"/>
            <w:gridSpan w:val="2"/>
          </w:tcPr>
          <w:p>
            <w:pPr>
              <w:ind w:left="780"/>
              <w:spacing w:after="0"/>
              <w:rPr>
                <w:sz w:val="20"/>
                <w:szCs w:val="20"/>
                <w:color w:val="auto"/>
              </w:rPr>
            </w:pPr>
            <w:r>
              <w:rPr>
                <w:rFonts w:ascii="Arial" w:cs="Arial" w:eastAsia="Arial" w:hAnsi="Arial"/>
                <w:sz w:val="20"/>
                <w:szCs w:val="20"/>
                <w:color w:val="auto"/>
              </w:rPr>
              <w:t>By:</w:t>
            </w:r>
          </w:p>
        </w:tc>
      </w:tr>
      <w:tr>
        <w:trPr>
          <w:trHeight w:val="212"/>
        </w:trPr>
        <w:tc>
          <w:tcPr>
            <w:tcW w:w="1820" w:type="dxa"/>
            <w:vAlign w:val="bottom"/>
          </w:tcPr>
          <w:p>
            <w:pPr>
              <w:spacing w:after="0"/>
              <w:rPr>
                <w:sz w:val="18"/>
                <w:szCs w:val="18"/>
                <w:color w:val="auto"/>
              </w:rPr>
            </w:pPr>
          </w:p>
        </w:tc>
        <w:tc>
          <w:tcPr>
            <w:tcW w:w="394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r>
      <w:tr>
        <w:trPr>
          <w:trHeight w:val="497"/>
        </w:trPr>
        <w:tc>
          <w:tcPr>
            <w:tcW w:w="1820" w:type="dxa"/>
            <w:vAlign w:val="bottom"/>
          </w:tcPr>
          <w:p>
            <w:pPr>
              <w:spacing w:after="0"/>
              <w:rPr>
                <w:sz w:val="20"/>
                <w:szCs w:val="20"/>
                <w:color w:val="auto"/>
              </w:rPr>
            </w:pPr>
            <w:r>
              <w:rPr>
                <w:rFonts w:ascii="Arial" w:cs="Arial" w:eastAsia="Arial" w:hAnsi="Arial"/>
                <w:sz w:val="20"/>
                <w:szCs w:val="20"/>
                <w:color w:val="auto"/>
              </w:rPr>
              <w:t>Print Name:</w:t>
            </w:r>
          </w:p>
        </w:tc>
        <w:tc>
          <w:tcPr>
            <w:tcW w:w="3940" w:type="dxa"/>
            <w:vAlign w:val="bottom"/>
          </w:tcPr>
          <w:p>
            <w:pPr>
              <w:spacing w:after="0"/>
              <w:rPr>
                <w:sz w:val="24"/>
                <w:szCs w:val="24"/>
                <w:color w:val="auto"/>
              </w:rPr>
            </w:pPr>
          </w:p>
        </w:tc>
        <w:tc>
          <w:tcPr>
            <w:tcW w:w="5380" w:type="dxa"/>
            <w:vAlign w:val="bottom"/>
            <w:gridSpan w:val="2"/>
          </w:tcPr>
          <w:p>
            <w:pPr>
              <w:ind w:left="780"/>
              <w:spacing w:after="0"/>
              <w:rPr>
                <w:sz w:val="20"/>
                <w:szCs w:val="20"/>
                <w:color w:val="auto"/>
              </w:rPr>
            </w:pPr>
            <w:r>
              <w:rPr>
                <w:rFonts w:ascii="Arial" w:cs="Arial" w:eastAsia="Arial" w:hAnsi="Arial"/>
                <w:sz w:val="20"/>
                <w:szCs w:val="20"/>
                <w:color w:val="auto"/>
              </w:rPr>
              <w:t>Its:</w:t>
            </w:r>
          </w:p>
        </w:tc>
      </w:tr>
      <w:tr>
        <w:trPr>
          <w:trHeight w:val="37"/>
        </w:trPr>
        <w:tc>
          <w:tcPr>
            <w:tcW w:w="1820" w:type="dxa"/>
            <w:vAlign w:val="bottom"/>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1360" w:type="dxa"/>
            <w:vAlign w:val="bottom"/>
          </w:tcPr>
          <w:p>
            <w:pPr>
              <w:spacing w:after="0"/>
              <w:rPr>
                <w:sz w:val="3"/>
                <w:szCs w:val="3"/>
                <w:color w:val="auto"/>
              </w:rPr>
            </w:pPr>
          </w:p>
        </w:tc>
        <w:tc>
          <w:tcPr>
            <w:tcW w:w="4020" w:type="dxa"/>
            <w:vAlign w:val="bottom"/>
            <w:tcBorders>
              <w:bottom w:val="single" w:sz="8" w:color="auto"/>
            </w:tcBorders>
          </w:tcPr>
          <w:p>
            <w:pPr>
              <w:spacing w:after="0"/>
              <w:rPr>
                <w:sz w:val="3"/>
                <w:szCs w:val="3"/>
                <w:color w:val="auto"/>
              </w:rPr>
            </w:pPr>
          </w:p>
        </w:tc>
      </w:tr>
    </w:tbl>
    <w:p>
      <w:pPr>
        <w:sectPr>
          <w:pgSz w:w="11900" w:h="16838" w:orient="portrait"/>
          <w:cols w:equalWidth="0" w:num="1">
            <w:col w:w="11140"/>
          </w:cols>
          <w:pgMar w:left="400" w:top="1419"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20"/>
          <w:szCs w:val="20"/>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spacing w:after="0" w:line="22"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2021 EQUITY INCENTIVE PLAN</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20"/>
          <w:szCs w:val="20"/>
          <w:b w:val="1"/>
          <w:bCs w:val="1"/>
          <w:color w:val="auto"/>
        </w:rPr>
        <w:t>STOCK OPTION AGREEMENT</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Unless otherwise defined in this Stock Option Agreement (this “</w:t>
      </w:r>
      <w:r>
        <w:rPr>
          <w:rFonts w:ascii="Arial" w:cs="Arial" w:eastAsia="Arial" w:hAnsi="Arial"/>
          <w:sz w:val="20"/>
          <w:szCs w:val="20"/>
          <w:b w:val="1"/>
          <w:bCs w:val="1"/>
          <w:i w:val="1"/>
          <w:iCs w:val="1"/>
          <w:color w:val="auto"/>
        </w:rPr>
        <w:t>Option Agreement</w:t>
      </w:r>
      <w:r>
        <w:rPr>
          <w:rFonts w:ascii="Arial" w:cs="Arial" w:eastAsia="Arial" w:hAnsi="Arial"/>
          <w:sz w:val="20"/>
          <w:szCs w:val="20"/>
          <w:color w:val="auto"/>
        </w:rPr>
        <w:t>”), any capitalized terms used and not otherwise defined in the Notice of Stock Option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meanings ascribed to them in the GeneDx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w:t>
      </w:r>
    </w:p>
    <w:p>
      <w:pPr>
        <w:spacing w:after="0" w:line="16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Optionee has been granted an option to purchase Shares of the Company (the “</w:t>
      </w:r>
      <w:r>
        <w:rPr>
          <w:rFonts w:ascii="Arial" w:cs="Arial" w:eastAsia="Arial" w:hAnsi="Arial"/>
          <w:sz w:val="19"/>
          <w:szCs w:val="19"/>
          <w:b w:val="1"/>
          <w:bCs w:val="1"/>
          <w:color w:val="auto"/>
        </w:rPr>
        <w:t>Option</w:t>
      </w:r>
      <w:r>
        <w:rPr>
          <w:rFonts w:ascii="Arial" w:cs="Arial" w:eastAsia="Arial" w:hAnsi="Arial"/>
          <w:sz w:val="19"/>
          <w:szCs w:val="19"/>
          <w:color w:val="auto"/>
        </w:rPr>
        <w:t>”), subject to the terms, restrictions, and conditions of the Plan, the Notice, and this Option Agreement. In the event of a conflict between the terms and conditions of the Plan and the terms and conditions of the Notice or this Option Agreement, the terms and conditions of the Plan will prevail.</w:t>
      </w:r>
    </w:p>
    <w:p>
      <w:pPr>
        <w:spacing w:after="0" w:line="167" w:lineRule="exact"/>
        <w:rPr>
          <w:sz w:val="20"/>
          <w:szCs w:val="20"/>
          <w:color w:val="auto"/>
        </w:rPr>
      </w:pPr>
    </w:p>
    <w:p>
      <w:pPr>
        <w:jc w:val="both"/>
        <w:ind w:firstLine="656"/>
        <w:spacing w:after="0" w:line="253" w:lineRule="auto"/>
        <w:tabs>
          <w:tab w:leader="none" w:pos="1296" w:val="left"/>
        </w:tabs>
        <w:numPr>
          <w:ilvl w:val="0"/>
          <w:numId w:val="4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Vesting</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applicable provisions of the Plan and this Option Agreement, the Option may be exercised, in whole</w:t>
      </w:r>
      <w:r>
        <w:rPr>
          <w:rFonts w:ascii="Arial" w:cs="Arial" w:eastAsia="Arial" w:hAnsi="Arial"/>
          <w:sz w:val="20"/>
          <w:szCs w:val="20"/>
          <w:b w:val="1"/>
          <w:bCs w:val="1"/>
          <w:color w:val="auto"/>
        </w:rPr>
        <w:t xml:space="preserve"> </w:t>
      </w:r>
      <w:r>
        <w:rPr>
          <w:rFonts w:ascii="Arial" w:cs="Arial" w:eastAsia="Arial" w:hAnsi="Arial"/>
          <w:sz w:val="20"/>
          <w:szCs w:val="20"/>
          <w:color w:val="auto"/>
        </w:rPr>
        <w:t>or in part, in accordance with the Vesting Schedule set forth in the Notice. Optionee acknowledges and agrees that the Vesting Schedule may change prospectively in the event Optionee’s Service status changes between full and part-time and/or in the event Optionee is on a leave of absence, in accordance with Company policies relating to work schedules and vesting of Awards or as determined by the Committee. Optionee acknowledges that the vesting of the Option pursuant to the Notice and this Option Agreement is subject to Optionee’s continuing Service.</w:t>
      </w:r>
    </w:p>
    <w:p>
      <w:pPr>
        <w:spacing w:after="0" w:line="192" w:lineRule="exact"/>
        <w:rPr>
          <w:rFonts w:ascii="Arial" w:cs="Arial" w:eastAsia="Arial" w:hAnsi="Arial"/>
          <w:sz w:val="20"/>
          <w:szCs w:val="20"/>
          <w:b w:val="1"/>
          <w:bCs w:val="1"/>
          <w:color w:val="010000"/>
        </w:rPr>
      </w:pPr>
    </w:p>
    <w:p>
      <w:pPr>
        <w:jc w:val="both"/>
        <w:ind w:right="20" w:firstLine="656"/>
        <w:spacing w:after="0" w:line="290" w:lineRule="auto"/>
        <w:tabs>
          <w:tab w:leader="none" w:pos="1296" w:val="left"/>
        </w:tabs>
        <w:numPr>
          <w:ilvl w:val="0"/>
          <w:numId w:val="4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Grant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has been granted an Option for the number of Shares set forth in the Notice at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in U.S. Dollars set forth in the Notice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If designated in the Notice as an Incentive Stock Option (“</w:t>
      </w:r>
      <w:r>
        <w:rPr>
          <w:rFonts w:ascii="Arial" w:cs="Arial" w:eastAsia="Arial" w:hAnsi="Arial"/>
          <w:sz w:val="18"/>
          <w:szCs w:val="18"/>
          <w:b w:val="1"/>
          <w:bCs w:val="1"/>
          <w:i w:val="1"/>
          <w:iCs w:val="1"/>
          <w:color w:val="auto"/>
        </w:rPr>
        <w:t>ISO</w:t>
      </w:r>
      <w:r>
        <w:rPr>
          <w:rFonts w:ascii="Arial" w:cs="Arial" w:eastAsia="Arial" w:hAnsi="Arial"/>
          <w:sz w:val="18"/>
          <w:szCs w:val="18"/>
          <w:color w:val="auto"/>
        </w:rPr>
        <w:t>”), the Option is intended to qualify as an Incentive Stock Option under Section 422 of the Code. However, if the Option is intended to be an ISO, to the extent that it exceeds the U.S. $100,000 rule of Code Section 422(d) it will be treated as a Nonqualified Stock Option (“</w:t>
      </w:r>
      <w:r>
        <w:rPr>
          <w:rFonts w:ascii="Arial" w:cs="Arial" w:eastAsia="Arial" w:hAnsi="Arial"/>
          <w:sz w:val="18"/>
          <w:szCs w:val="18"/>
          <w:b w:val="1"/>
          <w:bCs w:val="1"/>
          <w:i w:val="1"/>
          <w:iCs w:val="1"/>
          <w:color w:val="auto"/>
        </w:rPr>
        <w:t>NSO</w:t>
      </w:r>
      <w:r>
        <w:rPr>
          <w:rFonts w:ascii="Arial" w:cs="Arial" w:eastAsia="Arial" w:hAnsi="Arial"/>
          <w:sz w:val="18"/>
          <w:szCs w:val="18"/>
          <w:color w:val="auto"/>
        </w:rPr>
        <w:t>”).</w:t>
      </w:r>
    </w:p>
    <w:p>
      <w:pPr>
        <w:spacing w:after="0" w:line="160" w:lineRule="exact"/>
        <w:rPr>
          <w:rFonts w:ascii="Arial" w:cs="Arial" w:eastAsia="Arial" w:hAnsi="Arial"/>
          <w:sz w:val="18"/>
          <w:szCs w:val="18"/>
          <w:b w:val="1"/>
          <w:bCs w:val="1"/>
          <w:color w:val="010000"/>
        </w:rPr>
      </w:pPr>
    </w:p>
    <w:p>
      <w:pPr>
        <w:ind w:left="1300" w:hanging="644"/>
        <w:spacing w:after="0"/>
        <w:tabs>
          <w:tab w:leader="none" w:pos="1300" w:val="left"/>
        </w:tabs>
        <w:numPr>
          <w:ilvl w:val="0"/>
          <w:numId w:val="4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Termination Period</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010000"/>
        </w:rPr>
      </w:pPr>
    </w:p>
    <w:p>
      <w:pPr>
        <w:jc w:val="both"/>
        <w:ind w:firstLine="1790"/>
        <w:spacing w:after="0" w:line="271" w:lineRule="auto"/>
        <w:tabs>
          <w:tab w:leader="none" w:pos="2582" w:val="left"/>
        </w:tabs>
        <w:numPr>
          <w:ilvl w:val="1"/>
          <w:numId w:val="41"/>
        </w:numPr>
        <w:rPr>
          <w:rFonts w:ascii="Arial" w:cs="Arial" w:eastAsia="Arial" w:hAnsi="Arial"/>
          <w:sz w:val="19"/>
          <w:szCs w:val="19"/>
          <w:color w:val="010000"/>
        </w:rPr>
      </w:pPr>
      <w:r>
        <w:rPr>
          <w:rFonts w:ascii="Arial" w:cs="Arial" w:eastAsia="Arial" w:hAnsi="Arial"/>
          <w:sz w:val="19"/>
          <w:szCs w:val="19"/>
          <w:u w:val="single" w:color="auto"/>
          <w:color w:val="auto"/>
        </w:rPr>
        <w:t>General Rule</w:t>
      </w:r>
      <w:r>
        <w:rPr>
          <w:rFonts w:ascii="Arial" w:cs="Arial" w:eastAsia="Arial" w:hAnsi="Arial"/>
          <w:sz w:val="19"/>
          <w:szCs w:val="19"/>
          <w:color w:val="auto"/>
        </w:rPr>
        <w:t>. If Optionee’s Service terminates for any reason except death or Disability, and other than for Cause, then the Option will expire at the close of business at Company headquarters on the date three (3) months after Optionee’s Termination Date (as defined below) (with any exercise beyond three (3) months after the date Optionee’s employment terminates deemed to be the exercise of an NSO), but in any event no later than the Expiration Date of the Option set forth in the Notice. The Company determines when Optionee’s Service terminates for all purposes under this Option Agreement.</w:t>
      </w:r>
    </w:p>
    <w:p>
      <w:pPr>
        <w:spacing w:after="0" w:line="170" w:lineRule="exact"/>
        <w:rPr>
          <w:rFonts w:ascii="Arial" w:cs="Arial" w:eastAsia="Arial" w:hAnsi="Arial"/>
          <w:sz w:val="19"/>
          <w:szCs w:val="19"/>
          <w:color w:val="010000"/>
        </w:rPr>
      </w:pPr>
    </w:p>
    <w:p>
      <w:pPr>
        <w:jc w:val="both"/>
        <w:ind w:firstLine="1790"/>
        <w:spacing w:after="0" w:line="252" w:lineRule="auto"/>
        <w:tabs>
          <w:tab w:leader="none" w:pos="2580" w:val="left"/>
        </w:tabs>
        <w:numPr>
          <w:ilvl w:val="1"/>
          <w:numId w:val="41"/>
        </w:numPr>
        <w:rPr>
          <w:rFonts w:ascii="Arial" w:cs="Arial" w:eastAsia="Arial" w:hAnsi="Arial"/>
          <w:sz w:val="20"/>
          <w:szCs w:val="20"/>
          <w:color w:val="010000"/>
        </w:rPr>
      </w:pPr>
      <w:r>
        <w:rPr>
          <w:rFonts w:ascii="Arial" w:cs="Arial" w:eastAsia="Arial" w:hAnsi="Arial"/>
          <w:sz w:val="20"/>
          <w:szCs w:val="20"/>
          <w:u w:val="single" w:color="auto"/>
          <w:color w:val="auto"/>
        </w:rPr>
        <w:t>Death; Disability</w:t>
      </w:r>
      <w:r>
        <w:rPr>
          <w:rFonts w:ascii="Arial" w:cs="Arial" w:eastAsia="Arial" w:hAnsi="Arial"/>
          <w:sz w:val="20"/>
          <w:szCs w:val="20"/>
          <w:color w:val="auto"/>
        </w:rPr>
        <w:t>. If Optionee dies before Optionee’s Service terminates (or Optionee dies within three (3) months of Optionee’s termination of Service other than for Cause), then the Option will expire at the close of business at Company headquarters on the date twelve (12) months after the date of death, but in any event no later than the Expiration Date of the Option set forth in the Notice. If Optionee’s Service terminates because of Optionee’s Disability, then the Option will expire at the close of business at Company headquarters on the date twelve (12) months after Optionee’s Termination Date, but in any event no later than the Expiration Date of the Option set forth in the Notice.</w:t>
      </w:r>
    </w:p>
    <w:p>
      <w:pPr>
        <w:spacing w:after="0" w:line="198" w:lineRule="exact"/>
        <w:rPr>
          <w:rFonts w:ascii="Arial" w:cs="Arial" w:eastAsia="Arial" w:hAnsi="Arial"/>
          <w:sz w:val="20"/>
          <w:szCs w:val="20"/>
          <w:color w:val="010000"/>
        </w:rPr>
      </w:pPr>
    </w:p>
    <w:p>
      <w:pPr>
        <w:jc w:val="both"/>
        <w:ind w:firstLine="1790"/>
        <w:spacing w:after="0" w:line="299" w:lineRule="auto"/>
        <w:tabs>
          <w:tab w:leader="none" w:pos="2582" w:val="left"/>
        </w:tabs>
        <w:numPr>
          <w:ilvl w:val="1"/>
          <w:numId w:val="41"/>
        </w:numPr>
        <w:rPr>
          <w:rFonts w:ascii="Arial" w:cs="Arial" w:eastAsia="Arial" w:hAnsi="Arial"/>
          <w:sz w:val="18"/>
          <w:szCs w:val="18"/>
          <w:color w:val="010000"/>
        </w:rPr>
      </w:pPr>
      <w:r>
        <w:rPr>
          <w:rFonts w:ascii="Arial" w:cs="Arial" w:eastAsia="Arial" w:hAnsi="Arial"/>
          <w:sz w:val="18"/>
          <w:szCs w:val="18"/>
          <w:u w:val="single" w:color="auto"/>
          <w:color w:val="auto"/>
        </w:rPr>
        <w:t>Cause</w:t>
      </w:r>
      <w:r>
        <w:rPr>
          <w:rFonts w:ascii="Arial" w:cs="Arial" w:eastAsia="Arial" w:hAnsi="Arial"/>
          <w:sz w:val="18"/>
          <w:szCs w:val="18"/>
          <w:color w:val="auto"/>
        </w:rPr>
        <w:t>. Unless otherwise determined by the Committee, the Option (whether or not vested) will terminate immediately upon the Optionee’s cessation of Service if the Company reasonably determines in good faith that such cessation of Service has resulted in connection with an act or failure to act constituting Cause (or the Optionee’s Service could have been terminated for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765" w:right="339" w:bottom="1440" w:gutter="0" w:footer="0" w:header="0"/>
        </w:sectPr>
      </w:pPr>
    </w:p>
    <w:bookmarkStart w:id="38" w:name="page39"/>
    <w:bookmarkEnd w:id="38"/>
    <w:p>
      <w:pPr>
        <w:spacing w:after="0" w:line="274" w:lineRule="auto"/>
        <w:rPr>
          <w:sz w:val="20"/>
          <w:szCs w:val="20"/>
          <w:color w:val="auto"/>
        </w:rPr>
      </w:pPr>
      <w:r>
        <w:rPr>
          <w:rFonts w:ascii="Arial" w:cs="Arial" w:eastAsia="Arial" w:hAnsi="Arial"/>
          <w:sz w:val="20"/>
          <w:szCs w:val="20"/>
          <w:color w:val="auto"/>
        </w:rPr>
        <w:t>Cause (without regard to the lapsing of any required notice or cure periods in connection therewith) at the time the Optionee terminated Service).</w:t>
      </w:r>
    </w:p>
    <w:p>
      <w:pPr>
        <w:spacing w:after="0" w:line="163" w:lineRule="exact"/>
        <w:rPr>
          <w:sz w:val="20"/>
          <w:szCs w:val="20"/>
          <w:color w:val="auto"/>
        </w:rPr>
      </w:pPr>
    </w:p>
    <w:p>
      <w:pPr>
        <w:ind w:firstLine="1790"/>
        <w:spacing w:after="0" w:line="301" w:lineRule="auto"/>
        <w:tabs>
          <w:tab w:leader="none" w:pos="2580" w:val="left"/>
        </w:tabs>
        <w:numPr>
          <w:ilvl w:val="1"/>
          <w:numId w:val="42"/>
        </w:numPr>
        <w:rPr>
          <w:rFonts w:ascii="Arial" w:cs="Arial" w:eastAsia="Arial" w:hAnsi="Arial"/>
          <w:sz w:val="19"/>
          <w:szCs w:val="19"/>
          <w:color w:val="010000"/>
        </w:rPr>
      </w:pPr>
      <w:r>
        <w:rPr>
          <w:rFonts w:ascii="Arial" w:cs="Arial" w:eastAsia="Arial" w:hAnsi="Arial"/>
          <w:sz w:val="19"/>
          <w:szCs w:val="19"/>
          <w:u w:val="single" w:color="auto"/>
          <w:color w:val="auto"/>
        </w:rPr>
        <w:t>No Notification of Exercise Periods</w:t>
      </w:r>
      <w:r>
        <w:rPr>
          <w:rFonts w:ascii="Arial" w:cs="Arial" w:eastAsia="Arial" w:hAnsi="Arial"/>
          <w:sz w:val="19"/>
          <w:szCs w:val="19"/>
          <w:color w:val="auto"/>
        </w:rPr>
        <w:t>. Optionee is responsible for keeping track of these exercise periods following Optionee’s termination of Service for any reason. The Company will not provide further notice of such periods.</w:t>
      </w:r>
    </w:p>
    <w:p>
      <w:pPr>
        <w:spacing w:after="0" w:line="140" w:lineRule="exact"/>
        <w:rPr>
          <w:rFonts w:ascii="Arial" w:cs="Arial" w:eastAsia="Arial" w:hAnsi="Arial"/>
          <w:sz w:val="19"/>
          <w:szCs w:val="19"/>
          <w:color w:val="010000"/>
        </w:rPr>
      </w:pPr>
    </w:p>
    <w:p>
      <w:pPr>
        <w:jc w:val="both"/>
        <w:ind w:firstLine="1790"/>
        <w:spacing w:after="0" w:line="279" w:lineRule="auto"/>
        <w:tabs>
          <w:tab w:leader="none" w:pos="2582" w:val="left"/>
        </w:tabs>
        <w:numPr>
          <w:ilvl w:val="1"/>
          <w:numId w:val="42"/>
        </w:numPr>
        <w:rPr>
          <w:rFonts w:ascii="Arial" w:cs="Arial" w:eastAsia="Arial" w:hAnsi="Arial"/>
          <w:sz w:val="18"/>
          <w:szCs w:val="18"/>
          <w:color w:val="010000"/>
        </w:rPr>
      </w:pPr>
      <w:r>
        <w:rPr>
          <w:rFonts w:ascii="Arial" w:cs="Arial" w:eastAsia="Arial" w:hAnsi="Arial"/>
          <w:sz w:val="18"/>
          <w:szCs w:val="18"/>
          <w:u w:val="single" w:color="auto"/>
          <w:color w:val="auto"/>
        </w:rPr>
        <w:t>Termination</w:t>
      </w:r>
      <w:r>
        <w:rPr>
          <w:rFonts w:ascii="Arial" w:cs="Arial" w:eastAsia="Arial" w:hAnsi="Arial"/>
          <w:sz w:val="18"/>
          <w:szCs w:val="18"/>
          <w:color w:val="auto"/>
        </w:rPr>
        <w:t>. For purposes of this Option, Optionee’s Service will be considered terminated as of the date Optionee is no longer providing Service to the Company, its Parent or one of its Subsidiaries or Affiliates (regardless of the reason for such termination and whether or not later found to be invalid or in breach of employment laws in the jurisdiction where Optionee is employed or the terms of Optionee’s employment agreement, if any)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The Committee will have the exclusive discretion to determine when Optionee is no longer actively providing Service for purposes of Optionee’s Option (including whether Optionee may still be considered to be providing Service while on an approved leave of absence). Unless otherwise provided in this Option Agreement or determined by the Company, Optionee’s right to vest in this Option under the Plan, if any, will terminate as of the Termination Date and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Optionee’s period of Service would not include any contractual notice period or any period of “garden leave” or similar period mandated under employment laws in the jurisdiction where Optionee is employed or the terms of Optionee’s employment agreement, if any). Following the Termination Date, Optionee may exercise the Option only as set forth in the Notice and this Section, provided that the period (if any) during which Optionee may exercise the Option after the Termination Date, if any, will commence on the date Optionee ceases to provide Service and will not be extended by any notice period mandated under employment laws in the jurisdiction where Optionee is employed or terms of Optionee’s employment agreement, if any. If Optionee does not exercise this Option within the termination period set forth in the Notice or the termination periods set forth above, the Option will terminate in its entirety. In no event may the Option be exercised after the Expiration Date of the Option as set forth in the Notice.</w:t>
      </w:r>
    </w:p>
    <w:p>
      <w:pPr>
        <w:spacing w:after="0" w:line="164" w:lineRule="exact"/>
        <w:rPr>
          <w:rFonts w:ascii="Arial" w:cs="Arial" w:eastAsia="Arial" w:hAnsi="Arial"/>
          <w:sz w:val="18"/>
          <w:szCs w:val="18"/>
          <w:color w:val="010000"/>
        </w:rPr>
      </w:pPr>
    </w:p>
    <w:p>
      <w:pPr>
        <w:ind w:left="1300" w:hanging="644"/>
        <w:spacing w:after="0"/>
        <w:tabs>
          <w:tab w:leader="none" w:pos="1300" w:val="left"/>
        </w:tabs>
        <w:numPr>
          <w:ilvl w:val="0"/>
          <w:numId w:val="43"/>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Exercise of Option</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010000"/>
        </w:rPr>
      </w:pPr>
    </w:p>
    <w:p>
      <w:pPr>
        <w:jc w:val="both"/>
        <w:ind w:firstLine="1790"/>
        <w:spacing w:after="0" w:line="273" w:lineRule="auto"/>
        <w:tabs>
          <w:tab w:leader="none" w:pos="2582" w:val="left"/>
        </w:tabs>
        <w:numPr>
          <w:ilvl w:val="1"/>
          <w:numId w:val="43"/>
        </w:numPr>
        <w:rPr>
          <w:rFonts w:ascii="Arial" w:cs="Arial" w:eastAsia="Arial" w:hAnsi="Arial"/>
          <w:sz w:val="19"/>
          <w:szCs w:val="19"/>
          <w:color w:val="010000"/>
        </w:rPr>
      </w:pPr>
      <w:r>
        <w:rPr>
          <w:rFonts w:ascii="Arial" w:cs="Arial" w:eastAsia="Arial" w:hAnsi="Arial"/>
          <w:sz w:val="19"/>
          <w:szCs w:val="19"/>
          <w:u w:val="single" w:color="auto"/>
          <w:color w:val="auto"/>
        </w:rPr>
        <w:t>Right to Exercise</w:t>
      </w:r>
      <w:r>
        <w:rPr>
          <w:rFonts w:ascii="Arial" w:cs="Arial" w:eastAsia="Arial" w:hAnsi="Arial"/>
          <w:sz w:val="19"/>
          <w:szCs w:val="19"/>
          <w:color w:val="auto"/>
        </w:rPr>
        <w:t>. The Option is exercisable during its term in accordance with the Vesting Schedule set forth in the Notice and the applicable provisions of the Plan and this Option Agreement. In the event of Optionee’s death, Disability, termination for Cause, or other cessation of Service, the exercisability of the Option is governed by the applicable provisions of the Plan, the Notice, and this Option Agreement. The Option may not be exercised for a fraction of a Share.</w:t>
      </w:r>
    </w:p>
    <w:p>
      <w:pPr>
        <w:spacing w:after="0" w:line="166" w:lineRule="exact"/>
        <w:rPr>
          <w:rFonts w:ascii="Arial" w:cs="Arial" w:eastAsia="Arial" w:hAnsi="Arial"/>
          <w:sz w:val="19"/>
          <w:szCs w:val="19"/>
          <w:color w:val="010000"/>
        </w:rPr>
      </w:pPr>
    </w:p>
    <w:p>
      <w:pPr>
        <w:jc w:val="both"/>
        <w:ind w:firstLine="1790"/>
        <w:spacing w:after="0" w:line="280" w:lineRule="auto"/>
        <w:tabs>
          <w:tab w:leader="none" w:pos="2580" w:val="left"/>
        </w:tabs>
        <w:numPr>
          <w:ilvl w:val="1"/>
          <w:numId w:val="43"/>
        </w:numPr>
        <w:rPr>
          <w:rFonts w:ascii="Arial" w:cs="Arial" w:eastAsia="Arial" w:hAnsi="Arial"/>
          <w:sz w:val="18"/>
          <w:szCs w:val="18"/>
          <w:color w:val="010000"/>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The Option is exercisable by delivery of an exercise notice in a form specified by the Company (the “</w:t>
      </w: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which will state the election to exercise the Option, the number of Shares in respect of which the Option is being exercised (the “</w:t>
      </w:r>
      <w:r>
        <w:rPr>
          <w:rFonts w:ascii="Arial" w:cs="Arial" w:eastAsia="Arial" w:hAnsi="Arial"/>
          <w:sz w:val="18"/>
          <w:szCs w:val="18"/>
          <w:b w:val="1"/>
          <w:bCs w:val="1"/>
          <w:i w:val="1"/>
          <w:iCs w:val="1"/>
          <w:color w:val="auto"/>
        </w:rPr>
        <w:t>Exercised Shares</w:t>
      </w:r>
      <w:r>
        <w:rPr>
          <w:rFonts w:ascii="Arial" w:cs="Arial" w:eastAsia="Arial" w:hAnsi="Arial"/>
          <w:sz w:val="18"/>
          <w:szCs w:val="18"/>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No Shares will be issued pursuant to the exercise of the Option unless such issuance and exercise complies with all relevant provisions of law and the requirements of any stock exchange or quotation service upon which the Shares are then listed. Assuming such compliance, for United States income tax purposes the Exercised Shares will be considered transferred to Optionee on the date the Option is exercised with respect to such Exercised Shares.</w:t>
      </w:r>
    </w:p>
    <w:p>
      <w:pPr>
        <w:spacing w:after="0" w:line="178" w:lineRule="exact"/>
        <w:rPr>
          <w:rFonts w:ascii="Arial" w:cs="Arial" w:eastAsia="Arial" w:hAnsi="Arial"/>
          <w:sz w:val="18"/>
          <w:szCs w:val="18"/>
          <w:color w:val="010000"/>
        </w:rPr>
      </w:pPr>
    </w:p>
    <w:p>
      <w:pPr>
        <w:ind w:right="20" w:firstLine="1790"/>
        <w:spacing w:after="0" w:line="260" w:lineRule="auto"/>
        <w:tabs>
          <w:tab w:leader="none" w:pos="2582" w:val="left"/>
        </w:tabs>
        <w:numPr>
          <w:ilvl w:val="1"/>
          <w:numId w:val="43"/>
        </w:numPr>
        <w:rPr>
          <w:rFonts w:ascii="Arial" w:cs="Arial" w:eastAsia="Arial" w:hAnsi="Arial"/>
          <w:sz w:val="20"/>
          <w:szCs w:val="20"/>
          <w:color w:val="010000"/>
        </w:rPr>
      </w:pPr>
      <w:r>
        <w:rPr>
          <w:rFonts w:ascii="Arial" w:cs="Arial" w:eastAsia="Arial" w:hAnsi="Arial"/>
          <w:sz w:val="20"/>
          <w:szCs w:val="20"/>
          <w:u w:val="single" w:color="auto"/>
          <w:color w:val="auto"/>
        </w:rPr>
        <w:t>Exercise by Another</w:t>
      </w:r>
      <w:r>
        <w:rPr>
          <w:rFonts w:ascii="Arial" w:cs="Arial" w:eastAsia="Arial" w:hAnsi="Arial"/>
          <w:sz w:val="20"/>
          <w:szCs w:val="20"/>
          <w:color w:val="auto"/>
        </w:rPr>
        <w:t>. If another person wants to exercise the Option after it has been transferred to him or her in compliance with this Option Agreement, that person must</w:t>
      </w:r>
    </w:p>
    <w:p>
      <w:pPr>
        <w:sectPr>
          <w:pgSz w:w="11900" w:h="16838" w:orient="portrait"/>
          <w:cols w:equalWidth="0" w:num="1">
            <w:col w:w="11240"/>
          </w:cols>
          <w:pgMar w:left="320" w:top="771" w:right="339" w:bottom="1440" w:gutter="0" w:footer="0" w:header="0"/>
        </w:sectPr>
      </w:pPr>
    </w:p>
    <w:bookmarkStart w:id="39" w:name="page40"/>
    <w:bookmarkEnd w:id="39"/>
    <w:p>
      <w:pPr>
        <w:jc w:val="both"/>
        <w:spacing w:after="0" w:line="257" w:lineRule="auto"/>
        <w:rPr>
          <w:sz w:val="20"/>
          <w:szCs w:val="20"/>
          <w:color w:val="auto"/>
        </w:rPr>
      </w:pPr>
      <w:r>
        <w:rPr>
          <w:rFonts w:ascii="Arial" w:cs="Arial" w:eastAsia="Arial" w:hAnsi="Arial"/>
          <w:sz w:val="20"/>
          <w:szCs w:val="20"/>
          <w:color w:val="auto"/>
        </w:rPr>
        <w:t>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spacing w:after="0" w:line="187" w:lineRule="exact"/>
        <w:rPr>
          <w:sz w:val="20"/>
          <w:szCs w:val="20"/>
          <w:color w:val="auto"/>
        </w:rPr>
      </w:pPr>
    </w:p>
    <w:p>
      <w:pPr>
        <w:ind w:right="20" w:firstLine="656"/>
        <w:spacing w:after="0" w:line="267" w:lineRule="auto"/>
        <w:tabs>
          <w:tab w:leader="none" w:pos="1296" w:val="left"/>
        </w:tabs>
        <w:numPr>
          <w:ilvl w:val="0"/>
          <w:numId w:val="44"/>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Method of Payment</w:t>
      </w:r>
      <w:r>
        <w:rPr>
          <w:rFonts w:ascii="Arial" w:cs="Arial" w:eastAsia="Arial" w:hAnsi="Arial"/>
          <w:sz w:val="20"/>
          <w:szCs w:val="20"/>
          <w:b w:val="1"/>
          <w:bCs w:val="1"/>
          <w:color w:val="auto"/>
        </w:rPr>
        <w:t xml:space="preserve">. </w:t>
      </w:r>
      <w:r>
        <w:rPr>
          <w:rFonts w:ascii="Arial" w:cs="Arial" w:eastAsia="Arial" w:hAnsi="Arial"/>
          <w:sz w:val="20"/>
          <w:szCs w:val="20"/>
          <w:color w:val="auto"/>
        </w:rPr>
        <w:t>Payment of the aggregate Exercise Price will be by any of the following, or a combination thereof, at</w:t>
      </w:r>
      <w:r>
        <w:rPr>
          <w:rFonts w:ascii="Arial" w:cs="Arial" w:eastAsia="Arial" w:hAnsi="Arial"/>
          <w:sz w:val="20"/>
          <w:szCs w:val="20"/>
          <w:b w:val="1"/>
          <w:bCs w:val="1"/>
          <w:color w:val="auto"/>
        </w:rPr>
        <w:t xml:space="preserve"> </w:t>
      </w:r>
      <w:r>
        <w:rPr>
          <w:rFonts w:ascii="Arial" w:cs="Arial" w:eastAsia="Arial" w:hAnsi="Arial"/>
          <w:sz w:val="20"/>
          <w:szCs w:val="20"/>
          <w:color w:val="auto"/>
        </w:rPr>
        <w:t>the election of Optionee:</w:t>
      </w:r>
    </w:p>
    <w:p>
      <w:pPr>
        <w:spacing w:after="0" w:line="182" w:lineRule="exact"/>
        <w:rPr>
          <w:rFonts w:ascii="Arial" w:cs="Arial" w:eastAsia="Arial" w:hAnsi="Arial"/>
          <w:sz w:val="20"/>
          <w:szCs w:val="20"/>
          <w:b w:val="1"/>
          <w:bCs w:val="1"/>
          <w:color w:val="010000"/>
        </w:rPr>
      </w:pPr>
    </w:p>
    <w:p>
      <w:pPr>
        <w:ind w:left="2600" w:hanging="810"/>
        <w:spacing w:after="0"/>
        <w:tabs>
          <w:tab w:leader="none" w:pos="2600"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Optionee’s personal check (or readily available funds), wire transfer, or a cashier’s check;</w:t>
      </w:r>
    </w:p>
    <w:p>
      <w:pPr>
        <w:spacing w:after="0" w:line="229" w:lineRule="exact"/>
        <w:rPr>
          <w:rFonts w:ascii="Arial" w:cs="Arial" w:eastAsia="Arial" w:hAnsi="Arial"/>
          <w:sz w:val="20"/>
          <w:szCs w:val="20"/>
          <w:color w:val="010000"/>
        </w:rPr>
      </w:pPr>
    </w:p>
    <w:p>
      <w:pPr>
        <w:jc w:val="both"/>
        <w:ind w:firstLine="1790"/>
        <w:spacing w:after="0" w:line="250" w:lineRule="auto"/>
        <w:tabs>
          <w:tab w:leader="none" w:pos="2580"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certificates for shares of Company stock that Optionee owns, along with any forms needed to effect a transfer of those shares to the Company; the value of the shares, determined as of the effective date of the Option exercise, will be applied to the Exercise Price. Instead of surrendering shares of Company stock, Optionee may attest to the ownership of those shares on a form provided by the Company and have the same number of shares subtracted from the Option shares issued to Optionee. However, Optionee may not surrender, or attest to the ownership of, shares of Company stock in payment of the Exercise Price of Optionee’s Option if Optionee’s action would cause the Company to recognize compensation expense (or additional compensation expense) with respect to this Option for financial reporting purposes;</w:t>
      </w:r>
    </w:p>
    <w:p>
      <w:pPr>
        <w:spacing w:after="0" w:line="199" w:lineRule="exact"/>
        <w:rPr>
          <w:rFonts w:ascii="Arial" w:cs="Arial" w:eastAsia="Arial" w:hAnsi="Arial"/>
          <w:sz w:val="20"/>
          <w:szCs w:val="20"/>
          <w:color w:val="010000"/>
        </w:rPr>
      </w:pPr>
    </w:p>
    <w:p>
      <w:pPr>
        <w:jc w:val="both"/>
        <w:ind w:firstLine="1790"/>
        <w:spacing w:after="0" w:line="255" w:lineRule="auto"/>
        <w:tabs>
          <w:tab w:leader="none" w:pos="2582"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Optionee. The directions must be given by signing a special notice of exercise form provided by the Company; or</w:t>
      </w:r>
    </w:p>
    <w:p>
      <w:pPr>
        <w:spacing w:after="0" w:line="183" w:lineRule="exact"/>
        <w:rPr>
          <w:rFonts w:ascii="Arial" w:cs="Arial" w:eastAsia="Arial" w:hAnsi="Arial"/>
          <w:sz w:val="20"/>
          <w:szCs w:val="20"/>
          <w:color w:val="010000"/>
        </w:rPr>
      </w:pPr>
    </w:p>
    <w:p>
      <w:pPr>
        <w:ind w:left="2580" w:hanging="790"/>
        <w:spacing w:after="0"/>
        <w:tabs>
          <w:tab w:leader="none" w:pos="2580" w:val="left"/>
        </w:tabs>
        <w:numPr>
          <w:ilvl w:val="1"/>
          <w:numId w:val="44"/>
        </w:numPr>
        <w:rPr>
          <w:rFonts w:ascii="Arial" w:cs="Arial" w:eastAsia="Arial" w:hAnsi="Arial"/>
          <w:sz w:val="20"/>
          <w:szCs w:val="20"/>
          <w:color w:val="010000"/>
        </w:rPr>
      </w:pPr>
      <w:r>
        <w:rPr>
          <w:rFonts w:ascii="Arial" w:cs="Arial" w:eastAsia="Arial" w:hAnsi="Arial"/>
          <w:sz w:val="20"/>
          <w:szCs w:val="20"/>
          <w:color w:val="auto"/>
        </w:rPr>
        <w:t>any other method authorized by the Company;</w:t>
      </w:r>
    </w:p>
    <w:p>
      <w:pPr>
        <w:spacing w:after="0" w:line="229"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provided, however, that the Company may restrict the available methods of payment to facilitate compliance with applicable law or administration of the Plan.</w:t>
      </w:r>
    </w:p>
    <w:p>
      <w:pPr>
        <w:spacing w:after="0" w:line="184" w:lineRule="exact"/>
        <w:rPr>
          <w:sz w:val="20"/>
          <w:szCs w:val="20"/>
          <w:color w:val="auto"/>
        </w:rPr>
      </w:pPr>
    </w:p>
    <w:p>
      <w:pPr>
        <w:jc w:val="both"/>
        <w:ind w:firstLine="656"/>
        <w:spacing w:after="0" w:line="278" w:lineRule="auto"/>
        <w:tabs>
          <w:tab w:leader="none" w:pos="1296" w:val="left"/>
        </w:tabs>
        <w:numPr>
          <w:ilvl w:val="0"/>
          <w:numId w:val="45"/>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In general, except as provided below, only Optionee may exercise this Option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death. Optionee may not transfer or assign this Option, except as provided below. For instance, Optionee may not sell this Option or use it as security for a loan. If Optionee attempts to do any of these things, this Option will immediately become invalid. However, if Optionee is a U.S. taxpayer, Optionee may dispose of this Option in Optionee’s will. If Optionee is a U.S. taxpayer and this Option is designated as a NSO in the Notice of Grant, then the Committee may, in its sole discretion, allow Optionee to transfer this Option as a gift to one or more family members. For purposes of this Option Agreement, “family member” means a child, stepchild, grandchild, parent, stepparent, grandparent, spouse, former spouse, sibling, niece, nephew, mother-in- law, father-in-law, son-in-law, daughter-in-law, brother-in-law or sister-in-law (including adoptive relationships), any individual sharing Optionee’s household (other than a tenant or employee), a trust in which one or more of these individuals have more than 50% of the beneficial interest, a foundation in which Optionee or one or more of these persons control the management of assets, and any entity in which Optionee or one or more of these persons own more than 50% of the voting interest. In addition, if Optionee is a U.S. taxpayer and this Option is designated as a NSO in the Notice of Grant, then the Committee may, in its sole discretion, allow Optionee to transfer this Option to Optionee’s spouse or former spouse pursuant to a domestic relations order in settlement of marital property rights. The Committee will allow Optionee to transfer this Option only if both Optionee and the transferee(s) execute the forms prescribed by the Committee, which include the consent of the transferee(s) to be bound by this Option Agreement. This Option may not be transferred in any manner other than by will or by the laws of descent or distribution or court order and may be exercised during Optionee’s lifetime only by Optionee, Optionee’s guardian, or legal representative, as permitted in the Plan and applicable local laws. The terms of the Plan and this</w:t>
      </w:r>
    </w:p>
    <w:p>
      <w:pPr>
        <w:sectPr>
          <w:pgSz w:w="11900" w:h="16838" w:orient="portrait"/>
          <w:cols w:equalWidth="0" w:num="1">
            <w:col w:w="11240"/>
          </w:cols>
          <w:pgMar w:left="320" w:top="771"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color w:val="auto"/>
        </w:rPr>
        <w:t>Option Agreement shall be binding upon the executors, administrators, heirs, successors and assigns of Optionee.</w:t>
      </w:r>
    </w:p>
    <w:p>
      <w:pPr>
        <w:spacing w:after="0" w:line="223" w:lineRule="exact"/>
        <w:rPr>
          <w:sz w:val="20"/>
          <w:szCs w:val="20"/>
          <w:color w:val="auto"/>
        </w:rPr>
      </w:pPr>
    </w:p>
    <w:p>
      <w:pPr>
        <w:jc w:val="both"/>
        <w:ind w:firstLine="656"/>
        <w:spacing w:after="0" w:line="260" w:lineRule="auto"/>
        <w:tabs>
          <w:tab w:leader="none" w:pos="1296" w:val="left"/>
        </w:tabs>
        <w:numPr>
          <w:ilvl w:val="0"/>
          <w:numId w:val="4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Term of Option</w:t>
      </w:r>
      <w:r>
        <w:rPr>
          <w:rFonts w:ascii="Arial" w:cs="Arial" w:eastAsia="Arial" w:hAnsi="Arial"/>
          <w:sz w:val="20"/>
          <w:szCs w:val="20"/>
          <w:b w:val="1"/>
          <w:bCs w:val="1"/>
          <w:color w:val="auto"/>
        </w:rPr>
        <w:t xml:space="preserve">. </w:t>
      </w:r>
      <w:r>
        <w:rPr>
          <w:rFonts w:ascii="Arial" w:cs="Arial" w:eastAsia="Arial" w:hAnsi="Arial"/>
          <w:sz w:val="20"/>
          <w:szCs w:val="20"/>
          <w:color w:val="auto"/>
        </w:rPr>
        <w:t>The Option will in any event expire on the expiration date set forth in the Notice, which date is no more</w:t>
      </w:r>
      <w:r>
        <w:rPr>
          <w:rFonts w:ascii="Arial" w:cs="Arial" w:eastAsia="Arial" w:hAnsi="Arial"/>
          <w:sz w:val="20"/>
          <w:szCs w:val="20"/>
          <w:b w:val="1"/>
          <w:bCs w:val="1"/>
          <w:color w:val="auto"/>
        </w:rPr>
        <w:t xml:space="preserve"> </w:t>
      </w:r>
      <w:r>
        <w:rPr>
          <w:rFonts w:ascii="Arial" w:cs="Arial" w:eastAsia="Arial" w:hAnsi="Arial"/>
          <w:sz w:val="20"/>
          <w:szCs w:val="20"/>
          <w:color w:val="auto"/>
        </w:rPr>
        <w:t>than ten (10) years after the Date of Grant (five (5) years after the Date of Grant if this option is designated as an ISO in the Notice and Section 5.3 of the Plan applies).</w:t>
      </w:r>
    </w:p>
    <w:p>
      <w:pPr>
        <w:spacing w:after="0" w:line="170" w:lineRule="exact"/>
        <w:rPr>
          <w:rFonts w:ascii="Arial" w:cs="Arial" w:eastAsia="Arial" w:hAnsi="Arial"/>
          <w:sz w:val="20"/>
          <w:szCs w:val="20"/>
          <w:b w:val="1"/>
          <w:bCs w:val="1"/>
          <w:color w:val="010000"/>
        </w:rPr>
      </w:pPr>
    </w:p>
    <w:p>
      <w:pPr>
        <w:ind w:left="1300" w:hanging="644"/>
        <w:spacing w:after="0"/>
        <w:tabs>
          <w:tab w:leader="none" w:pos="1300" w:val="left"/>
        </w:tabs>
        <w:numPr>
          <w:ilvl w:val="0"/>
          <w:numId w:val="46"/>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Taxes</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010000"/>
        </w:rPr>
      </w:pPr>
    </w:p>
    <w:p>
      <w:pPr>
        <w:jc w:val="both"/>
        <w:ind w:firstLine="1790"/>
        <w:spacing w:after="0" w:line="280" w:lineRule="auto"/>
        <w:tabs>
          <w:tab w:leader="none" w:pos="2582" w:val="left"/>
        </w:tabs>
        <w:numPr>
          <w:ilvl w:val="1"/>
          <w:numId w:val="46"/>
        </w:numPr>
        <w:rPr>
          <w:rFonts w:ascii="Arial" w:cs="Arial" w:eastAsia="Arial" w:hAnsi="Arial"/>
          <w:sz w:val="18"/>
          <w:szCs w:val="18"/>
          <w:color w:val="010000"/>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Optionee acknowledges that, regardless of any action taken by the Company or, if different, a Parent, Subsidiary, or Affiliate employing or retaining Optionee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 related items related to Optionee’s participation in the Plan and legally applicable to Optionee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xml:space="preserve">”) is and remains Optionee’s responsibility and may exceed the amount actually withheld by the Company or the Employer, if any. Optionee further acknowledges that the Company and/or the Employer (i) make no representations or undertakings regarding the treatment of any Tax-Related Items in connection with any aspect of this Option, including, but not limited to, the grant, vesting, or exercise of this Option; the subsequent sale of Shares acquired pursuant to such exercise; and the receipt of any dividends; and (ii) do not commit to and are under no obligation to structure the terms of the grant or any aspect of this Option to reduce or eliminate Optionee’s liability for Tax-Related Items or achieve any particular tax result. Further, if Optionee is subject to Tax-Related Items in more than one jurisdiction, Optionee acknowledges that the Company and/or the Employer (or former employer, as applicable) may be required to withhold or account for Tax-Related Items in more than one jurisdiction. </w:t>
      </w:r>
      <w:r>
        <w:rPr>
          <w:rFonts w:ascii="Arial" w:cs="Arial" w:eastAsia="Arial" w:hAnsi="Arial"/>
          <w:sz w:val="18"/>
          <w:szCs w:val="18"/>
          <w:i w:val="1"/>
          <w:iCs w:val="1"/>
          <w:color w:val="auto"/>
        </w:rPr>
        <w:t>OPTIONEE SHOULD CONSULT A TAX ADVISER</w:t>
      </w:r>
      <w:r>
        <w:rPr>
          <w:rFonts w:ascii="Arial" w:cs="Arial" w:eastAsia="Arial" w:hAnsi="Arial"/>
          <w:sz w:val="18"/>
          <w:szCs w:val="18"/>
          <w:color w:val="auto"/>
        </w:rPr>
        <w:t xml:space="preserve"> </w:t>
      </w:r>
      <w:r>
        <w:rPr>
          <w:rFonts w:ascii="Arial" w:cs="Arial" w:eastAsia="Arial" w:hAnsi="Arial"/>
          <w:sz w:val="18"/>
          <w:szCs w:val="18"/>
          <w:i w:val="1"/>
          <w:iCs w:val="1"/>
          <w:color w:val="auto"/>
        </w:rPr>
        <w:t>APPROPRIATELY QUALIFIED IN THE COUNTRY OR COUNTRIES IN WHICH OPTIONEE RESIDES OR IS SUBJECT TO TAXATION.</w:t>
      </w:r>
    </w:p>
    <w:p>
      <w:pPr>
        <w:spacing w:after="0" w:line="166" w:lineRule="exact"/>
        <w:rPr>
          <w:rFonts w:ascii="Arial" w:cs="Arial" w:eastAsia="Arial" w:hAnsi="Arial"/>
          <w:sz w:val="18"/>
          <w:szCs w:val="18"/>
          <w:color w:val="010000"/>
        </w:rPr>
      </w:pPr>
    </w:p>
    <w:p>
      <w:pPr>
        <w:jc w:val="both"/>
        <w:ind w:firstLine="1790"/>
        <w:spacing w:after="0" w:line="251" w:lineRule="auto"/>
        <w:tabs>
          <w:tab w:leader="none" w:pos="2580" w:val="left"/>
        </w:tabs>
        <w:numPr>
          <w:ilvl w:val="1"/>
          <w:numId w:val="46"/>
        </w:numPr>
        <w:rPr>
          <w:rFonts w:ascii="Arial" w:cs="Arial" w:eastAsia="Arial" w:hAnsi="Arial"/>
          <w:sz w:val="20"/>
          <w:szCs w:val="20"/>
          <w:color w:val="010000"/>
        </w:rPr>
      </w:pPr>
      <w:r>
        <w:rPr>
          <w:rFonts w:ascii="Arial" w:cs="Arial" w:eastAsia="Arial" w:hAnsi="Arial"/>
          <w:sz w:val="20"/>
          <w:szCs w:val="20"/>
          <w:u w:val="single" w:color="auto"/>
          <w:color w:val="auto"/>
        </w:rPr>
        <w:t>Withholding.</w:t>
      </w:r>
      <w:r>
        <w:rPr>
          <w:rFonts w:ascii="Arial" w:cs="Arial" w:eastAsia="Arial" w:hAnsi="Arial"/>
          <w:sz w:val="20"/>
          <w:szCs w:val="20"/>
          <w:color w:val="auto"/>
        </w:rPr>
        <w:t xml:space="preserve"> Prior to any relevant taxable or tax withholding event, as applicable, Optionee agrees to make arrangements satisfactory to the Company and/or the Employer to satisfy all Tax-Related Items. In this regard, Optionee authorizes the Company and/or the Employer, or their respective agents, at their discretion, to satisfy any withholding obligations for Tax-Related Items by one or a combination of the following, all under such rules as may be established by the Committee and in compliance with the Company’s Insider Trading Policy and 10b5-1 Trading Plan Policy, if applicable:</w:t>
      </w:r>
    </w:p>
    <w:p>
      <w:pPr>
        <w:spacing w:after="0" w:line="201" w:lineRule="exact"/>
        <w:rPr>
          <w:rFonts w:ascii="Arial" w:cs="Arial" w:eastAsia="Arial" w:hAnsi="Arial"/>
          <w:sz w:val="20"/>
          <w:szCs w:val="20"/>
          <w:color w:val="010000"/>
        </w:rPr>
      </w:pPr>
    </w:p>
    <w:p>
      <w:pPr>
        <w:ind w:left="3240" w:hanging="802"/>
        <w:spacing w:after="0"/>
        <w:tabs>
          <w:tab w:leader="none" w:pos="3240" w:val="left"/>
        </w:tabs>
        <w:numPr>
          <w:ilvl w:val="2"/>
          <w:numId w:val="46"/>
        </w:numPr>
        <w:rPr>
          <w:rFonts w:ascii="Arial" w:cs="Arial" w:eastAsia="Arial" w:hAnsi="Arial"/>
          <w:sz w:val="18"/>
          <w:szCs w:val="18"/>
          <w:color w:val="010000"/>
        </w:rPr>
      </w:pPr>
      <w:r>
        <w:rPr>
          <w:rFonts w:ascii="Arial" w:cs="Arial" w:eastAsia="Arial" w:hAnsi="Arial"/>
          <w:sz w:val="18"/>
          <w:szCs w:val="18"/>
          <w:color w:val="auto"/>
        </w:rPr>
        <w:t>withholding from Optionee’s wages or other cash compensation paid to Optionee by the Company</w:t>
      </w:r>
    </w:p>
    <w:p>
      <w:pPr>
        <w:spacing w:after="0" w:line="43"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and/or the Employer; or</w:t>
      </w:r>
    </w:p>
    <w:p>
      <w:pPr>
        <w:spacing w:after="0" w:line="208" w:lineRule="exact"/>
        <w:rPr>
          <w:rFonts w:ascii="Arial" w:cs="Arial" w:eastAsia="Arial" w:hAnsi="Arial"/>
          <w:sz w:val="18"/>
          <w:szCs w:val="18"/>
          <w:color w:val="010000"/>
        </w:rPr>
      </w:pPr>
    </w:p>
    <w:p>
      <w:pPr>
        <w:jc w:val="both"/>
        <w:ind w:firstLine="2438"/>
        <w:spacing w:after="0" w:line="257" w:lineRule="auto"/>
        <w:tabs>
          <w:tab w:leader="none" w:pos="3239" w:val="left"/>
        </w:tabs>
        <w:numPr>
          <w:ilvl w:val="2"/>
          <w:numId w:val="46"/>
        </w:numPr>
        <w:rPr>
          <w:rFonts w:ascii="Arial" w:cs="Arial" w:eastAsia="Arial" w:hAnsi="Arial"/>
          <w:sz w:val="20"/>
          <w:szCs w:val="20"/>
          <w:color w:val="010000"/>
        </w:rPr>
      </w:pPr>
      <w:r>
        <w:rPr>
          <w:rFonts w:ascii="Arial" w:cs="Arial" w:eastAsia="Arial" w:hAnsi="Arial"/>
          <w:sz w:val="20"/>
          <w:szCs w:val="20"/>
          <w:color w:val="auto"/>
        </w:rPr>
        <w:t>withholding from proceeds of the sale of Shares acquired at exercise of this Option either through a voluntary sale or through a mandatory sale arranged by the Company (on Optionee’s behalf pursuant to this authorization and without further consent);</w:t>
      </w:r>
    </w:p>
    <w:p>
      <w:pPr>
        <w:spacing w:after="0" w:line="192" w:lineRule="exact"/>
        <w:rPr>
          <w:rFonts w:ascii="Arial" w:cs="Arial" w:eastAsia="Arial" w:hAnsi="Arial"/>
          <w:sz w:val="20"/>
          <w:szCs w:val="20"/>
          <w:color w:val="010000"/>
        </w:rPr>
      </w:pPr>
    </w:p>
    <w:p>
      <w:pPr>
        <w:ind w:firstLine="2438"/>
        <w:spacing w:after="0" w:line="274" w:lineRule="auto"/>
        <w:tabs>
          <w:tab w:leader="none" w:pos="3240" w:val="left"/>
        </w:tabs>
        <w:numPr>
          <w:ilvl w:val="2"/>
          <w:numId w:val="46"/>
        </w:numPr>
        <w:rPr>
          <w:rFonts w:ascii="Arial" w:cs="Arial" w:eastAsia="Arial" w:hAnsi="Arial"/>
          <w:sz w:val="20"/>
          <w:szCs w:val="20"/>
          <w:color w:val="010000"/>
        </w:rPr>
      </w:pPr>
      <w:r>
        <w:rPr>
          <w:rFonts w:ascii="Arial" w:cs="Arial" w:eastAsia="Arial" w:hAnsi="Arial"/>
          <w:sz w:val="20"/>
          <w:szCs w:val="20"/>
          <w:color w:val="auto"/>
        </w:rPr>
        <w:t>withholding Shares to be issued upon exercise of the Option, provided the Company only withholds the number of Shares necessary to satisfy no more than applicable statutory withholding amounts;</w:t>
      </w:r>
    </w:p>
    <w:p>
      <w:pPr>
        <w:spacing w:after="0" w:line="163" w:lineRule="exact"/>
        <w:rPr>
          <w:rFonts w:ascii="Arial" w:cs="Arial" w:eastAsia="Arial" w:hAnsi="Arial"/>
          <w:sz w:val="20"/>
          <w:szCs w:val="20"/>
          <w:color w:val="010000"/>
        </w:rPr>
      </w:pPr>
    </w:p>
    <w:p>
      <w:pPr>
        <w:ind w:left="3240" w:hanging="802"/>
        <w:spacing w:after="0"/>
        <w:tabs>
          <w:tab w:leader="none" w:pos="3240" w:val="left"/>
        </w:tabs>
        <w:numPr>
          <w:ilvl w:val="2"/>
          <w:numId w:val="46"/>
        </w:numPr>
        <w:rPr>
          <w:rFonts w:ascii="Arial" w:cs="Arial" w:eastAsia="Arial" w:hAnsi="Arial"/>
          <w:sz w:val="18"/>
          <w:szCs w:val="18"/>
          <w:color w:val="010000"/>
        </w:rPr>
      </w:pPr>
      <w:r>
        <w:rPr>
          <w:rFonts w:ascii="Arial" w:cs="Arial" w:eastAsia="Arial" w:hAnsi="Arial"/>
          <w:sz w:val="18"/>
          <w:szCs w:val="18"/>
          <w:color w:val="auto"/>
        </w:rPr>
        <w:t>Optionee’s payment of a cash amount (including by check representing readily available funds or a</w:t>
      </w:r>
    </w:p>
    <w:p>
      <w:pPr>
        <w:spacing w:after="0" w:line="43"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wire transfer); or</w:t>
      </w:r>
    </w:p>
    <w:p>
      <w:pPr>
        <w:spacing w:after="0" w:line="208" w:lineRule="exact"/>
        <w:rPr>
          <w:rFonts w:ascii="Arial" w:cs="Arial" w:eastAsia="Arial" w:hAnsi="Arial"/>
          <w:sz w:val="18"/>
          <w:szCs w:val="18"/>
          <w:color w:val="010000"/>
        </w:rPr>
      </w:pPr>
    </w:p>
    <w:p>
      <w:pPr>
        <w:ind w:left="3240" w:hanging="802"/>
        <w:spacing w:after="0"/>
        <w:tabs>
          <w:tab w:leader="none" w:pos="3240" w:val="left"/>
        </w:tabs>
        <w:numPr>
          <w:ilvl w:val="2"/>
          <w:numId w:val="46"/>
        </w:numPr>
        <w:rPr>
          <w:rFonts w:ascii="Arial" w:cs="Arial" w:eastAsia="Arial" w:hAnsi="Arial"/>
          <w:sz w:val="20"/>
          <w:szCs w:val="20"/>
          <w:color w:val="010000"/>
        </w:rPr>
      </w:pPr>
      <w:r>
        <w:rPr>
          <w:rFonts w:ascii="Arial" w:cs="Arial" w:eastAsia="Arial" w:hAnsi="Arial"/>
          <w:sz w:val="20"/>
          <w:szCs w:val="20"/>
          <w:color w:val="auto"/>
        </w:rPr>
        <w:t>any other arrangement approved by the Committee and permitted under applicable law;</w:t>
      </w:r>
    </w:p>
    <w:p>
      <w:pPr>
        <w:spacing w:after="0" w:line="229" w:lineRule="exact"/>
        <w:rPr>
          <w:sz w:val="20"/>
          <w:szCs w:val="20"/>
          <w:color w:val="auto"/>
        </w:rPr>
      </w:pPr>
    </w:p>
    <w:p>
      <w:pPr>
        <w:ind w:firstLine="1296"/>
        <w:spacing w:after="0" w:line="274"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if Optionee is a Section 16 officer of the Company under the Exchange Act, then the method of</w:t>
      </w:r>
      <w:r>
        <w:rPr>
          <w:rFonts w:ascii="Arial" w:cs="Arial" w:eastAsia="Arial" w:hAnsi="Arial"/>
          <w:sz w:val="20"/>
          <w:szCs w:val="20"/>
          <w:i w:val="1"/>
          <w:iCs w:val="1"/>
          <w:color w:val="auto"/>
        </w:rPr>
        <w:t xml:space="preserve"> </w:t>
      </w:r>
      <w:r>
        <w:rPr>
          <w:rFonts w:ascii="Arial" w:cs="Arial" w:eastAsia="Arial" w:hAnsi="Arial"/>
          <w:sz w:val="20"/>
          <w:szCs w:val="20"/>
          <w:color w:val="auto"/>
        </w:rPr>
        <w:t>withholding shall be a mandatory sale (unless the Committee as</w:t>
      </w:r>
    </w:p>
    <w:p>
      <w:pPr>
        <w:sectPr>
          <w:pgSz w:w="11900" w:h="16838" w:orient="portrait"/>
          <w:cols w:equalWidth="0" w:num="1">
            <w:col w:w="11240"/>
          </w:cols>
          <w:pgMar w:left="320" w:top="771" w:right="339" w:bottom="1440" w:gutter="0" w:footer="0" w:header="0"/>
        </w:sectPr>
      </w:pPr>
    </w:p>
    <w:bookmarkStart w:id="41" w:name="page42"/>
    <w:bookmarkEnd w:id="41"/>
    <w:p>
      <w:pPr>
        <w:jc w:val="both"/>
        <w:spacing w:after="0" w:line="274" w:lineRule="auto"/>
        <w:rPr>
          <w:sz w:val="20"/>
          <w:szCs w:val="20"/>
          <w:color w:val="auto"/>
        </w:rPr>
      </w:pPr>
      <w:r>
        <w:rPr>
          <w:rFonts w:ascii="Arial" w:cs="Arial" w:eastAsia="Arial" w:hAnsi="Arial"/>
          <w:sz w:val="20"/>
          <w:szCs w:val="20"/>
          <w:color w:val="auto"/>
        </w:rPr>
        <w:t>constituted in accordance with Rule 16b-3 of the Exchange Act shall establish an alternate method from alternatives (i) – (v) above prior to the Tax-Related Items withholding event).</w:t>
      </w:r>
    </w:p>
    <w:p>
      <w:pPr>
        <w:spacing w:after="0" w:line="163" w:lineRule="exact"/>
        <w:rPr>
          <w:sz w:val="20"/>
          <w:szCs w:val="20"/>
          <w:color w:val="auto"/>
        </w:rPr>
      </w:pPr>
    </w:p>
    <w:p>
      <w:pPr>
        <w:jc w:val="both"/>
        <w:ind w:firstLine="1296"/>
        <w:spacing w:after="0" w:line="285" w:lineRule="auto"/>
        <w:rPr>
          <w:sz w:val="20"/>
          <w:szCs w:val="20"/>
          <w:color w:val="auto"/>
        </w:rPr>
      </w:pPr>
      <w:r>
        <w:rPr>
          <w:rFonts w:ascii="Arial" w:cs="Arial" w:eastAsia="Arial" w:hAnsi="Arial"/>
          <w:sz w:val="18"/>
          <w:szCs w:val="18"/>
          <w:color w:val="auto"/>
        </w:rPr>
        <w:t>Depending on the withholding method, the Company may withhold or account for Tax-Related Items by considering applicable statutory withholding rates or other applicable withholding rates, including up to the maximum permissible statutory rate for Optionee’s tax jurisdiction(s) in which case Optionee will have no entitlement to the equivalent amount in Shares and will receive a refund of any over-withheld amount in cash in accordance with applicable law. If the obligation for Tax-Related Items is satisfied by withholding in Shares, for tax purposes, Optionee is deemed to have been issued the full number of Exercised Shares; notwithstanding that a number of the Shares are held back solely for the purpose of satisfying the withholding obligation for Tax-Related Items.</w:t>
      </w:r>
    </w:p>
    <w:p>
      <w:pPr>
        <w:spacing w:after="0" w:line="172"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9"/>
          <w:szCs w:val="19"/>
          <w:color w:val="auto"/>
        </w:rPr>
        <w:t>Finally, Optionee agrees to pay to the Company and/or the Employer any amount of Tax-Related Items that the Company and/or the Employer may be required to withhold or account for as a result of Optionee’s participation in the Plan that cannot be satisfied by the means previously described. The Company may refuse to issue or deliver the Shares or the proceeds of the sale of Shares, if Optionee fails to comply with Optionee’s obligations in connection with the Tax-Related Items.</w:t>
      </w:r>
    </w:p>
    <w:p>
      <w:pPr>
        <w:spacing w:after="0" w:line="167" w:lineRule="exact"/>
        <w:rPr>
          <w:sz w:val="20"/>
          <w:szCs w:val="20"/>
          <w:color w:val="auto"/>
        </w:rPr>
      </w:pPr>
    </w:p>
    <w:p>
      <w:pPr>
        <w:jc w:val="both"/>
        <w:ind w:firstLine="1709"/>
        <w:spacing w:after="0" w:line="334" w:lineRule="auto"/>
        <w:tabs>
          <w:tab w:leader="none" w:pos="1934" w:val="left"/>
        </w:tabs>
        <w:numPr>
          <w:ilvl w:val="2"/>
          <w:numId w:val="47"/>
        </w:numPr>
        <w:rPr>
          <w:rFonts w:ascii="Arial" w:cs="Arial" w:eastAsia="Arial" w:hAnsi="Arial"/>
          <w:sz w:val="16"/>
          <w:szCs w:val="16"/>
          <w:color w:val="010000"/>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Optionee is subject to Tax-Related Items in the United States and sells or otherwise disposes of any of the Shares acquired pursuant to an ISO on or before the later of (i) two (2) years after the grant date, or (ii) one (1) year after the exercise date, Optionee will immediately notify the Company in writing of such disposition. Optionee agrees that he or she may be subject to income tax withholding by the Company on the compensation income recognized from such early disposition of ISO Shares by payment in cash or out any wages or other cash compensation paid to Optionee by the Company and/or the Employer.</w:t>
      </w:r>
    </w:p>
    <w:p>
      <w:pPr>
        <w:spacing w:after="0" w:line="117" w:lineRule="exact"/>
        <w:rPr>
          <w:rFonts w:ascii="Arial" w:cs="Arial" w:eastAsia="Arial" w:hAnsi="Arial"/>
          <w:sz w:val="16"/>
          <w:szCs w:val="16"/>
          <w:color w:val="010000"/>
        </w:rPr>
      </w:pPr>
    </w:p>
    <w:p>
      <w:pPr>
        <w:ind w:left="1300" w:hanging="644"/>
        <w:spacing w:after="0"/>
        <w:tabs>
          <w:tab w:leader="none" w:pos="1300" w:val="left"/>
        </w:tabs>
        <w:numPr>
          <w:ilvl w:val="0"/>
          <w:numId w:val="48"/>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By accepting the Option, Optionee acknowledges, understands and agrees that:</w:t>
      </w:r>
    </w:p>
    <w:p>
      <w:pPr>
        <w:spacing w:after="0" w:line="235" w:lineRule="exact"/>
        <w:rPr>
          <w:rFonts w:ascii="Arial" w:cs="Arial" w:eastAsia="Arial" w:hAnsi="Arial"/>
          <w:sz w:val="20"/>
          <w:szCs w:val="20"/>
          <w:b w:val="1"/>
          <w:bCs w:val="1"/>
          <w:color w:val="010000"/>
        </w:rPr>
      </w:pPr>
    </w:p>
    <w:p>
      <w:pPr>
        <w:ind w:firstLine="1304"/>
        <w:spacing w:after="0" w:line="260" w:lineRule="auto"/>
        <w:tabs>
          <w:tab w:leader="none" w:pos="1934" w:val="left"/>
        </w:tabs>
        <w:numPr>
          <w:ilvl w:val="1"/>
          <w:numId w:val="48"/>
        </w:numPr>
        <w:rPr>
          <w:rFonts w:ascii="Arial" w:cs="Arial" w:eastAsia="Arial" w:hAnsi="Arial"/>
          <w:sz w:val="20"/>
          <w:szCs w:val="20"/>
          <w:color w:val="010000"/>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0" w:lineRule="exact"/>
        <w:rPr>
          <w:rFonts w:ascii="Arial" w:cs="Arial" w:eastAsia="Arial" w:hAnsi="Arial"/>
          <w:sz w:val="20"/>
          <w:szCs w:val="20"/>
          <w:color w:val="010000"/>
        </w:rPr>
      </w:pPr>
    </w:p>
    <w:p>
      <w:pPr>
        <w:ind w:firstLine="1304"/>
        <w:spacing w:after="0" w:line="260" w:lineRule="auto"/>
        <w:tabs>
          <w:tab w:leader="none" w:pos="1932" w:val="left"/>
        </w:tabs>
        <w:numPr>
          <w:ilvl w:val="1"/>
          <w:numId w:val="48"/>
        </w:numPr>
        <w:rPr>
          <w:rFonts w:ascii="Arial" w:cs="Arial" w:eastAsia="Arial" w:hAnsi="Arial"/>
          <w:sz w:val="20"/>
          <w:szCs w:val="20"/>
          <w:color w:val="010000"/>
        </w:rPr>
      </w:pPr>
      <w:r>
        <w:rPr>
          <w:rFonts w:ascii="Arial" w:cs="Arial" w:eastAsia="Arial" w:hAnsi="Arial"/>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90" w:lineRule="exact"/>
        <w:rPr>
          <w:rFonts w:ascii="Arial" w:cs="Arial" w:eastAsia="Arial" w:hAnsi="Arial"/>
          <w:sz w:val="20"/>
          <w:szCs w:val="20"/>
          <w:color w:val="010000"/>
        </w:rPr>
      </w:pPr>
    </w:p>
    <w:p>
      <w:pPr>
        <w:ind w:left="1940" w:hanging="636"/>
        <w:spacing w:after="0"/>
        <w:tabs>
          <w:tab w:leader="none" w:pos="1940" w:val="left"/>
        </w:tabs>
        <w:numPr>
          <w:ilvl w:val="1"/>
          <w:numId w:val="48"/>
        </w:numPr>
        <w:rPr>
          <w:rFonts w:ascii="Arial" w:cs="Arial" w:eastAsia="Arial" w:hAnsi="Arial"/>
          <w:sz w:val="19"/>
          <w:szCs w:val="19"/>
          <w:color w:val="010000"/>
        </w:rPr>
      </w:pPr>
      <w:r>
        <w:rPr>
          <w:rFonts w:ascii="Arial" w:cs="Arial" w:eastAsia="Arial" w:hAnsi="Arial"/>
          <w:sz w:val="19"/>
          <w:szCs w:val="19"/>
          <w:color w:val="auto"/>
        </w:rPr>
        <w:t>all decisions with respect to future options or other grants, if any, will be at the sole discretion of the Company;</w:t>
      </w:r>
    </w:p>
    <w:p>
      <w:pPr>
        <w:spacing w:after="0" w:line="240" w:lineRule="exact"/>
        <w:rPr>
          <w:rFonts w:ascii="Arial" w:cs="Arial" w:eastAsia="Arial" w:hAnsi="Arial"/>
          <w:sz w:val="19"/>
          <w:szCs w:val="19"/>
          <w:color w:val="010000"/>
        </w:rPr>
      </w:pPr>
    </w:p>
    <w:p>
      <w:pPr>
        <w:ind w:left="1940" w:hanging="636"/>
        <w:spacing w:after="0"/>
        <w:tabs>
          <w:tab w:leader="none" w:pos="1940" w:val="left"/>
        </w:tabs>
        <w:numPr>
          <w:ilvl w:val="1"/>
          <w:numId w:val="48"/>
        </w:numPr>
        <w:rPr>
          <w:rFonts w:ascii="Arial" w:cs="Arial" w:eastAsia="Arial" w:hAnsi="Arial"/>
          <w:sz w:val="20"/>
          <w:szCs w:val="20"/>
          <w:color w:val="010000"/>
        </w:rPr>
      </w:pPr>
      <w:r>
        <w:rPr>
          <w:rFonts w:ascii="Arial" w:cs="Arial" w:eastAsia="Arial" w:hAnsi="Arial"/>
          <w:sz w:val="20"/>
          <w:szCs w:val="20"/>
          <w:color w:val="auto"/>
        </w:rPr>
        <w:t>Optionee is voluntarily participating in the Plan;</w:t>
      </w:r>
    </w:p>
    <w:p>
      <w:pPr>
        <w:spacing w:after="0" w:line="215" w:lineRule="exact"/>
        <w:rPr>
          <w:rFonts w:ascii="Arial" w:cs="Arial" w:eastAsia="Arial" w:hAnsi="Arial"/>
          <w:sz w:val="20"/>
          <w:szCs w:val="20"/>
          <w:color w:val="010000"/>
        </w:rPr>
      </w:pPr>
    </w:p>
    <w:p>
      <w:pPr>
        <w:jc w:val="both"/>
        <w:ind w:firstLine="1304"/>
        <w:spacing w:after="0" w:line="257" w:lineRule="auto"/>
        <w:tabs>
          <w:tab w:leader="none" w:pos="1934" w:val="left"/>
        </w:tabs>
        <w:numPr>
          <w:ilvl w:val="1"/>
          <w:numId w:val="48"/>
        </w:numPr>
        <w:rPr>
          <w:rFonts w:ascii="Arial" w:cs="Arial" w:eastAsia="Arial" w:hAnsi="Arial"/>
          <w:sz w:val="20"/>
          <w:szCs w:val="20"/>
          <w:color w:val="010000"/>
        </w:rPr>
      </w:pPr>
      <w:r>
        <w:rPr>
          <w:rFonts w:ascii="Arial" w:cs="Arial" w:eastAsia="Arial" w:hAnsi="Arial"/>
          <w:sz w:val="20"/>
          <w:szCs w:val="20"/>
          <w:color w:val="auto"/>
        </w:rPr>
        <w:t>the Option and Optionee’s participation in the Plan will not create a right to employment or be interpreted as forming or amending an employment or service contract with the Company or the Employer, and will not interfere with the ability of the Company or the Employer, as applicable, to terminate Optionee’s employment or service relationship (if any);</w:t>
      </w:r>
    </w:p>
    <w:p>
      <w:pPr>
        <w:spacing w:after="0" w:line="192" w:lineRule="exact"/>
        <w:rPr>
          <w:rFonts w:ascii="Arial" w:cs="Arial" w:eastAsia="Arial" w:hAnsi="Arial"/>
          <w:sz w:val="20"/>
          <w:szCs w:val="20"/>
          <w:color w:val="010000"/>
        </w:rPr>
      </w:pPr>
    </w:p>
    <w:p>
      <w:pPr>
        <w:ind w:firstLine="1304"/>
        <w:spacing w:after="0" w:line="274" w:lineRule="auto"/>
        <w:tabs>
          <w:tab w:leader="none" w:pos="1939" w:val="left"/>
        </w:tabs>
        <w:numPr>
          <w:ilvl w:val="1"/>
          <w:numId w:val="48"/>
        </w:numPr>
        <w:rPr>
          <w:rFonts w:ascii="Arial" w:cs="Arial" w:eastAsia="Arial" w:hAnsi="Arial"/>
          <w:sz w:val="20"/>
          <w:szCs w:val="20"/>
          <w:color w:val="010000"/>
        </w:rPr>
      </w:pPr>
      <w:r>
        <w:rPr>
          <w:rFonts w:ascii="Arial" w:cs="Arial" w:eastAsia="Arial" w:hAnsi="Arial"/>
          <w:sz w:val="20"/>
          <w:szCs w:val="20"/>
          <w:color w:val="auto"/>
        </w:rPr>
        <w:t>the Option and the Shares subject to the Option, and the income and value of same, are not intended to replace any pension rights or compensation;</w:t>
      </w:r>
    </w:p>
    <w:p>
      <w:pPr>
        <w:spacing w:after="0" w:line="163" w:lineRule="exact"/>
        <w:rPr>
          <w:rFonts w:ascii="Arial" w:cs="Arial" w:eastAsia="Arial" w:hAnsi="Arial"/>
          <w:sz w:val="20"/>
          <w:szCs w:val="20"/>
          <w:color w:val="010000"/>
        </w:rPr>
      </w:pPr>
    </w:p>
    <w:p>
      <w:pPr>
        <w:jc w:val="both"/>
        <w:ind w:firstLine="1304"/>
        <w:spacing w:after="0" w:line="299" w:lineRule="auto"/>
        <w:tabs>
          <w:tab w:leader="none" w:pos="1932" w:val="left"/>
        </w:tabs>
        <w:numPr>
          <w:ilvl w:val="1"/>
          <w:numId w:val="48"/>
        </w:numPr>
        <w:rPr>
          <w:rFonts w:ascii="Arial" w:cs="Arial" w:eastAsia="Arial" w:hAnsi="Arial"/>
          <w:sz w:val="18"/>
          <w:szCs w:val="18"/>
          <w:color w:val="010000"/>
        </w:rPr>
      </w:pPr>
      <w:r>
        <w:rPr>
          <w:rFonts w:ascii="Arial" w:cs="Arial" w:eastAsia="Arial" w:hAnsi="Arial"/>
          <w:sz w:val="18"/>
          <w:szCs w:val="18"/>
          <w:color w:val="auto"/>
        </w:rPr>
        <w:t>the Option and the Shares subject to the Option,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ectPr>
          <w:pgSz w:w="11900" w:h="16838" w:orient="portrait"/>
          <w:cols w:equalWidth="0" w:num="1">
            <w:col w:w="11240"/>
          </w:cols>
          <w:pgMar w:left="320" w:top="771" w:right="339" w:bottom="1440" w:gutter="0" w:footer="0" w:header="0"/>
        </w:sectPr>
      </w:pPr>
    </w:p>
    <w:bookmarkStart w:id="42" w:name="page43"/>
    <w:bookmarkEnd w:id="42"/>
    <w:p>
      <w:pPr>
        <w:jc w:val="both"/>
        <w:ind w:firstLine="1304"/>
        <w:spacing w:after="0" w:line="257" w:lineRule="auto"/>
        <w:tabs>
          <w:tab w:leader="none" w:pos="1932" w:val="left"/>
        </w:tabs>
        <w:numPr>
          <w:ilvl w:val="1"/>
          <w:numId w:val="49"/>
        </w:numPr>
        <w:rPr>
          <w:rFonts w:ascii="Arial" w:cs="Arial" w:eastAsia="Arial" w:hAnsi="Arial"/>
          <w:sz w:val="20"/>
          <w:szCs w:val="20"/>
          <w:color w:val="010000"/>
        </w:rPr>
      </w:pPr>
      <w:r>
        <w:rPr>
          <w:rFonts w:ascii="Arial" w:cs="Arial" w:eastAsia="Arial" w:hAnsi="Arial"/>
          <w:sz w:val="20"/>
          <w:szCs w:val="20"/>
          <w:color w:val="auto"/>
        </w:rPr>
        <w:t>unless otherwise agreed with the Company, the Option, and the Shares subject to the Option, and the income and value of same, are not granted as consideration for, or in connection with, the Service Optionee may provide as a director of a Parent, Subsidiary, or Affiliate;</w:t>
      </w:r>
    </w:p>
    <w:p>
      <w:pPr>
        <w:spacing w:after="0" w:line="192" w:lineRule="exact"/>
        <w:rPr>
          <w:rFonts w:ascii="Arial" w:cs="Arial" w:eastAsia="Arial" w:hAnsi="Arial"/>
          <w:sz w:val="20"/>
          <w:szCs w:val="20"/>
          <w:color w:val="010000"/>
        </w:rPr>
      </w:pPr>
    </w:p>
    <w:p>
      <w:pPr>
        <w:jc w:val="both"/>
        <w:ind w:firstLine="1304"/>
        <w:spacing w:after="0" w:line="257" w:lineRule="auto"/>
        <w:tabs>
          <w:tab w:leader="none" w:pos="1942" w:val="left"/>
        </w:tabs>
        <w:numPr>
          <w:ilvl w:val="1"/>
          <w:numId w:val="49"/>
        </w:numPr>
        <w:rPr>
          <w:rFonts w:ascii="Arial" w:cs="Arial" w:eastAsia="Arial" w:hAnsi="Arial"/>
          <w:sz w:val="20"/>
          <w:szCs w:val="20"/>
          <w:color w:val="010000"/>
        </w:rPr>
      </w:pPr>
      <w:r>
        <w:rPr>
          <w:rFonts w:ascii="Arial" w:cs="Arial" w:eastAsia="Arial" w:hAnsi="Arial"/>
          <w:sz w:val="20"/>
          <w:szCs w:val="20"/>
          <w:color w:val="auto"/>
        </w:rPr>
        <w:t>the future value of the Shares underlying the Option is unknown, indeterminable, and cannot be predicted with certainty; if the underlying Shares do not increase in value, the Option will have no value; if Optionee exercises the Option and acquires Shares, the value of such Shares may increase or decrease, even below the Exercise Price;</w:t>
      </w:r>
    </w:p>
    <w:p>
      <w:pPr>
        <w:spacing w:after="0" w:line="192" w:lineRule="exact"/>
        <w:rPr>
          <w:rFonts w:ascii="Arial" w:cs="Arial" w:eastAsia="Arial" w:hAnsi="Arial"/>
          <w:sz w:val="20"/>
          <w:szCs w:val="20"/>
          <w:color w:val="010000"/>
        </w:rPr>
      </w:pPr>
    </w:p>
    <w:p>
      <w:pPr>
        <w:jc w:val="both"/>
        <w:ind w:firstLine="1304"/>
        <w:spacing w:after="0" w:line="282" w:lineRule="auto"/>
        <w:tabs>
          <w:tab w:leader="none" w:pos="1942"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no claim or entitlement to compensation or damages will arise from forfeiture of the Option resulting from Optionee’s termination of Service (regardless of the reason for such termination and whether or not later found to be invalid or in breach of employment laws in the jurisdiction where Optionee is employed or the terms of Optionee’s employment agreement, if any), and in consideration of the grant of the Option to which Optionee is otherwise not entitled, Optionee irrevocably agrees never to institute any claim against the Employer, the Company, and any Parent, Subsidiary, or Affiliate; waives his or her ability, if any, to bring any such claim; and releases the Employer, the Company, and any Parent, Subsidiary, or Affiliate from any such claim; if, notwithstanding the foregoing, any such claim is allowed by a court of competent jurisdiction, then, by participating in the Plan, Optionee will be deemed irrevocably to have agreed not to pursue such claim and agrees to execute any and all documents necessary to request dismissal or withdrawal of such claim;</w:t>
      </w:r>
    </w:p>
    <w:p>
      <w:pPr>
        <w:spacing w:after="0" w:line="160" w:lineRule="exact"/>
        <w:rPr>
          <w:rFonts w:ascii="Arial" w:cs="Arial" w:eastAsia="Arial" w:hAnsi="Arial"/>
          <w:sz w:val="18"/>
          <w:szCs w:val="18"/>
          <w:color w:val="010000"/>
        </w:rPr>
      </w:pPr>
    </w:p>
    <w:p>
      <w:pPr>
        <w:jc w:val="both"/>
        <w:ind w:firstLine="1304"/>
        <w:spacing w:after="0" w:line="306" w:lineRule="auto"/>
        <w:tabs>
          <w:tab w:leader="none" w:pos="1932" w:val="left"/>
        </w:tabs>
        <w:numPr>
          <w:ilvl w:val="1"/>
          <w:numId w:val="49"/>
        </w:numPr>
        <w:rPr>
          <w:rFonts w:ascii="Arial" w:cs="Arial" w:eastAsia="Arial" w:hAnsi="Arial"/>
          <w:sz w:val="18"/>
          <w:szCs w:val="18"/>
          <w:color w:val="010000"/>
        </w:rPr>
      </w:pPr>
      <w:r>
        <w:rPr>
          <w:rFonts w:ascii="Arial" w:cs="Arial" w:eastAsia="Arial" w:hAnsi="Arial"/>
          <w:sz w:val="18"/>
          <w:szCs w:val="18"/>
          <w:color w:val="auto"/>
        </w:rPr>
        <w:t>unless otherwise provided in the Plan or by the Company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39" w:lineRule="exact"/>
        <w:rPr>
          <w:rFonts w:ascii="Arial" w:cs="Arial" w:eastAsia="Arial" w:hAnsi="Arial"/>
          <w:sz w:val="18"/>
          <w:szCs w:val="18"/>
          <w:color w:val="010000"/>
        </w:rPr>
      </w:pPr>
    </w:p>
    <w:p>
      <w:pPr>
        <w:jc w:val="both"/>
        <w:ind w:firstLine="1304"/>
        <w:spacing w:after="0" w:line="277" w:lineRule="auto"/>
        <w:tabs>
          <w:tab w:leader="none" w:pos="1942" w:val="left"/>
        </w:tabs>
        <w:numPr>
          <w:ilvl w:val="1"/>
          <w:numId w:val="49"/>
        </w:numPr>
        <w:rPr>
          <w:rFonts w:ascii="Arial" w:cs="Arial" w:eastAsia="Arial" w:hAnsi="Arial"/>
          <w:sz w:val="19"/>
          <w:szCs w:val="19"/>
          <w:color w:val="010000"/>
        </w:rPr>
      </w:pPr>
      <w:r>
        <w:rPr>
          <w:rFonts w:ascii="Arial" w:cs="Arial" w:eastAsia="Arial" w:hAnsi="Arial"/>
          <w:sz w:val="19"/>
          <w:szCs w:val="19"/>
          <w:color w:val="auto"/>
        </w:rPr>
        <w:t>neither the Employer, the Company, or any Parent,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spacing w:after="0" w:line="174" w:lineRule="exact"/>
        <w:rPr>
          <w:rFonts w:ascii="Arial" w:cs="Arial" w:eastAsia="Arial" w:hAnsi="Arial"/>
          <w:sz w:val="19"/>
          <w:szCs w:val="19"/>
          <w:color w:val="010000"/>
        </w:rPr>
      </w:pPr>
    </w:p>
    <w:p>
      <w:pPr>
        <w:ind w:left="1940" w:hanging="636"/>
        <w:spacing w:after="0"/>
        <w:tabs>
          <w:tab w:leader="none" w:pos="1940" w:val="left"/>
        </w:tabs>
        <w:numPr>
          <w:ilvl w:val="1"/>
          <w:numId w:val="49"/>
        </w:numPr>
        <w:rPr>
          <w:rFonts w:ascii="Arial" w:cs="Arial" w:eastAsia="Arial" w:hAnsi="Arial"/>
          <w:sz w:val="20"/>
          <w:szCs w:val="20"/>
          <w:color w:val="010000"/>
        </w:rPr>
      </w:pPr>
      <w:r>
        <w:rPr>
          <w:rFonts w:ascii="Arial" w:cs="Arial" w:eastAsia="Arial" w:hAnsi="Arial"/>
          <w:sz w:val="20"/>
          <w:szCs w:val="20"/>
          <w:color w:val="auto"/>
        </w:rPr>
        <w:t>the following provisions apply only if Optionee is providing Service outside the United States:</w:t>
      </w:r>
    </w:p>
    <w:p>
      <w:pPr>
        <w:spacing w:after="0" w:line="215" w:lineRule="exact"/>
        <w:rPr>
          <w:rFonts w:ascii="Arial" w:cs="Arial" w:eastAsia="Arial" w:hAnsi="Arial"/>
          <w:sz w:val="20"/>
          <w:szCs w:val="20"/>
          <w:color w:val="010000"/>
        </w:rPr>
      </w:pPr>
    </w:p>
    <w:p>
      <w:pPr>
        <w:ind w:left="2600" w:hanging="648"/>
        <w:spacing w:after="0"/>
        <w:tabs>
          <w:tab w:leader="none" w:pos="2600" w:val="left"/>
        </w:tabs>
        <w:numPr>
          <w:ilvl w:val="2"/>
          <w:numId w:val="49"/>
        </w:numPr>
        <w:rPr>
          <w:rFonts w:ascii="Arial" w:cs="Arial" w:eastAsia="Arial" w:hAnsi="Arial"/>
          <w:sz w:val="18"/>
          <w:szCs w:val="18"/>
          <w:color w:val="010000"/>
        </w:rPr>
      </w:pPr>
      <w:r>
        <w:rPr>
          <w:rFonts w:ascii="Arial" w:cs="Arial" w:eastAsia="Arial" w:hAnsi="Arial"/>
          <w:sz w:val="18"/>
          <w:szCs w:val="18"/>
          <w:color w:val="auto"/>
        </w:rPr>
        <w:t>the Option and the Shares subject to the Option are not part of normal or expected compensation or salary</w:t>
      </w:r>
    </w:p>
    <w:p>
      <w:pPr>
        <w:spacing w:after="0" w:line="43"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for any purpose; and</w:t>
      </w:r>
    </w:p>
    <w:p>
      <w:pPr>
        <w:spacing w:after="0" w:line="221" w:lineRule="exact"/>
        <w:rPr>
          <w:rFonts w:ascii="Arial" w:cs="Arial" w:eastAsia="Arial" w:hAnsi="Arial"/>
          <w:sz w:val="18"/>
          <w:szCs w:val="18"/>
          <w:color w:val="010000"/>
        </w:rPr>
      </w:pPr>
    </w:p>
    <w:p>
      <w:pPr>
        <w:jc w:val="both"/>
        <w:ind w:firstLine="1952"/>
        <w:spacing w:after="0" w:line="251" w:lineRule="auto"/>
        <w:tabs>
          <w:tab w:leader="none" w:pos="2591" w:val="left"/>
        </w:tabs>
        <w:numPr>
          <w:ilvl w:val="2"/>
          <w:numId w:val="49"/>
        </w:numPr>
        <w:rPr>
          <w:rFonts w:ascii="Arial" w:cs="Arial" w:eastAsia="Arial" w:hAnsi="Arial"/>
          <w:sz w:val="20"/>
          <w:szCs w:val="20"/>
          <w:color w:val="010000"/>
        </w:rPr>
      </w:pPr>
      <w:r>
        <w:rPr>
          <w:rFonts w:ascii="Arial" w:cs="Arial" w:eastAsia="Arial" w:hAnsi="Arial"/>
          <w:sz w:val="20"/>
          <w:szCs w:val="20"/>
          <w:color w:val="auto"/>
        </w:rPr>
        <w:t>Optionee acknowledges and agrees that neither the Company, the Employer nor any Parent or Subsidiary or Affiliate will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exercised</w:t>
      </w:r>
    </w:p>
    <w:p>
      <w:pPr>
        <w:spacing w:after="0" w:line="192" w:lineRule="exact"/>
        <w:rPr>
          <w:rFonts w:ascii="Arial" w:cs="Arial" w:eastAsia="Arial" w:hAnsi="Arial"/>
          <w:sz w:val="20"/>
          <w:szCs w:val="20"/>
          <w:color w:val="010000"/>
        </w:rPr>
      </w:pPr>
    </w:p>
    <w:p>
      <w:pPr>
        <w:jc w:val="both"/>
        <w:ind w:firstLine="656"/>
        <w:spacing w:after="0" w:line="275" w:lineRule="auto"/>
        <w:tabs>
          <w:tab w:leader="none" w:pos="1287" w:val="left"/>
        </w:tabs>
        <w:numPr>
          <w:ilvl w:val="0"/>
          <w:numId w:val="50"/>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No Advice Regarding Grant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is not providing any tax, legal or financial advice, nor is the Company making</w:t>
      </w:r>
      <w:r>
        <w:rPr>
          <w:rFonts w:ascii="Arial" w:cs="Arial" w:eastAsia="Arial" w:hAnsi="Arial"/>
          <w:sz w:val="19"/>
          <w:szCs w:val="19"/>
          <w:b w:val="1"/>
          <w:bCs w:val="1"/>
          <w:color w:val="auto"/>
        </w:rPr>
        <w:t xml:space="preserve"> </w:t>
      </w:r>
      <w:r>
        <w:rPr>
          <w:rFonts w:ascii="Arial" w:cs="Arial" w:eastAsia="Arial" w:hAnsi="Arial"/>
          <w:sz w:val="19"/>
          <w:szCs w:val="19"/>
          <w:color w:val="auto"/>
        </w:rPr>
        <w:t>any recommendations regarding Optionee’s participation in the Plan or Optionee’s acquisition or sale of the underlying Shares. Optionee acknowledges, understands, and agrees that he or she should consult with his or her own personal tax, legal, and financial advisors regarding his or her participation in the Plan before taking any action related to the Plan.</w:t>
      </w:r>
    </w:p>
    <w:p>
      <w:pPr>
        <w:spacing w:after="0" w:line="159" w:lineRule="exact"/>
        <w:rPr>
          <w:rFonts w:ascii="Arial" w:cs="Arial" w:eastAsia="Arial" w:hAnsi="Arial"/>
          <w:sz w:val="19"/>
          <w:szCs w:val="19"/>
          <w:b w:val="1"/>
          <w:bCs w:val="1"/>
          <w:color w:val="010000"/>
        </w:rPr>
      </w:pPr>
    </w:p>
    <w:p>
      <w:pPr>
        <w:jc w:val="both"/>
        <w:ind w:firstLine="656"/>
        <w:spacing w:after="0" w:line="267" w:lineRule="auto"/>
        <w:tabs>
          <w:tab w:leader="none" w:pos="1276" w:val="left"/>
        </w:tabs>
        <w:numPr>
          <w:ilvl w:val="0"/>
          <w:numId w:val="50"/>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Language</w:t>
      </w:r>
      <w:r>
        <w:rPr>
          <w:rFonts w:ascii="Arial" w:cs="Arial" w:eastAsia="Arial" w:hAnsi="Arial"/>
          <w:sz w:val="20"/>
          <w:szCs w:val="20"/>
          <w:b w:val="1"/>
          <w:bCs w:val="1"/>
          <w:color w:val="auto"/>
        </w:rPr>
        <w:t xml:space="preserve">. </w:t>
      </w:r>
      <w:r>
        <w:rPr>
          <w:rFonts w:ascii="Arial" w:cs="Arial" w:eastAsia="Arial" w:hAnsi="Arial"/>
          <w:sz w:val="20"/>
          <w:szCs w:val="20"/>
          <w:color w:val="auto"/>
        </w:rPr>
        <w:t>If Optionee has received this Option Agreement, or any other document related to the Option and/or the Plan</w:t>
      </w:r>
      <w:r>
        <w:rPr>
          <w:rFonts w:ascii="Arial" w:cs="Arial" w:eastAsia="Arial" w:hAnsi="Arial"/>
          <w:sz w:val="20"/>
          <w:szCs w:val="20"/>
          <w:b w:val="1"/>
          <w:bCs w:val="1"/>
          <w:color w:val="auto"/>
        </w:rPr>
        <w:t xml:space="preserve"> </w:t>
      </w:r>
      <w:r>
        <w:rPr>
          <w:rFonts w:ascii="Arial" w:cs="Arial" w:eastAsia="Arial" w:hAnsi="Arial"/>
          <w:sz w:val="20"/>
          <w:szCs w:val="20"/>
          <w:color w:val="auto"/>
        </w:rPr>
        <w:t>translated into a language other than English and if the meaning of the translated version is different than the English version, the English version will control.</w:t>
      </w:r>
    </w:p>
    <w:p>
      <w:pPr>
        <w:sectPr>
          <w:pgSz w:w="11900" w:h="16838" w:orient="portrait"/>
          <w:cols w:equalWidth="0" w:num="1">
            <w:col w:w="11240"/>
          </w:cols>
          <w:pgMar w:left="320" w:top="771" w:right="339" w:bottom="1440" w:gutter="0" w:footer="0" w:header="0"/>
        </w:sectPr>
      </w:pPr>
    </w:p>
    <w:bookmarkStart w:id="43" w:name="page44"/>
    <w:bookmarkEnd w:id="43"/>
    <w:p>
      <w:pPr>
        <w:jc w:val="both"/>
        <w:ind w:firstLine="656"/>
        <w:spacing w:after="0" w:line="258" w:lineRule="auto"/>
        <w:tabs>
          <w:tab w:leader="none" w:pos="1287" w:val="left"/>
        </w:tabs>
        <w:numPr>
          <w:ilvl w:val="0"/>
          <w:numId w:val="5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Optionee’s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Option, and on any Shares purchased upon exercise of the Option, to the extent the Company determines it is necessary or advisable for legal or administrative reasons, and to require Optionee to sign any additional agreements or undertakings that may be necessary to accomplish the foregoing.</w:t>
      </w:r>
    </w:p>
    <w:p>
      <w:pPr>
        <w:spacing w:after="0" w:line="172" w:lineRule="exact"/>
        <w:rPr>
          <w:rFonts w:ascii="Arial" w:cs="Arial" w:eastAsia="Arial" w:hAnsi="Arial"/>
          <w:sz w:val="20"/>
          <w:szCs w:val="20"/>
          <w:b w:val="1"/>
          <w:bCs w:val="1"/>
          <w:color w:val="010000"/>
        </w:rPr>
      </w:pPr>
    </w:p>
    <w:p>
      <w:pPr>
        <w:jc w:val="both"/>
        <w:ind w:firstLine="656"/>
        <w:spacing w:after="0" w:line="275" w:lineRule="auto"/>
        <w:tabs>
          <w:tab w:leader="none" w:pos="1287" w:val="left"/>
        </w:tabs>
        <w:numPr>
          <w:ilvl w:val="0"/>
          <w:numId w:val="5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Acknowledgement</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and Optionee agree that the Option is granted under and governed by the Notice, this</w:t>
      </w:r>
      <w:r>
        <w:rPr>
          <w:rFonts w:ascii="Arial" w:cs="Arial" w:eastAsia="Arial" w:hAnsi="Arial"/>
          <w:sz w:val="19"/>
          <w:szCs w:val="19"/>
          <w:b w:val="1"/>
          <w:bCs w:val="1"/>
          <w:color w:val="auto"/>
        </w:rPr>
        <w:t xml:space="preserve"> </w:t>
      </w:r>
      <w:r>
        <w:rPr>
          <w:rFonts w:ascii="Arial" w:cs="Arial" w:eastAsia="Arial" w:hAnsi="Arial"/>
          <w:sz w:val="19"/>
          <w:szCs w:val="19"/>
          <w:color w:val="auto"/>
        </w:rPr>
        <w:t>Option Agreement and the Plan (incorporated herein by reference). Optionee: (a) acknowledges receipt of a copy of the Plan and the Plan prospectus, (b) represents that Optionee has carefully read and is familiar with their provisions, and (c) hereby accepts the Option subject to all of the terms and conditions set forth herein and those set forth in the Plan and the Notice.</w:t>
      </w:r>
    </w:p>
    <w:p>
      <w:pPr>
        <w:spacing w:after="0" w:line="173" w:lineRule="exact"/>
        <w:rPr>
          <w:rFonts w:ascii="Arial" w:cs="Arial" w:eastAsia="Arial" w:hAnsi="Arial"/>
          <w:sz w:val="19"/>
          <w:szCs w:val="19"/>
          <w:b w:val="1"/>
          <w:bCs w:val="1"/>
          <w:color w:val="010000"/>
        </w:rPr>
      </w:pPr>
    </w:p>
    <w:p>
      <w:pPr>
        <w:jc w:val="both"/>
        <w:ind w:firstLine="656"/>
        <w:spacing w:after="0" w:line="269" w:lineRule="auto"/>
        <w:tabs>
          <w:tab w:leader="none" w:pos="1287" w:val="left"/>
        </w:tabs>
        <w:numPr>
          <w:ilvl w:val="0"/>
          <w:numId w:val="51"/>
        </w:numPr>
        <w:rPr>
          <w:rFonts w:ascii="Arial" w:cs="Arial" w:eastAsia="Arial" w:hAnsi="Arial"/>
          <w:sz w:val="19"/>
          <w:szCs w:val="19"/>
          <w:b w:val="1"/>
          <w:bCs w:val="1"/>
          <w:color w:val="010000"/>
        </w:rPr>
      </w:pPr>
      <w:r>
        <w:rPr>
          <w:rFonts w:ascii="Arial" w:cs="Arial" w:eastAsia="Arial" w:hAnsi="Arial"/>
          <w:sz w:val="19"/>
          <w:szCs w:val="19"/>
          <w:b w:val="1"/>
          <w:bCs w:val="1"/>
          <w:u w:val="single" w:color="auto"/>
          <w:color w:val="auto"/>
        </w:rPr>
        <w:t>Entire Agreement; Enforcement of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This Option Agreement, the Plan, and the Notice constitute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Option Agreement, nor any waiver of any rights under this Option Agreement, will be effective unless in writing and signed by the parties to this Option Agreement (which writing and signing may be electronic). The failure by either party to enforce any rights under this Option Agreement will not be construed as a waiver of any rights of such party.</w:t>
      </w:r>
    </w:p>
    <w:p>
      <w:pPr>
        <w:spacing w:after="0" w:line="164" w:lineRule="exact"/>
        <w:rPr>
          <w:rFonts w:ascii="Arial" w:cs="Arial" w:eastAsia="Arial" w:hAnsi="Arial"/>
          <w:sz w:val="19"/>
          <w:szCs w:val="19"/>
          <w:b w:val="1"/>
          <w:bCs w:val="1"/>
          <w:color w:val="010000"/>
        </w:rPr>
      </w:pPr>
    </w:p>
    <w:p>
      <w:pPr>
        <w:jc w:val="both"/>
        <w:ind w:firstLine="656"/>
        <w:spacing w:after="0" w:line="283" w:lineRule="auto"/>
        <w:tabs>
          <w:tab w:leader="none" w:pos="1287" w:val="left"/>
        </w:tabs>
        <w:numPr>
          <w:ilvl w:val="0"/>
          <w:numId w:val="51"/>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Compliance with Laws and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Shares and the sale of Shares will be subject to and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compliance by the Company and Optionee with all applicable state, federal, local and foreign laws and regulations and with all applicable requirements of any stock exchange or automated quotation system on which the Company’s Shares may be listed or quoted at the time of such issuance or transfer. Optionee understands that the Company is under no obligation to register or qualify the Common Stock with any state, federal, or foreign securities commission or to seek approval or clearance from any governmental authority for the issuance or sale of the Shares. Further, Optionee agrees that the Company will have unilateral authority to amend the Plan and this Option Agreement without Optionee’s consent to the extent necessary to comply with securities or other laws applicable to issuance of Shares. Finally, the Shares issued pursuant to this Option Agreement will be endorsed with appropriate legends, if any, determined by the Company.</w:t>
      </w:r>
    </w:p>
    <w:p>
      <w:pPr>
        <w:spacing w:after="0" w:line="166" w:lineRule="exact"/>
        <w:rPr>
          <w:rFonts w:ascii="Arial" w:cs="Arial" w:eastAsia="Arial" w:hAnsi="Arial"/>
          <w:sz w:val="18"/>
          <w:szCs w:val="18"/>
          <w:b w:val="1"/>
          <w:bCs w:val="1"/>
          <w:color w:val="010000"/>
        </w:rPr>
      </w:pPr>
    </w:p>
    <w:p>
      <w:pPr>
        <w:jc w:val="both"/>
        <w:ind w:firstLine="656"/>
        <w:spacing w:after="0" w:line="253" w:lineRule="auto"/>
        <w:tabs>
          <w:tab w:leader="none" w:pos="1287" w:val="left"/>
        </w:tabs>
        <w:numPr>
          <w:ilvl w:val="0"/>
          <w:numId w:val="5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If one or more provisions of this Option Agreement are held to be unenforceable under applicable law,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agree to renegotiate such provision in good faith. In the event that the parties cannot reach a mutually agreeable and enforceable replacement for such provision, then (a) such provision will be excluded from this Option Agreement, (b) the balance of this Option Agreement will be interpreted as if such provision were so excluded and (c) the balance of this Option Agreement will be enforceable in accordance with its terms.</w:t>
      </w:r>
    </w:p>
    <w:p>
      <w:pPr>
        <w:spacing w:after="0" w:line="191" w:lineRule="exact"/>
        <w:rPr>
          <w:rFonts w:ascii="Arial" w:cs="Arial" w:eastAsia="Arial" w:hAnsi="Arial"/>
          <w:sz w:val="20"/>
          <w:szCs w:val="20"/>
          <w:b w:val="1"/>
          <w:bCs w:val="1"/>
          <w:color w:val="010000"/>
        </w:rPr>
      </w:pPr>
    </w:p>
    <w:p>
      <w:pPr>
        <w:jc w:val="both"/>
        <w:ind w:firstLine="656"/>
        <w:spacing w:after="0" w:line="260" w:lineRule="auto"/>
        <w:tabs>
          <w:tab w:leader="none" w:pos="1287" w:val="left"/>
        </w:tabs>
        <w:numPr>
          <w:ilvl w:val="0"/>
          <w:numId w:val="51"/>
        </w:numPr>
        <w:rPr>
          <w:rFonts w:ascii="Arial" w:cs="Arial" w:eastAsia="Arial" w:hAnsi="Arial"/>
          <w:sz w:val="20"/>
          <w:szCs w:val="20"/>
          <w:b w:val="1"/>
          <w:bCs w:val="1"/>
          <w:color w:val="010000"/>
        </w:rPr>
      </w:pPr>
      <w:r>
        <w:rPr>
          <w:rFonts w:ascii="Arial" w:cs="Arial" w:eastAsia="Arial" w:hAnsi="Arial"/>
          <w:sz w:val="20"/>
          <w:szCs w:val="20"/>
          <w:b w:val="1"/>
          <w:bCs w:val="1"/>
          <w:u w:val="single" w:color="auto"/>
          <w:color w:val="auto"/>
        </w:rPr>
        <w:t>Governing Law and Venue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Option Agreement and all acts and transactions pursuant hereto and the rights and</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of the parties hereto will be governed, construed and interpreted in accordance with the laws of the State of Delaware, without giving effect to such state’s conflict of laws rules.</w:t>
      </w:r>
    </w:p>
    <w:p>
      <w:pPr>
        <w:spacing w:after="0" w:line="19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Any and all disputes relating to, concerning or arising from this Option Agreement, or relating to, concerning or arising from the relationship between the parties evidenced by the Plan or this Option Agreement, will be brought and heard exclusively in the federal and state courts sitting in the County of New York, State of New York.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w:t>
      </w:r>
    </w:p>
    <w:p>
      <w:pPr>
        <w:sectPr>
          <w:pgSz w:w="11900" w:h="16838" w:orient="portrait"/>
          <w:cols w:equalWidth="0" w:num="1">
            <w:col w:w="11240"/>
          </w:cols>
          <w:pgMar w:left="320" w:top="765"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color w:val="auto"/>
        </w:rPr>
        <w:t>which is brought in such courts is improper or that such proceedings have been brought in an inconvenient forum.</w:t>
      </w:r>
    </w:p>
    <w:p>
      <w:pPr>
        <w:spacing w:after="0" w:line="223" w:lineRule="exact"/>
        <w:rPr>
          <w:sz w:val="20"/>
          <w:szCs w:val="20"/>
          <w:color w:val="auto"/>
        </w:rPr>
      </w:pPr>
    </w:p>
    <w:p>
      <w:pPr>
        <w:ind w:firstLine="656"/>
        <w:spacing w:after="0" w:line="323" w:lineRule="auto"/>
        <w:tabs>
          <w:tab w:leader="none" w:pos="1287" w:val="left"/>
        </w:tabs>
        <w:numPr>
          <w:ilvl w:val="0"/>
          <w:numId w:val="5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Option Agreement will affect in any manner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any right or power of the Employer or the Company to terminate Optionee’s Service, for any reason, with or without Cause.</w:t>
      </w:r>
    </w:p>
    <w:p>
      <w:pPr>
        <w:spacing w:after="0" w:line="131" w:lineRule="exact"/>
        <w:rPr>
          <w:rFonts w:ascii="Arial" w:cs="Arial" w:eastAsia="Arial" w:hAnsi="Arial"/>
          <w:sz w:val="18"/>
          <w:szCs w:val="18"/>
          <w:b w:val="1"/>
          <w:bCs w:val="1"/>
          <w:color w:val="010000"/>
        </w:rPr>
      </w:pPr>
    </w:p>
    <w:p>
      <w:pPr>
        <w:jc w:val="both"/>
        <w:ind w:firstLine="656"/>
        <w:spacing w:after="0" w:line="315" w:lineRule="auto"/>
        <w:tabs>
          <w:tab w:leader="none" w:pos="1287" w:val="left"/>
        </w:tabs>
        <w:numPr>
          <w:ilvl w:val="0"/>
          <w:numId w:val="52"/>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Consent to Electronic Delivery of All Plan Documents and Disclosures</w:t>
      </w:r>
      <w:r>
        <w:rPr>
          <w:rFonts w:ascii="Arial" w:cs="Arial" w:eastAsia="Arial" w:hAnsi="Arial"/>
          <w:sz w:val="16"/>
          <w:szCs w:val="16"/>
          <w:b w:val="1"/>
          <w:bCs w:val="1"/>
          <w:color w:val="auto"/>
        </w:rPr>
        <w:t xml:space="preserve">. </w:t>
      </w:r>
      <w:r>
        <w:rPr>
          <w:rFonts w:ascii="Arial" w:cs="Arial" w:eastAsia="Arial" w:hAnsi="Arial"/>
          <w:sz w:val="16"/>
          <w:szCs w:val="16"/>
          <w:color w:val="auto"/>
        </w:rPr>
        <w:t>By Optionee’s acceptance of the Notice (whether</w:t>
      </w:r>
      <w:r>
        <w:rPr>
          <w:rFonts w:ascii="Arial" w:cs="Arial" w:eastAsia="Arial" w:hAnsi="Arial"/>
          <w:sz w:val="16"/>
          <w:szCs w:val="16"/>
          <w:b w:val="1"/>
          <w:bCs w:val="1"/>
          <w:color w:val="auto"/>
        </w:rPr>
        <w:t xml:space="preserve"> </w:t>
      </w:r>
      <w:r>
        <w:rPr>
          <w:rFonts w:ascii="Arial" w:cs="Arial" w:eastAsia="Arial" w:hAnsi="Arial"/>
          <w:sz w:val="16"/>
          <w:szCs w:val="16"/>
          <w:color w:val="auto"/>
        </w:rPr>
        <w:t>in writing or electronically), Optionee and the Company agree that the Option is granted under and governed by the terms and conditions of the Plan, the Notice, and this Option Agreement. Optionee has reviewed the Plan, the Notice, and this Option Agreement in their entirety, has had an opportunity to obtain the advice of counsel prior to executing the Notice and this Option Agreement, and fully understands all provisions of the Plan, the Notice, and this Option Agreement. Optionee hereby agrees to accept as binding, conclusive, and final all decisions or interpretations of the Committee upon any questions relating to the Plan, the Notice, and this Option Agreement. Optionee further agrees to notify the Company upon any change in Optionee’s residence address. By acceptance of the Option, Optionee agrees to participate in the Plan through an on-line or electronic system established and maintained by the Company or a third party designated by the Company and consents to the electronic delivery of the Notice, this Option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Optionee acknowledges that Optionee may receive from the Company a paper copy of any documents delivered electronically at no cost if Optionee contacts the Company by telephone, through a postal service, or electronic mail. Optionee further acknowledges that Optionee will be provided with a paper copy of any documents delivered electronically if electronic delivery fails; similarly, Optionee understands that Optionee must provide on request to the Company or any designated third party a paper copy of any documents delivered electronically if electronic delivery fails. Also, Optionee understands that Optionee’s consent may be revoked or changed, including any change in the electronic mail address to which documents are delivered (if Optionee has provided an electronic mail address), at any time by notifying the Company of such revised or revoked consent by telephone, postal service, or electronic mail. Finally, Optionee understands that Optionee is not required to consent to electronic delivery if local laws prohibit such consent.</w:t>
      </w:r>
    </w:p>
    <w:p>
      <w:pPr>
        <w:spacing w:after="0" w:line="200" w:lineRule="exact"/>
        <w:rPr>
          <w:rFonts w:ascii="Arial" w:cs="Arial" w:eastAsia="Arial" w:hAnsi="Arial"/>
          <w:sz w:val="16"/>
          <w:szCs w:val="16"/>
          <w:b w:val="1"/>
          <w:bCs w:val="1"/>
          <w:color w:val="010000"/>
        </w:rPr>
      </w:pPr>
    </w:p>
    <w:p>
      <w:pPr>
        <w:spacing w:after="0" w:line="200" w:lineRule="exact"/>
        <w:rPr>
          <w:rFonts w:ascii="Arial" w:cs="Arial" w:eastAsia="Arial" w:hAnsi="Arial"/>
          <w:sz w:val="16"/>
          <w:szCs w:val="16"/>
          <w:b w:val="1"/>
          <w:bCs w:val="1"/>
          <w:color w:val="010000"/>
        </w:rPr>
      </w:pPr>
    </w:p>
    <w:p>
      <w:pPr>
        <w:spacing w:after="0" w:line="209" w:lineRule="exact"/>
        <w:rPr>
          <w:rFonts w:ascii="Arial" w:cs="Arial" w:eastAsia="Arial" w:hAnsi="Arial"/>
          <w:sz w:val="16"/>
          <w:szCs w:val="16"/>
          <w:b w:val="1"/>
          <w:bCs w:val="1"/>
          <w:color w:val="010000"/>
        </w:rPr>
      </w:pPr>
    </w:p>
    <w:p>
      <w:pPr>
        <w:jc w:val="both"/>
        <w:ind w:firstLine="656"/>
        <w:spacing w:after="0" w:line="283" w:lineRule="auto"/>
        <w:tabs>
          <w:tab w:leader="none" w:pos="1287" w:val="left"/>
        </w:tabs>
        <w:numPr>
          <w:ilvl w:val="0"/>
          <w:numId w:val="5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Insider Trading Restrictions/Market Abuse Laws</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acknowledges that, depending on Optionee’s country,</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be subject to insider trading restrictions and/or market abuse laws, which may affect Optionee’s ability to acquire or sell the Shares or rights to Shares under the Plan during such times as Optionee is considered to have “inside information” regarding the Company (as defined by the laws in Optionee’s country).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understands that Optionee should consult his or her personal legal advisor on such matters. In addition, Optionee acknowledges that he or she has read the Company’s Insider Trading Policy, and agrees to comply with such policy, as it may be amended from time to time, whenever Optionee acquires or disposes of the Company’s securities.</w:t>
      </w:r>
    </w:p>
    <w:p>
      <w:pPr>
        <w:spacing w:after="0" w:line="166" w:lineRule="exact"/>
        <w:rPr>
          <w:rFonts w:ascii="Arial" w:cs="Arial" w:eastAsia="Arial" w:hAnsi="Arial"/>
          <w:sz w:val="18"/>
          <w:szCs w:val="18"/>
          <w:b w:val="1"/>
          <w:bCs w:val="1"/>
          <w:color w:val="010000"/>
        </w:rPr>
      </w:pPr>
    </w:p>
    <w:p>
      <w:pPr>
        <w:jc w:val="both"/>
        <w:ind w:firstLine="656"/>
        <w:spacing w:after="0" w:line="302" w:lineRule="auto"/>
        <w:tabs>
          <w:tab w:leader="none" w:pos="1287" w:val="left"/>
        </w:tabs>
        <w:numPr>
          <w:ilvl w:val="0"/>
          <w:numId w:val="52"/>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Award Subject to Company Clawback or Recoupment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permitted by applicable law, the Option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clawback or recoupment pursuant to any compensation clawback or recoupment policy adopted by the Board or required by law during the term of Optionee’s employment or other Service that is applicable to Optionee. In addition to any other remedies available</w:t>
      </w:r>
    </w:p>
    <w:p>
      <w:pPr>
        <w:sectPr>
          <w:pgSz w:w="11900" w:h="16838" w:orient="portrait"/>
          <w:cols w:equalWidth="0" w:num="1">
            <w:col w:w="11240"/>
          </w:cols>
          <w:pgMar w:left="320" w:top="771" w:right="339" w:bottom="1440" w:gutter="0" w:footer="0" w:header="0"/>
        </w:sectPr>
      </w:pPr>
    </w:p>
    <w:bookmarkStart w:id="45" w:name="page46"/>
    <w:bookmarkEnd w:id="45"/>
    <w:p>
      <w:pPr>
        <w:spacing w:after="0" w:line="274" w:lineRule="auto"/>
        <w:rPr>
          <w:sz w:val="20"/>
          <w:szCs w:val="20"/>
          <w:color w:val="auto"/>
        </w:rPr>
      </w:pPr>
      <w:r>
        <w:rPr>
          <w:rFonts w:ascii="Arial" w:cs="Arial" w:eastAsia="Arial" w:hAnsi="Arial"/>
          <w:sz w:val="20"/>
          <w:szCs w:val="20"/>
          <w:color w:val="auto"/>
        </w:rPr>
        <w:t>under such policy and applicable law, the Company may require the cancellation of Optionee’s Option (whether vested or unvested) and the recoupment of any gains realized with respect to Optionee’s Option.</w:t>
      </w:r>
    </w:p>
    <w:p>
      <w:pPr>
        <w:spacing w:after="0" w:line="157" w:lineRule="exact"/>
        <w:rPr>
          <w:sz w:val="20"/>
          <w:szCs w:val="20"/>
          <w:color w:val="auto"/>
        </w:rPr>
      </w:pPr>
    </w:p>
    <w:p>
      <w:pPr>
        <w:ind w:firstLine="648"/>
        <w:spacing w:after="0" w:line="281" w:lineRule="auto"/>
        <w:rPr>
          <w:sz w:val="20"/>
          <w:szCs w:val="20"/>
          <w:color w:val="auto"/>
        </w:rPr>
      </w:pPr>
      <w:r>
        <w:rPr>
          <w:rFonts w:ascii="Arial" w:cs="Arial" w:eastAsia="Arial" w:hAnsi="Arial"/>
          <w:sz w:val="20"/>
          <w:szCs w:val="20"/>
          <w:b w:val="1"/>
          <w:bCs w:val="1"/>
          <w:color w:val="auto"/>
        </w:rPr>
        <w:t>BY ACCEPTING THIS OPTION, OPTIONEE AGREES TO ALL OF THE TERMS AND CONDITIONS DESCRIBED ABOVE AND IN THE PLAN.</w:t>
      </w:r>
    </w:p>
    <w:p>
      <w:pPr>
        <w:sectPr>
          <w:pgSz w:w="11900" w:h="16838" w:orient="portrait"/>
          <w:cols w:equalWidth="0" w:num="1">
            <w:col w:w="11240"/>
          </w:cols>
          <w:pgMar w:left="320" w:top="771" w:right="339" w:bottom="1440" w:gutter="0" w:footer="0" w:header="0"/>
        </w:sectPr>
      </w:pPr>
    </w:p>
    <w:bookmarkStart w:id="46" w:name="page47"/>
    <w:bookmarkEnd w:id="46"/>
    <w:p>
      <w:pPr>
        <w:ind w:left="10320"/>
        <w:spacing w:after="0"/>
        <w:rPr>
          <w:sz w:val="20"/>
          <w:szCs w:val="20"/>
          <w:color w:val="auto"/>
        </w:rPr>
      </w:pPr>
      <w:r>
        <w:rPr>
          <w:rFonts w:ascii="Arial" w:cs="Arial" w:eastAsia="Arial" w:hAnsi="Arial"/>
          <w:sz w:val="16"/>
          <w:szCs w:val="16"/>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320"/>
        <w:spacing w:after="0"/>
        <w:rPr>
          <w:sz w:val="20"/>
          <w:szCs w:val="20"/>
          <w:color w:val="auto"/>
        </w:rPr>
      </w:pPr>
      <w:r>
        <w:rPr>
          <w:rFonts w:ascii="Arial" w:cs="Arial" w:eastAsia="Arial" w:hAnsi="Arial"/>
          <w:sz w:val="20"/>
          <w:szCs w:val="20"/>
          <w:b w:val="1"/>
          <w:bCs w:val="1"/>
          <w:color w:val="auto"/>
        </w:rPr>
        <w:t>GENEDX HOLDINGS CORP.</w:t>
      </w:r>
    </w:p>
    <w:p>
      <w:pPr>
        <w:spacing w:after="0" w:line="26"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2021 EQUITY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RESTRICTED STOCK UNIT GRANT</w:t>
      </w:r>
    </w:p>
    <w:p>
      <w:pPr>
        <w:spacing w:after="0" w:line="207"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Participant named below has been granted an award of restricted stock units (the “</w:t>
      </w:r>
      <w:r>
        <w:rPr>
          <w:rFonts w:ascii="Arial" w:cs="Arial" w:eastAsia="Arial" w:hAnsi="Arial"/>
          <w:sz w:val="19"/>
          <w:szCs w:val="19"/>
          <w:b w:val="1"/>
          <w:bCs w:val="1"/>
          <w:color w:val="auto"/>
        </w:rPr>
        <w:t>RSUs</w:t>
      </w:r>
      <w:r>
        <w:rPr>
          <w:rFonts w:ascii="Arial" w:cs="Arial" w:eastAsia="Arial" w:hAnsi="Arial"/>
          <w:sz w:val="19"/>
          <w:szCs w:val="19"/>
          <w:color w:val="auto"/>
        </w:rPr>
        <w:t>”) under the GeneDx Holdings Corp. (the “</w:t>
      </w:r>
      <w:r>
        <w:rPr>
          <w:rFonts w:ascii="Arial" w:cs="Arial" w:eastAsia="Arial" w:hAnsi="Arial"/>
          <w:sz w:val="19"/>
          <w:szCs w:val="19"/>
          <w:b w:val="1"/>
          <w:bCs w:val="1"/>
          <w:color w:val="auto"/>
        </w:rPr>
        <w:t>Company</w:t>
      </w:r>
      <w:r>
        <w:rPr>
          <w:rFonts w:ascii="Arial" w:cs="Arial" w:eastAsia="Arial" w:hAnsi="Arial"/>
          <w:sz w:val="19"/>
          <w:szCs w:val="19"/>
          <w:color w:val="auto"/>
        </w:rPr>
        <w:t>”) 2021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subject to the terms and conditions of the Plan, this Notice of Restricted Stock Unit Grant (this “</w:t>
      </w:r>
      <w:r>
        <w:rPr>
          <w:rFonts w:ascii="Arial" w:cs="Arial" w:eastAsia="Arial" w:hAnsi="Arial"/>
          <w:sz w:val="19"/>
          <w:szCs w:val="19"/>
          <w:b w:val="1"/>
          <w:bCs w:val="1"/>
          <w:color w:val="auto"/>
        </w:rPr>
        <w:t>Notice</w:t>
      </w:r>
      <w:r>
        <w:rPr>
          <w:rFonts w:ascii="Arial" w:cs="Arial" w:eastAsia="Arial" w:hAnsi="Arial"/>
          <w:sz w:val="19"/>
          <w:szCs w:val="19"/>
          <w:color w:val="auto"/>
        </w:rPr>
        <w:t xml:space="preserve">”), and the Restricted Stock Unit Agreement, attached as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RSU Agreement</w:t>
      </w:r>
      <w:r>
        <w:rPr>
          <w:rFonts w:ascii="Arial" w:cs="Arial" w:eastAsia="Arial" w:hAnsi="Arial"/>
          <w:sz w:val="19"/>
          <w:szCs w:val="19"/>
          <w:color w:val="auto"/>
        </w:rPr>
        <w: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Participant Name:</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Participant Address:</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Number of RSUs:</w:t>
      </w:r>
    </w:p>
    <w:p>
      <w:pPr>
        <w:spacing w:after="0" w:line="33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Vesting Commencement</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Date:</w:t>
      </w:r>
    </w:p>
    <w:p>
      <w:pPr>
        <w:spacing w:after="0" w:line="315" w:lineRule="exact"/>
        <w:rPr>
          <w:sz w:val="20"/>
          <w:szCs w:val="20"/>
          <w:color w:val="auto"/>
        </w:rPr>
      </w:pPr>
    </w:p>
    <w:p>
      <w:pPr>
        <w:ind w:left="2560" w:right="4020" w:hanging="2537"/>
        <w:spacing w:after="0" w:line="251" w:lineRule="auto"/>
        <w:tabs>
          <w:tab w:leader="none" w:pos="254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20"/>
          <w:szCs w:val="20"/>
          <w:color w:val="auto"/>
        </w:rPr>
        <w:t>Subject to the limitations set forth in this Notice, the Plan, and the RSU Agreement, the RSUs will vest in accordance with the following schedule: [insert applicable vesting schedule]</w:t>
      </w:r>
    </w:p>
    <w:p>
      <w:pPr>
        <w:spacing w:after="0" w:line="30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b w:val="1"/>
          <w:bCs w:val="1"/>
          <w:color w:val="auto"/>
        </w:rPr>
        <w:t>Settlement</w:t>
      </w:r>
      <w:r>
        <w:rPr>
          <w:rFonts w:ascii="Arial" w:cs="Arial" w:eastAsia="Arial" w:hAnsi="Arial"/>
          <w:sz w:val="19"/>
          <w:szCs w:val="19"/>
          <w:color w:val="auto"/>
        </w:rPr>
        <w:t>: RSUs that vest will be settled no later than March 15 of the calendar year following the calendar year in which the vesting</w:t>
      </w:r>
      <w:r>
        <w:rPr>
          <w:rFonts w:ascii="Arial" w:cs="Arial" w:eastAsia="Arial" w:hAnsi="Arial"/>
          <w:sz w:val="19"/>
          <w:szCs w:val="19"/>
          <w:b w:val="1"/>
          <w:bCs w:val="1"/>
          <w:color w:val="auto"/>
        </w:rPr>
        <w:t xml:space="preserve"> </w:t>
      </w:r>
      <w:r>
        <w:rPr>
          <w:rFonts w:ascii="Arial" w:cs="Arial" w:eastAsia="Arial" w:hAnsi="Arial"/>
          <w:sz w:val="19"/>
          <w:szCs w:val="19"/>
          <w:color w:val="auto"/>
        </w:rPr>
        <w:t>occurs. Settlement means the delivery of the Shares underlying the vested portion of the RSU. Such settlement will occur whether or not Participant remains in continuous Service at the time of settlement, but there will be no settlement of unvested RSUs. No fractional RSUs or rights for fractional Shares will be created pursuant to this Notice or the RSU Agreement.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By accepting (whether in writing, electronically, or otherwise) the RSUs, Participant acknowledges and agrees to the following:</w:t>
      </w:r>
    </w:p>
    <w:p>
      <w:pPr>
        <w:spacing w:after="0" w:line="216" w:lineRule="exact"/>
        <w:rPr>
          <w:sz w:val="20"/>
          <w:szCs w:val="20"/>
          <w:color w:val="auto"/>
        </w:rPr>
      </w:pPr>
    </w:p>
    <w:p>
      <w:pPr>
        <w:jc w:val="both"/>
        <w:ind w:firstLine="656"/>
        <w:spacing w:after="0" w:line="252" w:lineRule="auto"/>
        <w:tabs>
          <w:tab w:leader="none" w:pos="1284" w:val="left"/>
        </w:tabs>
        <w:numPr>
          <w:ilvl w:val="0"/>
          <w:numId w:val="53"/>
        </w:numPr>
        <w:rPr>
          <w:rFonts w:ascii="Arial" w:cs="Arial" w:eastAsia="Arial" w:hAnsi="Arial"/>
          <w:sz w:val="20"/>
          <w:szCs w:val="20"/>
          <w:color w:val="auto"/>
        </w:rPr>
      </w:pPr>
      <w:r>
        <w:rPr>
          <w:rFonts w:ascii="Arial" w:cs="Arial" w:eastAsia="Arial" w:hAnsi="Arial"/>
          <w:sz w:val="20"/>
          <w:szCs w:val="20"/>
          <w:color w:val="auto"/>
        </w:rPr>
        <w:t>Participant understands that Participant’s Service with the Company is for an unspecified duration, can be terminated at any time (i.e., is “at-will”) and that nothing in this Notice or the RSU Agreement changes the at-will nature of that relationship (provided that this sentence does not alter the terms of any written employment agreement Participant may have with the Company). Participant acknowledges that the vesting of the RSUs pursuant to this Notice is subject to Participant’s continuing Service.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186" w:lineRule="exact"/>
        <w:rPr>
          <w:rFonts w:ascii="Arial" w:cs="Arial" w:eastAsia="Arial" w:hAnsi="Arial"/>
          <w:sz w:val="20"/>
          <w:szCs w:val="20"/>
          <w:color w:val="auto"/>
        </w:rPr>
      </w:pPr>
    </w:p>
    <w:p>
      <w:pPr>
        <w:jc w:val="both"/>
        <w:ind w:firstLine="656"/>
        <w:spacing w:after="0" w:line="264" w:lineRule="auto"/>
        <w:tabs>
          <w:tab w:leader="none" w:pos="1284"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RSUs are subject to the terms and conditions of the Plan, the RSU Agreement, and this Notice, and this Notice is subject to the terms and conditions of the RSU Agreement and the Plan, both of which are incorporated herein by reference. Participant has read this Notice, the RSU Agreement and the Plan.</w:t>
      </w:r>
    </w:p>
    <w:p>
      <w:pPr>
        <w:spacing w:after="0" w:line="172" w:lineRule="exact"/>
        <w:rPr>
          <w:rFonts w:ascii="Arial" w:cs="Arial" w:eastAsia="Arial" w:hAnsi="Arial"/>
          <w:sz w:val="20"/>
          <w:szCs w:val="20"/>
          <w:color w:val="auto"/>
        </w:rPr>
      </w:pPr>
    </w:p>
    <w:p>
      <w:pPr>
        <w:ind w:firstLine="656"/>
        <w:spacing w:after="0" w:line="274" w:lineRule="auto"/>
        <w:tabs>
          <w:tab w:leader="none" w:pos="1284" w:val="left"/>
        </w:tabs>
        <w:numPr>
          <w:ilvl w:val="0"/>
          <w:numId w:val="53"/>
        </w:numPr>
        <w:rPr>
          <w:rFonts w:ascii="Arial" w:cs="Arial" w:eastAsia="Arial" w:hAnsi="Arial"/>
          <w:sz w:val="20"/>
          <w:szCs w:val="20"/>
          <w:color w:val="auto"/>
        </w:rPr>
      </w:pPr>
      <w:r>
        <w:rPr>
          <w:rFonts w:ascii="Arial" w:cs="Arial" w:eastAsia="Arial" w:hAnsi="Arial"/>
          <w:sz w:val="20"/>
          <w:szCs w:val="20"/>
          <w:color w:val="auto"/>
        </w:rPr>
        <w:t>Participant has read the Company’s Insider Trading Policy, and agrees to comply with such policy, as it may be amended from time to time, whenever Participant acquires or disposes of the Company’s securities.</w:t>
      </w:r>
    </w:p>
    <w:p>
      <w:pPr>
        <w:sectPr>
          <w:pgSz w:w="11900" w:h="16838" w:orient="portrait"/>
          <w:cols w:equalWidth="0" w:num="1">
            <w:col w:w="11240"/>
          </w:cols>
          <w:pgMar w:left="320" w:top="121" w:right="339" w:bottom="1440" w:gutter="0" w:footer="0" w:header="0"/>
        </w:sectPr>
      </w:pPr>
    </w:p>
    <w:bookmarkStart w:id="47" w:name="page48"/>
    <w:bookmarkEnd w:id="47"/>
    <w:p>
      <w:pPr>
        <w:jc w:val="both"/>
        <w:ind w:left="-20" w:firstLine="656"/>
        <w:spacing w:after="0" w:line="293" w:lineRule="auto"/>
        <w:tabs>
          <w:tab w:leader="none" w:pos="126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lieu of receiving documents in paper format, Participant accepts the electronic delivery of any documents the Company, or any third party involved in administering the RSUs which the Company may designate, may deliver in connection with this grant (including the Notice, the RSU Agreement, account statements or other communications or information) whether via the Company’s intranet or the internet site of another third party or via email, or other means of electronic delivery specified by the Company.</w:t>
      </w:r>
    </w:p>
    <w:p>
      <w:pPr>
        <w:spacing w:after="0" w:line="198" w:lineRule="exact"/>
        <w:rPr>
          <w:sz w:val="20"/>
          <w:szCs w:val="20"/>
          <w:color w:val="auto"/>
        </w:rPr>
      </w:pPr>
    </w:p>
    <w:p>
      <w:pPr>
        <w:spacing w:after="0"/>
        <w:tabs>
          <w:tab w:leader="none" w:pos="6580" w:val="left"/>
        </w:tabs>
        <w:rPr>
          <w:sz w:val="20"/>
          <w:szCs w:val="20"/>
          <w:color w:val="auto"/>
        </w:rPr>
      </w:pPr>
      <w:r>
        <w:rPr>
          <w:rFonts w:ascii="Arial" w:cs="Arial" w:eastAsia="Arial" w:hAnsi="Arial"/>
          <w:sz w:val="20"/>
          <w:szCs w:val="20"/>
          <w:b w:val="1"/>
          <w:bCs w:val="1"/>
          <w:color w:val="auto"/>
        </w:rPr>
        <w:t>PARTICIPANT</w:t>
      </w:r>
      <w:r>
        <w:rPr>
          <w:sz w:val="20"/>
          <w:szCs w:val="20"/>
          <w:color w:val="auto"/>
        </w:rPr>
        <w:tab/>
      </w:r>
      <w:r>
        <w:rPr>
          <w:rFonts w:ascii="Arial" w:cs="Arial" w:eastAsia="Arial" w:hAnsi="Arial"/>
          <w:sz w:val="20"/>
          <w:szCs w:val="20"/>
          <w:b w:val="1"/>
          <w:bCs w:val="1"/>
          <w:color w:val="auto"/>
        </w:rPr>
        <w:t>GENEDX HOLDINGS CORP.</w:t>
      </w:r>
    </w:p>
    <w:p>
      <w:pPr>
        <w:spacing w:after="0" w:line="330" w:lineRule="exact"/>
        <w:rPr>
          <w:sz w:val="20"/>
          <w:szCs w:val="20"/>
          <w:color w:val="auto"/>
        </w:rPr>
      </w:pPr>
    </w:p>
    <w:p>
      <w:pPr>
        <w:ind w:left="660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137160</wp:posOffset>
            </wp:positionV>
            <wp:extent cx="59321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6600"/>
        <w:spacing w:after="0"/>
        <w:rPr>
          <w:sz w:val="20"/>
          <w:szCs w:val="20"/>
          <w:color w:val="auto"/>
        </w:rPr>
      </w:pPr>
      <w:r>
        <w:rPr>
          <w:rFonts w:ascii="Arial" w:cs="Arial" w:eastAsia="Arial" w:hAnsi="Arial"/>
          <w:sz w:val="20"/>
          <w:szCs w:val="20"/>
          <w:color w:val="auto"/>
        </w:rPr>
        <w:t>Its:</w:t>
      </w:r>
    </w:p>
    <w:p>
      <w:pPr>
        <w:spacing w:after="0" w:line="2" w:lineRule="exact"/>
        <w:rPr>
          <w:sz w:val="20"/>
          <w:szCs w:val="20"/>
          <w:color w:val="auto"/>
        </w:rPr>
      </w:pPr>
    </w:p>
    <w:p>
      <w:pPr>
        <w:ind w:left="60"/>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1192530</wp:posOffset>
            </wp:positionH>
            <wp:positionV relativeFrom="paragraph">
              <wp:posOffset>26035</wp:posOffset>
            </wp:positionV>
            <wp:extent cx="5932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1">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40" w:top="1419" w:right="339" w:bottom="1440" w:gutter="0" w:footer="0" w:header="0"/>
        </w:sectPr>
      </w:pPr>
    </w:p>
    <w:bookmarkStart w:id="48" w:name="page49"/>
    <w:bookmarkEnd w:id="48"/>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EQUITY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defined in this Restricted Stock Unit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any capitalized terms used and not otherwise defined in the Notice of Restricted Stock Unit Grant (the “</w:t>
      </w:r>
      <w:r>
        <w:rPr>
          <w:rFonts w:ascii="Arial" w:cs="Arial" w:eastAsia="Arial" w:hAnsi="Arial"/>
          <w:sz w:val="20"/>
          <w:szCs w:val="20"/>
          <w:b w:val="1"/>
          <w:bCs w:val="1"/>
          <w:color w:val="auto"/>
        </w:rPr>
        <w:t>Notice</w:t>
      </w:r>
      <w:r>
        <w:rPr>
          <w:rFonts w:ascii="Arial" w:cs="Arial" w:eastAsia="Arial" w:hAnsi="Arial"/>
          <w:sz w:val="20"/>
          <w:szCs w:val="20"/>
          <w:color w:val="auto"/>
        </w:rPr>
        <w:t>”) or herein will have the meanings ascribed to them in the GeneDx Holdings Corp. (the “</w:t>
      </w:r>
      <w:r>
        <w:rPr>
          <w:rFonts w:ascii="Arial" w:cs="Arial" w:eastAsia="Arial" w:hAnsi="Arial"/>
          <w:sz w:val="20"/>
          <w:szCs w:val="20"/>
          <w:b w:val="1"/>
          <w:bCs w:val="1"/>
          <w:color w:val="auto"/>
        </w:rPr>
        <w:t>Company</w:t>
      </w:r>
      <w:r>
        <w:rPr>
          <w:rFonts w:ascii="Arial" w:cs="Arial" w:eastAsia="Arial" w:hAnsi="Arial"/>
          <w:sz w:val="20"/>
          <w:szCs w:val="20"/>
          <w:color w:val="auto"/>
        </w:rPr>
        <w:t>”) 2021 Equity Incentive Plan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Participant has been granted RSUs subject to the terms, restrictions and conditions of the Plan, the Notice, and this Agreement. In the event of any conflict between the terms and conditions of the Plan and the terms and conditions of the Notice or this Agreement, the terms and conditions of the Plan will prevail.</w:t>
      </w:r>
    </w:p>
    <w:p>
      <w:pPr>
        <w:spacing w:after="0" w:line="167" w:lineRule="exact"/>
        <w:rPr>
          <w:sz w:val="20"/>
          <w:szCs w:val="20"/>
          <w:color w:val="auto"/>
        </w:rPr>
      </w:pPr>
    </w:p>
    <w:p>
      <w:pPr>
        <w:ind w:firstLine="8"/>
        <w:spacing w:after="0" w:line="281" w:lineRule="auto"/>
        <w:tabs>
          <w:tab w:leader="none" w:pos="648"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Stockholder Rights</w:t>
      </w:r>
      <w:r>
        <w:rPr>
          <w:rFonts w:ascii="Arial" w:cs="Arial" w:eastAsia="Arial" w:hAnsi="Arial"/>
          <w:sz w:val="20"/>
          <w:szCs w:val="20"/>
          <w:b w:val="1"/>
          <w:bCs w:val="1"/>
          <w:color w:val="auto"/>
        </w:rPr>
        <w:t xml:space="preserve">. </w:t>
      </w:r>
      <w:r>
        <w:rPr>
          <w:rFonts w:ascii="Arial" w:cs="Arial" w:eastAsia="Arial" w:hAnsi="Arial"/>
          <w:sz w:val="20"/>
          <w:szCs w:val="20"/>
          <w:color w:val="auto"/>
        </w:rPr>
        <w:t>Unless and until such time as Shares are issued in settlement of vested RSUs, Participant will have no</w:t>
      </w:r>
      <w:r>
        <w:rPr>
          <w:rFonts w:ascii="Arial" w:cs="Arial" w:eastAsia="Arial" w:hAnsi="Arial"/>
          <w:sz w:val="20"/>
          <w:szCs w:val="20"/>
          <w:b w:val="1"/>
          <w:bCs w:val="1"/>
          <w:color w:val="auto"/>
        </w:rPr>
        <w:t xml:space="preserve"> </w:t>
      </w:r>
      <w:r>
        <w:rPr>
          <w:rFonts w:ascii="Arial" w:cs="Arial" w:eastAsia="Arial" w:hAnsi="Arial"/>
          <w:sz w:val="20"/>
          <w:szCs w:val="20"/>
          <w:color w:val="auto"/>
        </w:rPr>
        <w:t>ownership of the Shares underlying the RSUs and will have no right to dividends or to vote such Shares.</w:t>
      </w:r>
    </w:p>
    <w:p>
      <w:pPr>
        <w:spacing w:after="0" w:line="149" w:lineRule="exact"/>
        <w:rPr>
          <w:rFonts w:ascii="Arial" w:cs="Arial" w:eastAsia="Arial" w:hAnsi="Arial"/>
          <w:sz w:val="20"/>
          <w:szCs w:val="20"/>
          <w:b w:val="1"/>
          <w:bCs w:val="1"/>
          <w:color w:val="auto"/>
        </w:rPr>
      </w:pPr>
    </w:p>
    <w:p>
      <w:pPr>
        <w:ind w:firstLine="8"/>
        <w:spacing w:after="0" w:line="281" w:lineRule="auto"/>
        <w:tabs>
          <w:tab w:leader="none" w:pos="648"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Dividend equivalents, if any (whether in cash or Shares), will not be credited to Participant in respect of</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Participant’s RSUs.</w:t>
      </w:r>
    </w:p>
    <w:p>
      <w:pPr>
        <w:spacing w:after="0" w:line="163" w:lineRule="exact"/>
        <w:rPr>
          <w:rFonts w:ascii="Arial" w:cs="Arial" w:eastAsia="Arial" w:hAnsi="Arial"/>
          <w:sz w:val="20"/>
          <w:szCs w:val="20"/>
          <w:b w:val="1"/>
          <w:bCs w:val="1"/>
          <w:color w:val="auto"/>
        </w:rPr>
      </w:pPr>
    </w:p>
    <w:p>
      <w:pPr>
        <w:jc w:val="both"/>
        <w:ind w:firstLine="8"/>
        <w:spacing w:after="0" w:line="253" w:lineRule="auto"/>
        <w:tabs>
          <w:tab w:leader="none" w:pos="648"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Transfer</w:t>
      </w:r>
      <w:r>
        <w:rPr>
          <w:rFonts w:ascii="Arial" w:cs="Arial" w:eastAsia="Arial" w:hAnsi="Arial"/>
          <w:sz w:val="20"/>
          <w:szCs w:val="20"/>
          <w:b w:val="1"/>
          <w:bCs w:val="1"/>
          <w:color w:val="auto"/>
        </w:rPr>
        <w:t xml:space="preserve">. </w:t>
      </w:r>
      <w:r>
        <w:rPr>
          <w:rFonts w:ascii="Arial" w:cs="Arial" w:eastAsia="Arial" w:hAnsi="Arial"/>
          <w:sz w:val="20"/>
          <w:szCs w:val="20"/>
          <w:color w:val="auto"/>
        </w:rPr>
        <w:t>The RSUs and any interest therein will not be sold, assigned, transferred, pledged, hypothecated or otherwise disposed</w:t>
      </w:r>
      <w:r>
        <w:rPr>
          <w:rFonts w:ascii="Arial" w:cs="Arial" w:eastAsia="Arial" w:hAnsi="Arial"/>
          <w:sz w:val="20"/>
          <w:szCs w:val="20"/>
          <w:b w:val="1"/>
          <w:bCs w:val="1"/>
          <w:color w:val="auto"/>
        </w:rPr>
        <w:t xml:space="preserve"> </w:t>
      </w:r>
      <w:r>
        <w:rPr>
          <w:rFonts w:ascii="Arial" w:cs="Arial" w:eastAsia="Arial" w:hAnsi="Arial"/>
          <w:sz w:val="20"/>
          <w:szCs w:val="20"/>
          <w:color w:val="auto"/>
        </w:rPr>
        <w:t>of in any manner, other than by will or by the laws of descent and distribution or court order or unless otherwise permitted by the Committee on a case-by-case basis. By signing this Agreement,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178" w:lineRule="exact"/>
        <w:rPr>
          <w:rFonts w:ascii="Arial" w:cs="Arial" w:eastAsia="Arial" w:hAnsi="Arial"/>
          <w:sz w:val="20"/>
          <w:szCs w:val="20"/>
          <w:b w:val="1"/>
          <w:bCs w:val="1"/>
          <w:color w:val="auto"/>
        </w:rPr>
      </w:pPr>
    </w:p>
    <w:p>
      <w:pPr>
        <w:jc w:val="both"/>
        <w:ind w:firstLine="8"/>
        <w:spacing w:after="0" w:line="256" w:lineRule="auto"/>
        <w:tabs>
          <w:tab w:leader="none" w:pos="648"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Participant’s Service terminates for any reason, all unvested RSUs will be forfeited, and all of Participant’s rights to</w:t>
      </w:r>
      <w:r>
        <w:rPr>
          <w:rFonts w:ascii="Arial" w:cs="Arial" w:eastAsia="Arial" w:hAnsi="Arial"/>
          <w:sz w:val="20"/>
          <w:szCs w:val="20"/>
          <w:b w:val="1"/>
          <w:bCs w:val="1"/>
          <w:color w:val="auto"/>
        </w:rPr>
        <w:t xml:space="preserve"> </w:t>
      </w:r>
      <w:r>
        <w:rPr>
          <w:rFonts w:ascii="Arial" w:cs="Arial" w:eastAsia="Arial" w:hAnsi="Arial"/>
          <w:sz w:val="20"/>
          <w:szCs w:val="20"/>
          <w:color w:val="auto"/>
        </w:rPr>
        <w:t>such RSUs will immediately terminate without payment of any consideration to Participant. In case of any dispute as to whether and when a termination of Service has occurred, the Committee will have sole discretion to determine whether such termination of Service has occurred and the effective date of such termination (including whether Participant may still be considered to be actively providing Services while on a leave of absence).</w:t>
      </w:r>
    </w:p>
    <w:p>
      <w:pPr>
        <w:spacing w:after="0" w:line="177" w:lineRule="exact"/>
        <w:rPr>
          <w:rFonts w:ascii="Arial" w:cs="Arial" w:eastAsia="Arial" w:hAnsi="Arial"/>
          <w:sz w:val="20"/>
          <w:szCs w:val="20"/>
          <w:b w:val="1"/>
          <w:bCs w:val="1"/>
          <w:color w:val="auto"/>
        </w:rPr>
      </w:pPr>
    </w:p>
    <w:p>
      <w:pPr>
        <w:ind w:left="660" w:hanging="652"/>
        <w:spacing w:after="0"/>
        <w:tabs>
          <w:tab w:leader="none" w:pos="660" w:val="left"/>
        </w:tabs>
        <w:numPr>
          <w:ilvl w:val="0"/>
          <w:numId w:val="5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Taxes</w:t>
      </w:r>
    </w:p>
    <w:p>
      <w:pPr>
        <w:spacing w:after="0" w:line="235" w:lineRule="exact"/>
        <w:rPr>
          <w:rFonts w:ascii="Arial" w:cs="Arial" w:eastAsia="Arial" w:hAnsi="Arial"/>
          <w:sz w:val="20"/>
          <w:szCs w:val="20"/>
          <w:b w:val="1"/>
          <w:bCs w:val="1"/>
          <w:color w:val="auto"/>
        </w:rPr>
      </w:pPr>
    </w:p>
    <w:p>
      <w:pPr>
        <w:jc w:val="both"/>
        <w:ind w:firstLine="656"/>
        <w:spacing w:after="0" w:line="255" w:lineRule="auto"/>
        <w:tabs>
          <w:tab w:leader="none" w:pos="1286"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SHOULD CONSULT A TAX ADVISER BEFORE ACQUIRING THE SHARES IN THE JURISDICTION IN WHICH PARTICIPANT IS SUBJECT TO TAX. Shares will not be issued under this Agreement unless Participant makes arrangements acceptable to the Company to pay any withholding taxes that may be due as a result of the acquisition or vesting of Shares.</w:t>
      </w:r>
    </w:p>
    <w:p>
      <w:pPr>
        <w:spacing w:after="0" w:line="177" w:lineRule="exact"/>
        <w:rPr>
          <w:rFonts w:ascii="Arial" w:cs="Arial" w:eastAsia="Arial" w:hAnsi="Arial"/>
          <w:sz w:val="20"/>
          <w:szCs w:val="20"/>
          <w:color w:val="auto"/>
        </w:rPr>
      </w:pPr>
    </w:p>
    <w:p>
      <w:pPr>
        <w:jc w:val="both"/>
        <w:ind w:firstLine="656"/>
        <w:spacing w:after="0" w:line="273" w:lineRule="auto"/>
        <w:tabs>
          <w:tab w:leader="none" w:pos="1284"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Regardless of any action the Company or, if different, Participant’s employer (the “</w:t>
      </w:r>
      <w:r>
        <w:rPr>
          <w:rFonts w:ascii="Arial" w:cs="Arial" w:eastAsia="Arial" w:hAnsi="Arial"/>
          <w:sz w:val="19"/>
          <w:szCs w:val="19"/>
          <w:b w:val="1"/>
          <w:bCs w:val="1"/>
          <w:color w:val="auto"/>
        </w:rPr>
        <w:t>Employer</w:t>
      </w:r>
      <w:r>
        <w:rPr>
          <w:rFonts w:ascii="Arial" w:cs="Arial" w:eastAsia="Arial" w:hAnsi="Arial"/>
          <w:sz w:val="19"/>
          <w:szCs w:val="19"/>
          <w:color w:val="auto"/>
        </w:rPr>
        <w:t>”) takes with respect to any or all income tax, social insurance, payroll tax, fringe benefits tax, payment on account and other tax-related items related to Participant’s RSUs and legally applicable to Participant (“</w:t>
      </w:r>
      <w:r>
        <w:rPr>
          <w:rFonts w:ascii="Arial" w:cs="Arial" w:eastAsia="Arial" w:hAnsi="Arial"/>
          <w:sz w:val="19"/>
          <w:szCs w:val="19"/>
          <w:b w:val="1"/>
          <w:bCs w:val="1"/>
          <w:color w:val="auto"/>
        </w:rPr>
        <w:t>Tax-Related Items</w:t>
      </w:r>
      <w:r>
        <w:rPr>
          <w:rFonts w:ascii="Arial" w:cs="Arial" w:eastAsia="Arial" w:hAnsi="Arial"/>
          <w:sz w:val="19"/>
          <w:szCs w:val="19"/>
          <w:color w:val="auto"/>
        </w:rPr>
        <w:t>”), Participant acknowledges that the ultimate liability for all Tax-Related Items is and remains Participant’s responsibility and may exceed the amount actually withheld by the Company or the Employer. Participant further acknowledges that the Company and the Employer</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252" w:lineRule="exact"/>
        <w:rPr>
          <w:sz w:val="20"/>
          <w:szCs w:val="20"/>
          <w:color w:val="auto"/>
        </w:rPr>
      </w:pPr>
    </w:p>
    <w:p>
      <w:pPr>
        <w:jc w:val="both"/>
        <w:ind w:firstLine="8"/>
        <w:spacing w:after="0" w:line="267" w:lineRule="auto"/>
        <w:tabs>
          <w:tab w:leader="none" w:pos="286" w:val="left"/>
        </w:tabs>
        <w:numPr>
          <w:ilvl w:val="0"/>
          <w:numId w:val="56"/>
        </w:numPr>
        <w:rPr>
          <w:rFonts w:ascii="Arial" w:cs="Arial" w:eastAsia="Arial" w:hAnsi="Arial"/>
          <w:sz w:val="19"/>
          <w:szCs w:val="19"/>
          <w:color w:val="auto"/>
        </w:rPr>
      </w:pPr>
      <w:r>
        <w:rPr>
          <w:rFonts w:ascii="Arial" w:cs="Arial" w:eastAsia="Arial" w:hAnsi="Arial"/>
          <w:sz w:val="19"/>
          <w:szCs w:val="19"/>
          <w:color w:val="auto"/>
        </w:rPr>
        <w:t>make no representations or undertakings regarding the treatment of any Tax-Related Items in connection with any aspect of the RSUs, including the grant of the RSUs, the issuance of the Shares subject to the RSUs, the vesting of such Shares, the subsequent sale of such Shares and the receipt of any dividends; and (b) do not commit to and are under no obligation to structure the terms of the RSUs to reduce or eliminate Participant’s liability for Tax-Related Items or to achieve any particular tax result. Participant acknowledges that if Participant is subject to Tax-Related Items in more than one jurisdiction, the Company and/or the Employer (or former employer, as applicable) may be required to withhold or account for Tax-Related Items in more than one jurisdiction.</w:t>
      </w:r>
    </w:p>
    <w:p>
      <w:pPr>
        <w:spacing w:after="0" w:line="18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The Company will only recognize Participant as a record holder of the Shares subject to the RSUs if Participant has paid or made, prior to any relevant taxable or tax withholding event, as applicable, adequate arrangements satisfactory to the Company and/or the Employer to satisfy any withholding obligation the Company and/or the Employer may have for Tax-Related Items. In this regard, Participant authorizes the Company and/or the Employer, and their respective agents, at their discretion, to withhold all applicable Tax-Related Items from Participant’s wages or other cash compensation paid to Participant by the Company and/or the Employer or by withholding from proceeds of the sale of the Shares subject to the RSUs either through a voluntary sale or through a mandatory sale arranged by the Company (on Participant’s behalf and Participant hereby authorizes such sale pursuant to this authorization). The Committee may also authorize one or a combination of the following methods to satisfy Tax-Related Items: (a) payment by Participant to the Company or the Employer of an amount equal to the Tax-Related Items in cash, (b) having the Company withhold Shares subject to the RSUs that would otherwise be issued to Participant when they vest having a value equal to the Tax-Related Items to be withheld, (c) delivering to the Company already-owned Shares having a value equal to the Tax-Related Items to be withheld, or (d) any other arrangement approved by the Company and permissible under applicable law; in all cases, under such rules as may be established by the Committee and in compliance with the Company’s insider trading policy and 10b5-1 trading plan policy, if applicable;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Participant is a Section 16 officer of the Company under the Exchange Act, then the method of withholding will be a mandatory sale (unless the Committee will establish an alternate method prior to the taxable or withholding event). Participant will pay to the Company or the Employer any amount of Tax-Related Items that the Company or the Employer may be required to withhold as a result of Participant’s participation in the Plan or the issuance of Shares subject to the RSUs or vesting thereof that cannot be satisfied by the means previously described.</w:t>
      </w:r>
    </w:p>
    <w:p>
      <w:pPr>
        <w:spacing w:after="0" w:line="17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Depending on the withholding method, the Company may withhold or account for Tax-Related Items by considering applicable statutory withholding rates or other applicable withholding rates, including up to the maximum applicable rate in which case Participant may receive a refund of any over-withheld amount in cash and will have no entitlement to the Shares subject to the RSU that would otherwise be released when they vest. If the obligation for Tax-Related Items is satisfied by withholding in Shares that would otherwise be subject to release when they vest, for tax purposes, Participant is deemed to have been issued the full number of such Shares, notwithstanding that a number of the such Shares are held back solely for the purpose of paying the Tax-Related Items. Finally, Participant acknowledges that the Company has no obligation to deliver Shares subject to the RSUs to Participant until Participant has satisfied the obligations in connection with the Tax-Related Items as described in this Section.</w:t>
      </w:r>
    </w:p>
    <w:p>
      <w:pPr>
        <w:spacing w:after="0" w:line="190" w:lineRule="exact"/>
        <w:rPr>
          <w:sz w:val="20"/>
          <w:szCs w:val="20"/>
          <w:color w:val="auto"/>
        </w:rPr>
      </w:pPr>
    </w:p>
    <w:p>
      <w:pPr>
        <w:jc w:val="both"/>
        <w:ind w:firstLine="656"/>
        <w:spacing w:after="0" w:line="288" w:lineRule="auto"/>
        <w:tabs>
          <w:tab w:leader="none" w:pos="128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For purposes of this Agreement, a termination of employment will be determined consistent with the rules relating to a “separation from service” as defined in Section 409A of the Code and the regulations thereunder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Notwithstanding anything else provided herein, to the extent any payments provided under this Agreement in connection with Participant’s termination of employment constitute deferred compensation subject to Section 409A, and Participant is deemed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252"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 xml:space="preserve">of such termination of employment to be a “specified employee” under Section 409A, then the payment will not be made or commence until the earlier of (i) the expiration of the six-month period measured from Participant’s separation from service from the Company or (ii) the date of Participant’s death following a separation from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deferral will only be effected to the extent required to avoid adverse tax treatment to Participant including, without limitation, the additional tax for which Participant would otherwise be liable under Section 409A(a)(1)(B) in the absence of such a deferral. The first payment thereof will include a catch-up payment covering the amount that would have otherwise been paid during the period between Participant’s termination of employment and the first payment date but for the application of this provision, and the balance of the installments (if any) will be payable in accordance with their original schedule. To the extent that any provision of this Agreement is ambiguous as to its compliance with Section 409A, the provision will be read in such a manner so that all payments hereunder comply with Section 409A.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spacing w:after="0" w:line="161" w:lineRule="exact"/>
        <w:rPr>
          <w:sz w:val="20"/>
          <w:szCs w:val="20"/>
          <w:color w:val="auto"/>
        </w:rPr>
      </w:pPr>
    </w:p>
    <w:p>
      <w:pPr>
        <w:jc w:val="both"/>
        <w:ind w:firstLine="8"/>
        <w:spacing w:after="0" w:line="289" w:lineRule="auto"/>
        <w:tabs>
          <w:tab w:leader="none" w:pos="64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Participant agree that the RSUs are granted under and governed by the Notice and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are governed by terms and conditions identical to those of the Plan, which is incorporated herein by reference. Participant</w:t>
      </w:r>
    </w:p>
    <w:p>
      <w:pPr>
        <w:jc w:val="both"/>
        <w:spacing w:after="0" w:line="253" w:lineRule="auto"/>
        <w:rPr>
          <w:rFonts w:ascii="Arial" w:cs="Arial" w:eastAsia="Arial" w:hAnsi="Arial"/>
          <w:sz w:val="18"/>
          <w:szCs w:val="18"/>
          <w:b w:val="1"/>
          <w:bCs w:val="1"/>
          <w:color w:val="auto"/>
        </w:rPr>
      </w:pPr>
      <w:r>
        <w:rPr>
          <w:rFonts w:ascii="Arial" w:cs="Arial" w:eastAsia="Arial" w:hAnsi="Arial"/>
          <w:sz w:val="20"/>
          <w:szCs w:val="20"/>
          <w:color w:val="auto"/>
        </w:rPr>
        <w:t>(i) acknowledges receipt of a copy of each of the foregoing documents, (ii) represents that Participant has carefully read and is familiar with their provisions and (iii) hereby accepts the RSUs subject to all of the terms and conditions set forth herein and those set forth in the Plan and the Notice.</w:t>
      </w:r>
    </w:p>
    <w:p>
      <w:pPr>
        <w:spacing w:after="0" w:line="177" w:lineRule="exact"/>
        <w:rPr>
          <w:rFonts w:ascii="Arial" w:cs="Arial" w:eastAsia="Arial" w:hAnsi="Arial"/>
          <w:sz w:val="18"/>
          <w:szCs w:val="18"/>
          <w:b w:val="1"/>
          <w:bCs w:val="1"/>
          <w:color w:val="auto"/>
        </w:rPr>
      </w:pPr>
    </w:p>
    <w:p>
      <w:pPr>
        <w:jc w:val="both"/>
        <w:ind w:firstLine="8"/>
        <w:spacing w:after="0" w:line="286" w:lineRule="auto"/>
        <w:tabs>
          <w:tab w:leader="none" w:pos="648"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Enforcement of Rights; Severability</w:t>
      </w:r>
      <w:r>
        <w:rPr>
          <w:rFonts w:ascii="Arial" w:cs="Arial" w:eastAsia="Arial" w:hAnsi="Arial"/>
          <w:sz w:val="18"/>
          <w:szCs w:val="18"/>
          <w:color w:val="auto"/>
        </w:rPr>
        <w:t>. This Agreement, the Plan and the Notice constitute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understanding of the parties relating to the subject matter herein and supersede all prior discussions between them. Any prior agreements, commitments or negotiations concerning the purchase of the Shares hereunder are superseded. No modification of or amendment to this Agreement, nor any waiver of any rights under this Agreement, will be effective unless in writing and signed by the parties to this Agreement. The failure by either party to enforce any rights under this Agreement will not be construed as a waiver of any rights of such party. If any provision of this Agreement is determined by a court of law to be illegal or unenforceable, then such provision will be enforced to the maximum extent possible and the other provisions will remain fully effective and enforceable.</w:t>
      </w:r>
    </w:p>
    <w:p>
      <w:pPr>
        <w:spacing w:after="0" w:line="149" w:lineRule="exact"/>
        <w:rPr>
          <w:rFonts w:ascii="Arial" w:cs="Arial" w:eastAsia="Arial" w:hAnsi="Arial"/>
          <w:sz w:val="18"/>
          <w:szCs w:val="18"/>
          <w:b w:val="1"/>
          <w:bCs w:val="1"/>
          <w:color w:val="auto"/>
        </w:rPr>
      </w:pPr>
    </w:p>
    <w:p>
      <w:pPr>
        <w:ind w:left="660" w:hanging="652"/>
        <w:spacing w:after="0"/>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Stop Transfer Orders</w:t>
      </w:r>
      <w:r>
        <w:rPr>
          <w:rFonts w:ascii="Arial" w:cs="Arial" w:eastAsia="Arial" w:hAnsi="Arial"/>
          <w:sz w:val="20"/>
          <w:szCs w:val="20"/>
          <w:color w:val="auto"/>
        </w:rPr>
        <w:t>.</w:t>
      </w:r>
    </w:p>
    <w:p>
      <w:pPr>
        <w:spacing w:after="0" w:line="235" w:lineRule="exact"/>
        <w:rPr>
          <w:rFonts w:ascii="Arial" w:cs="Arial" w:eastAsia="Arial" w:hAnsi="Arial"/>
          <w:sz w:val="20"/>
          <w:szCs w:val="20"/>
          <w:b w:val="1"/>
          <w:bCs w:val="1"/>
          <w:color w:val="auto"/>
        </w:rPr>
      </w:pPr>
    </w:p>
    <w:p>
      <w:pPr>
        <w:jc w:val="both"/>
        <w:ind w:firstLine="656"/>
        <w:spacing w:after="0" w:line="257" w:lineRule="auto"/>
        <w:tabs>
          <w:tab w:leader="none" w:pos="1286"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Stop-Transfer Notices</w:t>
      </w:r>
      <w:r>
        <w:rPr>
          <w:rFonts w:ascii="Arial" w:cs="Arial" w:eastAsia="Arial" w:hAnsi="Arial"/>
          <w:sz w:val="20"/>
          <w:szCs w:val="20"/>
          <w:color w:val="auto"/>
        </w:rPr>
        <w:t>. Participant agrees that, in order to ensure compliance with the restrictions referred to herein, the Company may issue appropriate “stop transfer” restrictions to its transfer agent, if any, and that if the Company transfers its own securities, it may make appropriate notations to the same effect in its own records.</w:t>
      </w:r>
    </w:p>
    <w:p>
      <w:pPr>
        <w:spacing w:after="0" w:line="192" w:lineRule="exact"/>
        <w:rPr>
          <w:rFonts w:ascii="Arial" w:cs="Arial" w:eastAsia="Arial" w:hAnsi="Arial"/>
          <w:sz w:val="20"/>
          <w:szCs w:val="20"/>
          <w:color w:val="auto"/>
        </w:rPr>
      </w:pPr>
    </w:p>
    <w:p>
      <w:pPr>
        <w:jc w:val="both"/>
        <w:ind w:firstLine="656"/>
        <w:spacing w:after="0" w:line="257" w:lineRule="auto"/>
        <w:tabs>
          <w:tab w:leader="none" w:pos="1284" w:val="left"/>
        </w:tabs>
        <w:numPr>
          <w:ilvl w:val="1"/>
          <w:numId w:val="58"/>
        </w:numPr>
        <w:rPr>
          <w:rFonts w:ascii="Arial" w:cs="Arial" w:eastAsia="Arial" w:hAnsi="Arial"/>
          <w:sz w:val="20"/>
          <w:szCs w:val="20"/>
          <w:color w:val="auto"/>
        </w:rPr>
      </w:pPr>
      <w:r>
        <w:rPr>
          <w:rFonts w:ascii="Arial" w:cs="Arial" w:eastAsia="Arial" w:hAnsi="Arial"/>
          <w:sz w:val="20"/>
          <w:szCs w:val="20"/>
          <w:u w:val="single" w:color="auto"/>
          <w:color w:val="auto"/>
        </w:rPr>
        <w:t>Refusal to Transfer</w:t>
      </w:r>
      <w:r>
        <w:rPr>
          <w:rFonts w:ascii="Arial" w:cs="Arial" w:eastAsia="Arial" w:hAnsi="Arial"/>
          <w:sz w:val="20"/>
          <w:szCs w:val="20"/>
          <w:color w:val="auto"/>
        </w:rPr>
        <w:t>. The Company will not be required (i) to transfer on its books any Shares that have been sold or otherwise transferred in violation of any of the provisions of this Agreement or (ii) to treat as the owner or to accord the right to vote or pay dividends to any purchaser or other transferee to whom such Shares will have been so transferred.</w:t>
      </w:r>
    </w:p>
    <w:p>
      <w:pPr>
        <w:spacing w:after="0" w:line="186" w:lineRule="exact"/>
        <w:rPr>
          <w:rFonts w:ascii="Arial" w:cs="Arial" w:eastAsia="Arial" w:hAnsi="Arial"/>
          <w:sz w:val="20"/>
          <w:szCs w:val="20"/>
          <w:color w:val="auto"/>
        </w:rPr>
      </w:pPr>
    </w:p>
    <w:p>
      <w:pPr>
        <w:ind w:firstLine="8"/>
        <w:spacing w:after="0" w:line="267" w:lineRule="auto"/>
        <w:tabs>
          <w:tab w:leader="none" w:pos="648"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Compliance with Laws and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The issuance of Shares will be subject to and conditioned upon compliance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and Participant (including any written representations, warranties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agreements as the Committee may request of Participant for compliance with applicable laws) with all applicable foreign and US state and federal laws and regulations and with all applicable requirements of any stock exchange or automated quotation system on which the Shares may be listed or quoted at the time of the issuance or transfer. Participant may not be issued any Shares if the issuance would constitute a violation of any applicable federal, state or foreign securities laws or other law or regulations or the requirements of any stock exchange or market system upon which the Shares may then be listed. The inability of the Company to obtain from any regulatory body having jurisdiction the authority, if any, deemed by the Company’s legal counsel to be necessary to the lawful issuance and sale of any Shares will relieve the Company of any liability in respect of the failure to issue or sell the Shares.</w:t>
      </w:r>
    </w:p>
    <w:p>
      <w:pPr>
        <w:spacing w:after="0" w:line="169" w:lineRule="exact"/>
        <w:rPr>
          <w:sz w:val="20"/>
          <w:szCs w:val="20"/>
          <w:color w:val="auto"/>
        </w:rPr>
      </w:pPr>
    </w:p>
    <w:p>
      <w:pPr>
        <w:ind w:right="20" w:firstLine="8"/>
        <w:spacing w:after="0" w:line="338" w:lineRule="auto"/>
        <w:tabs>
          <w:tab w:leader="none" w:pos="639"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Rights as Employee, Director or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will affect in any manner whatsoever the right or</w:t>
      </w:r>
      <w:r>
        <w:rPr>
          <w:rFonts w:ascii="Arial" w:cs="Arial" w:eastAsia="Arial" w:hAnsi="Arial"/>
          <w:sz w:val="18"/>
          <w:szCs w:val="18"/>
          <w:b w:val="1"/>
          <w:bCs w:val="1"/>
          <w:color w:val="auto"/>
        </w:rPr>
        <w:t xml:space="preserve"> </w:t>
      </w:r>
      <w:r>
        <w:rPr>
          <w:rFonts w:ascii="Arial" w:cs="Arial" w:eastAsia="Arial" w:hAnsi="Arial"/>
          <w:sz w:val="18"/>
          <w:szCs w:val="18"/>
          <w:color w:val="auto"/>
        </w:rPr>
        <w:t>power of the Company, or a Parent or Subsidiary of the Company, to terminate Participant’s Service, for any reason, with or without cause.</w:t>
      </w:r>
    </w:p>
    <w:p>
      <w:pPr>
        <w:spacing w:after="0" w:line="118" w:lineRule="exact"/>
        <w:rPr>
          <w:rFonts w:ascii="Arial" w:cs="Arial" w:eastAsia="Arial" w:hAnsi="Arial"/>
          <w:sz w:val="18"/>
          <w:szCs w:val="18"/>
          <w:b w:val="1"/>
          <w:bCs w:val="1"/>
          <w:color w:val="auto"/>
        </w:rPr>
      </w:pPr>
    </w:p>
    <w:p>
      <w:pPr>
        <w:ind w:firstLine="8"/>
        <w:spacing w:after="0" w:line="267" w:lineRule="auto"/>
        <w:tabs>
          <w:tab w:leader="none" w:pos="628"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will be governed by, and construed in accordance with, the laws of the State of Delaware, without</w:t>
      </w:r>
      <w:r>
        <w:rPr>
          <w:rFonts w:ascii="Arial" w:cs="Arial" w:eastAsia="Arial" w:hAnsi="Arial"/>
          <w:sz w:val="20"/>
          <w:szCs w:val="20"/>
          <w:b w:val="1"/>
          <w:bCs w:val="1"/>
          <w:color w:val="auto"/>
        </w:rPr>
        <w:t xml:space="preserve"> </w:t>
      </w:r>
      <w:r>
        <w:rPr>
          <w:rFonts w:ascii="Arial" w:cs="Arial" w:eastAsia="Arial" w:hAnsi="Arial"/>
          <w:sz w:val="20"/>
          <w:szCs w:val="20"/>
          <w:color w:val="auto"/>
        </w:rPr>
        <w:t>giving effect to such state’s conflict of laws rules.</w:t>
      </w:r>
    </w:p>
    <w:p>
      <w:pPr>
        <w:spacing w:after="0" w:line="176" w:lineRule="exact"/>
        <w:rPr>
          <w:rFonts w:ascii="Arial" w:cs="Arial" w:eastAsia="Arial" w:hAnsi="Arial"/>
          <w:sz w:val="20"/>
          <w:szCs w:val="20"/>
          <w:b w:val="1"/>
          <w:bCs w:val="1"/>
          <w:color w:val="auto"/>
        </w:rPr>
      </w:pPr>
    </w:p>
    <w:p>
      <w:pPr>
        <w:jc w:val="both"/>
        <w:ind w:firstLine="8"/>
        <w:spacing w:after="0" w:line="288" w:lineRule="auto"/>
        <w:tabs>
          <w:tab w:leader="none" w:pos="639"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Delivery of Documents and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document relating to participating in the Plan and/or notice required or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will be given in writing and will be deemed effectively given (except to the extent that this Agreement provides for effectiveness only upon actual receipt of such notice) upon personal delivery, electronic delivery or deposit in the U.S. Post Office or foreign postal service, by registered or certified mail, with postage and fees prepaid, addressed to the other party at the e-mail address, if any, provided for Participant by the Company or at such other address as such party may designate in writing from time to time to the other party.</w:t>
      </w:r>
    </w:p>
    <w:p>
      <w:pPr>
        <w:spacing w:after="0" w:line="162" w:lineRule="exact"/>
        <w:rPr>
          <w:rFonts w:ascii="Arial" w:cs="Arial" w:eastAsia="Arial" w:hAnsi="Arial"/>
          <w:sz w:val="18"/>
          <w:szCs w:val="18"/>
          <w:b w:val="1"/>
          <w:bCs w:val="1"/>
          <w:color w:val="auto"/>
        </w:rPr>
      </w:pPr>
    </w:p>
    <w:p>
      <w:pPr>
        <w:jc w:val="both"/>
        <w:ind w:firstLine="8"/>
        <w:spacing w:after="0" w:line="253" w:lineRule="auto"/>
        <w:tabs>
          <w:tab w:leader="none" w:pos="639" w:val="left"/>
        </w:tabs>
        <w:numPr>
          <w:ilvl w:val="0"/>
          <w:numId w:val="5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 Subject to Company Clawback or Recoupment</w:t>
      </w:r>
      <w:r>
        <w:rPr>
          <w:rFonts w:ascii="Arial" w:cs="Arial" w:eastAsia="Arial" w:hAnsi="Arial"/>
          <w:sz w:val="20"/>
          <w:szCs w:val="20"/>
          <w:color w:val="auto"/>
        </w:rPr>
        <w:t>. To the extent permitted by applicable law, RSUs will be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clawback or recoupment pursuant to any compensation clawback or recoupment policy adopted by the Board or the Committee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w:t>
      </w:r>
    </w:p>
    <w:p>
      <w:pPr>
        <w:spacing w:after="0" w:line="19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BY ACCEPTING THIS AWARD OF RSUS, PARTICIPANT AGREES TO ALL OF THE TERMS AND CONDITIONS DESCRIBED ABOVE AND IN THE PLAN.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GENEDX HOLDINGS CORP.</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EMPLOYEE STOCK PURCHASE PLAN</w:t>
      </w:r>
    </w:p>
    <w:p>
      <w:pPr>
        <w:spacing w:after="0" w:line="148" w:lineRule="exact"/>
        <w:rPr>
          <w:sz w:val="20"/>
          <w:szCs w:val="20"/>
          <w:color w:val="auto"/>
        </w:rPr>
      </w:pPr>
    </w:p>
    <w:p>
      <w:pPr>
        <w:jc w:val="both"/>
        <w:ind w:firstLine="656"/>
        <w:spacing w:after="0" w:line="258" w:lineRule="auto"/>
        <w:tabs>
          <w:tab w:leader="none" w:pos="1021"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w:t>
      </w:r>
      <w:r>
        <w:rPr>
          <w:rFonts w:ascii="Arial" w:cs="Arial" w:eastAsia="Arial" w:hAnsi="Arial"/>
          <w:sz w:val="20"/>
          <w:szCs w:val="20"/>
          <w:color w:val="auto"/>
        </w:rPr>
        <w:t>GeneDx Holdings Corp. adopted the Plan effective as of the Effective Date. The purpose of this Plan is to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eligible employees of the Company and the Participating Corporations with a means of acquiring an equity interest in the Company, to enhance such employees’ sense of participation in the affairs of the Company. Capitalized terms not defined elsewhere in the text are defined in Section 28.</w:t>
      </w:r>
    </w:p>
    <w:p>
      <w:pPr>
        <w:spacing w:after="0" w:line="131" w:lineRule="exact"/>
        <w:rPr>
          <w:rFonts w:ascii="Arial" w:cs="Arial" w:eastAsia="Arial" w:hAnsi="Arial"/>
          <w:sz w:val="20"/>
          <w:szCs w:val="20"/>
          <w:b w:val="1"/>
          <w:bCs w:val="1"/>
          <w:color w:val="auto"/>
        </w:rPr>
      </w:pPr>
    </w:p>
    <w:p>
      <w:pPr>
        <w:jc w:val="both"/>
        <w:ind w:firstLine="656"/>
        <w:spacing w:after="0" w:line="283" w:lineRule="auto"/>
        <w:tabs>
          <w:tab w:leader="none" w:pos="11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OF PLAN. </w:t>
      </w:r>
      <w:r>
        <w:rPr>
          <w:rFonts w:ascii="Arial" w:cs="Arial" w:eastAsia="Arial" w:hAnsi="Arial"/>
          <w:sz w:val="18"/>
          <w:szCs w:val="18"/>
          <w:color w:val="auto"/>
        </w:rPr>
        <w:t>The Company proposes to grant rights to purchase shares of Common Stock to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and its Participating Corporations pursuant to this Plan. The Company intends this Plan to qualify as an “employee stock purchase plan” under Section 423 of the Code (including any amendments to or replacements of such Section), and this Plan shall be so construed, although the Company makes no undertaking or representation to maintain such qualification. Any term not expressly defined in this Plan but defined for purposes of Section 423 of the Code shall have the same definition herein. In addition, with regard to offers of options to purchase shares of Common Stock under the Plan to employees working for a Subsidiary or an Affiliate outside the United States, this Plan authorizes the grant of options under a Non-Section 423 Component that is not intended to meet Section 423 requirements, provided, to the extent necessary under Section 423 of the Code, the other terms and conditions of the Plan are met.</w:t>
      </w:r>
    </w:p>
    <w:p>
      <w:pPr>
        <w:spacing w:after="0" w:line="1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Subject to Section 14, a total of 4,804,011 shares of Common Stock are reserved for issuance under this Plan. In addition, on each January 1 of each of 2022 through 2031, the aggregate number of shares of Common Stock reserved for issuance under the Plan shall be increased automatically by the number of shares equal to one percent (1%) of the total number of shares of all classes of Common Stock issued and outstanding on the immediately preceding December 31 (rounded down to the nearest whole share);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Board or the Committee may in its sole discretion reduce the amount of the increase in any particular year. Subject to Section 14, no more than 48,040,110 shares of Common Stock may be issued over the term of this Plan. The number of shares initially reserved for issuance under this Plan and the maximum number of shares that may be issued under this Plan shall be subject to adjustments effected in accordance with Section 14. Any or all such shares may be granted under the Section 423 Component.</w:t>
      </w:r>
    </w:p>
    <w:p>
      <w:pPr>
        <w:spacing w:after="0" w:line="130" w:lineRule="exact"/>
        <w:rPr>
          <w:sz w:val="20"/>
          <w:szCs w:val="20"/>
          <w:color w:val="auto"/>
        </w:rPr>
      </w:pPr>
    </w:p>
    <w:p>
      <w:pPr>
        <w:jc w:val="both"/>
        <w:ind w:firstLine="656"/>
        <w:spacing w:after="0" w:line="280" w:lineRule="auto"/>
        <w:tabs>
          <w:tab w:leader="none" w:pos="1145"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Plan will be administered by the Committee. Subject to the provisions of this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of Section 423 of the Code or any successor provision in the Code, all questions of interpretation or application of this Plan shall be determined by the Committee and its decisions shall be final and binding upon all eligible employees and Participants. The Committee will have full and exclusive discretionary authority to construe, interpret and apply the terms of the Plan, to determine eligibility, to designate the Participating Corporations, to determine whether Participating Corporations shall participate in the Section 423 Component or Non-Section 423 Component and to decide upon any and all claims filed under the Plan. Every finding, decision and determination made by the Committee will, to the full extent permitted by law, be final and binding upon all parties. Notwithstanding any provision to the contrary in this Plan, the Committee may adopt rules, sub-plans, and/or procedures relating to the operation and administration of the Plan designed to comply with local laws, regulations or customs or to achieve tax, securities law or other objectives for eligible employees outside of the United States. The Committee will have the authority to determine the Fair Market Value of the Common Stock (which determination shall be final, binding and conclusive for all purposes) in accordance with Section 8 below and to interpret Section 8 of the Plan in connection with circumstances that impact the Fair Market Value. Members of the Committee shall receive no compensation for their services in connection with the administration of this Plan, other than standard fees as established from</w:t>
      </w:r>
    </w:p>
    <w:p>
      <w:pPr>
        <w:sectPr>
          <w:pgSz w:w="11900" w:h="16838" w:orient="portrait"/>
          <w:cols w:equalWidth="0" w:num="1">
            <w:col w:w="11240"/>
          </w:cols>
          <w:pgMar w:left="320" w:top="121" w:right="339" w:bottom="1440" w:gutter="0" w:footer="0" w:header="0"/>
        </w:sectPr>
      </w:pPr>
    </w:p>
    <w:bookmarkStart w:id="53" w:name="page54"/>
    <w:bookmarkEnd w:id="53"/>
    <w:p>
      <w:pPr>
        <w:jc w:val="both"/>
        <w:spacing w:after="0" w:line="264" w:lineRule="auto"/>
        <w:rPr>
          <w:sz w:val="20"/>
          <w:szCs w:val="20"/>
          <w:color w:val="auto"/>
        </w:rPr>
      </w:pPr>
      <w:r>
        <w:rPr>
          <w:rFonts w:ascii="Arial" w:cs="Arial" w:eastAsia="Arial" w:hAnsi="Arial"/>
          <w:sz w:val="19"/>
          <w:szCs w:val="19"/>
          <w:color w:val="auto"/>
        </w:rPr>
        <w:t>time to time by the Board for services rendered by Board members serving on Board committees. All expenses incurred in connection with the administration of this Plan shall be paid by the Company. For purposes of this Plan, the Committee may designate separate offerings under the Plan (the terms of which need not be identical) in which eligible employees of one or more Participating Corporations will participate, and the provisions of the Plan will separately apply to each such separate offering even if the dates of the applicable Offering Periods of each such offering are identical. To the extent permitted by Section 423 of the Code, the terms of each separate offering under the Plan need not be identical, provided that the rights and privileges established with respect to a particular offering are applied in an identical manner to all employees of every Participating Corporation whose employees are granted options under that particular offering. The Committee may establish rules to govern the terms of the Plan and the offering that will apply to Participants who transfer employment between the Company and Participating Corporations or between Participating Corporations, in accordance with requirements under Section 423 of the Code to the extent applicable.</w:t>
      </w:r>
    </w:p>
    <w:p>
      <w:pPr>
        <w:spacing w:after="0" w:line="129" w:lineRule="exact"/>
        <w:rPr>
          <w:sz w:val="20"/>
          <w:szCs w:val="20"/>
          <w:color w:val="auto"/>
        </w:rPr>
      </w:pPr>
    </w:p>
    <w:p>
      <w:pPr>
        <w:ind w:left="1000" w:hanging="344"/>
        <w:spacing w:after="0"/>
        <w:tabs>
          <w:tab w:leader="none" w:pos="100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ELIGIBILITY.</w:t>
      </w:r>
    </w:p>
    <w:p>
      <w:pPr>
        <w:spacing w:after="0" w:line="181" w:lineRule="exact"/>
        <w:rPr>
          <w:rFonts w:ascii="Arial" w:cs="Arial" w:eastAsia="Arial" w:hAnsi="Arial"/>
          <w:sz w:val="20"/>
          <w:szCs w:val="20"/>
          <w:b w:val="1"/>
          <w:bCs w:val="1"/>
          <w:color w:val="auto"/>
        </w:rPr>
      </w:pPr>
    </w:p>
    <w:p>
      <w:pPr>
        <w:jc w:val="both"/>
        <w:ind w:firstLine="1304"/>
        <w:spacing w:after="0" w:line="257" w:lineRule="auto"/>
        <w:tabs>
          <w:tab w:leader="none" w:pos="1749" w:val="left"/>
        </w:tabs>
        <w:numPr>
          <w:ilvl w:val="1"/>
          <w:numId w:val="62"/>
        </w:numPr>
        <w:rPr>
          <w:rFonts w:ascii="Arial" w:cs="Arial" w:eastAsia="Arial" w:hAnsi="Arial"/>
          <w:sz w:val="20"/>
          <w:szCs w:val="20"/>
          <w:color w:val="auto"/>
        </w:rPr>
      </w:pPr>
      <w:r>
        <w:rPr>
          <w:rFonts w:ascii="Arial" w:cs="Arial" w:eastAsia="Arial" w:hAnsi="Arial"/>
          <w:sz w:val="20"/>
          <w:szCs w:val="20"/>
          <w:color w:val="auto"/>
        </w:rPr>
        <w:t>Any employee of the Company or the Participating Corporations is eligible to participate in an Offering Period under this Plan, except that one or more of the following categories of employees may be excluded from coverage under the Plan by the Committee (other than where such exclusion is prohibited by applicable law):</w:t>
      </w:r>
    </w:p>
    <w:p>
      <w:pPr>
        <w:spacing w:after="0" w:line="125" w:lineRule="exact"/>
        <w:rPr>
          <w:rFonts w:ascii="Arial" w:cs="Arial" w:eastAsia="Arial" w:hAnsi="Arial"/>
          <w:sz w:val="20"/>
          <w:szCs w:val="20"/>
          <w:color w:val="auto"/>
        </w:rPr>
      </w:pPr>
    </w:p>
    <w:p>
      <w:pPr>
        <w:ind w:firstLine="1304"/>
        <w:spacing w:after="0" w:line="274" w:lineRule="auto"/>
        <w:tabs>
          <w:tab w:leader="none" w:pos="1843" w:val="left"/>
        </w:tabs>
        <w:numPr>
          <w:ilvl w:val="1"/>
          <w:numId w:val="62"/>
        </w:numPr>
        <w:rPr>
          <w:rFonts w:ascii="Arial" w:cs="Arial" w:eastAsia="Arial" w:hAnsi="Arial"/>
          <w:sz w:val="20"/>
          <w:szCs w:val="20"/>
          <w:color w:val="auto"/>
        </w:rPr>
      </w:pPr>
      <w:r>
        <w:rPr>
          <w:rFonts w:ascii="Arial" w:cs="Arial" w:eastAsia="Arial" w:hAnsi="Arial"/>
          <w:sz w:val="20"/>
          <w:szCs w:val="20"/>
          <w:color w:val="auto"/>
        </w:rPr>
        <w:t>employees who do not meet eligibility requirements that the Committee may choose to impose (within the limits permitted by the Code);</w:t>
      </w:r>
    </w:p>
    <w:p>
      <w:pPr>
        <w:spacing w:after="0" w:line="122" w:lineRule="exact"/>
        <w:rPr>
          <w:rFonts w:ascii="Arial" w:cs="Arial" w:eastAsia="Arial" w:hAnsi="Arial"/>
          <w:sz w:val="20"/>
          <w:szCs w:val="20"/>
          <w:color w:val="auto"/>
        </w:rPr>
      </w:pPr>
    </w:p>
    <w:p>
      <w:pPr>
        <w:ind w:firstLine="1304"/>
        <w:spacing w:after="0" w:line="260" w:lineRule="auto"/>
        <w:tabs>
          <w:tab w:leader="none" w:pos="1845" w:val="left"/>
        </w:tabs>
        <w:numPr>
          <w:ilvl w:val="1"/>
          <w:numId w:val="62"/>
        </w:numPr>
        <w:rPr>
          <w:rFonts w:ascii="Arial" w:cs="Arial" w:eastAsia="Arial" w:hAnsi="Arial"/>
          <w:sz w:val="20"/>
          <w:szCs w:val="20"/>
          <w:color w:val="auto"/>
        </w:rPr>
      </w:pPr>
      <w:r>
        <w:rPr>
          <w:rFonts w:ascii="Arial" w:cs="Arial" w:eastAsia="Arial" w:hAnsi="Arial"/>
          <w:sz w:val="20"/>
          <w:szCs w:val="20"/>
          <w:color w:val="auto"/>
        </w:rPr>
        <w:t>employees who are not employed by the Company or a Participating Corporation prior to the beginning of such Offering Period or prior to such other time period as specified by the Committee;</w:t>
      </w:r>
    </w:p>
    <w:p>
      <w:pPr>
        <w:spacing w:after="0" w:line="136" w:lineRule="exact"/>
        <w:rPr>
          <w:rFonts w:ascii="Arial" w:cs="Arial" w:eastAsia="Arial" w:hAnsi="Arial"/>
          <w:sz w:val="20"/>
          <w:szCs w:val="20"/>
          <w:color w:val="auto"/>
        </w:rPr>
      </w:pPr>
    </w:p>
    <w:p>
      <w:pPr>
        <w:ind w:left="1740" w:hanging="436"/>
        <w:spacing w:after="0"/>
        <w:tabs>
          <w:tab w:leader="none" w:pos="1740" w:val="left"/>
        </w:tabs>
        <w:numPr>
          <w:ilvl w:val="1"/>
          <w:numId w:val="62"/>
        </w:numPr>
        <w:rPr>
          <w:rFonts w:ascii="Arial" w:cs="Arial" w:eastAsia="Arial" w:hAnsi="Arial"/>
          <w:sz w:val="20"/>
          <w:szCs w:val="20"/>
          <w:color w:val="auto"/>
        </w:rPr>
      </w:pPr>
      <w:r>
        <w:rPr>
          <w:rFonts w:ascii="Arial" w:cs="Arial" w:eastAsia="Arial" w:hAnsi="Arial"/>
          <w:sz w:val="20"/>
          <w:szCs w:val="20"/>
          <w:color w:val="auto"/>
        </w:rPr>
        <w:t>employees who are customarily employed for twenty (20) or less hours per week;</w:t>
      </w:r>
    </w:p>
    <w:p>
      <w:pPr>
        <w:spacing w:after="0" w:line="161" w:lineRule="exact"/>
        <w:rPr>
          <w:rFonts w:ascii="Arial" w:cs="Arial" w:eastAsia="Arial" w:hAnsi="Arial"/>
          <w:sz w:val="20"/>
          <w:szCs w:val="20"/>
          <w:color w:val="auto"/>
        </w:rPr>
      </w:pPr>
    </w:p>
    <w:p>
      <w:pPr>
        <w:ind w:left="1720" w:hanging="416"/>
        <w:spacing w:after="0"/>
        <w:tabs>
          <w:tab w:leader="none" w:pos="17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employees who are customarily employed for five (5) months or less in a calendar year;</w:t>
      </w:r>
    </w:p>
    <w:p>
      <w:pPr>
        <w:spacing w:after="0" w:line="175" w:lineRule="exact"/>
        <w:rPr>
          <w:rFonts w:ascii="Arial" w:cs="Arial" w:eastAsia="Arial" w:hAnsi="Arial"/>
          <w:sz w:val="20"/>
          <w:szCs w:val="20"/>
          <w:color w:val="auto"/>
        </w:rPr>
      </w:pPr>
    </w:p>
    <w:p>
      <w:pPr>
        <w:jc w:val="both"/>
        <w:ind w:firstLine="1304"/>
        <w:spacing w:after="0" w:line="277" w:lineRule="auto"/>
        <w:tabs>
          <w:tab w:leader="none" w:pos="1737" w:val="left"/>
        </w:tabs>
        <w:numPr>
          <w:ilvl w:val="1"/>
          <w:numId w:val="62"/>
        </w:numPr>
        <w:rPr>
          <w:rFonts w:ascii="Arial" w:cs="Arial" w:eastAsia="Arial" w:hAnsi="Arial"/>
          <w:sz w:val="19"/>
          <w:szCs w:val="19"/>
          <w:color w:val="auto"/>
        </w:rPr>
      </w:pPr>
      <w:r>
        <w:rPr>
          <w:rFonts w:ascii="Arial" w:cs="Arial" w:eastAsia="Arial" w:hAnsi="Arial"/>
          <w:sz w:val="19"/>
          <w:szCs w:val="19"/>
          <w:color w:val="auto"/>
        </w:rPr>
        <w:t>(i) employees who are “highly compensated employees” of the Company or any Participating Corporation (within the meaning of Section 414(q) of the Code), or (ii) any employees who are “highly compensated employees” with compensation above a specified level, who is an officer and/or is subject to the disclosure requirements of Section 16(a) of the Exchange Act;</w:t>
      </w:r>
    </w:p>
    <w:p>
      <w:pPr>
        <w:spacing w:after="0" w:line="120" w:lineRule="exact"/>
        <w:rPr>
          <w:rFonts w:ascii="Arial" w:cs="Arial" w:eastAsia="Arial" w:hAnsi="Arial"/>
          <w:sz w:val="19"/>
          <w:szCs w:val="19"/>
          <w:color w:val="auto"/>
        </w:rPr>
      </w:pPr>
    </w:p>
    <w:p>
      <w:pPr>
        <w:jc w:val="both"/>
        <w:ind w:firstLine="1304"/>
        <w:spacing w:after="0" w:line="251" w:lineRule="auto"/>
        <w:tabs>
          <w:tab w:leader="none" w:pos="1725" w:val="left"/>
        </w:tabs>
        <w:numPr>
          <w:ilvl w:val="1"/>
          <w:numId w:val="62"/>
        </w:numPr>
        <w:rPr>
          <w:rFonts w:ascii="Arial" w:cs="Arial" w:eastAsia="Arial" w:hAnsi="Arial"/>
          <w:sz w:val="20"/>
          <w:szCs w:val="20"/>
          <w:color w:val="auto"/>
        </w:rPr>
      </w:pPr>
      <w:r>
        <w:rPr>
          <w:rFonts w:ascii="Arial" w:cs="Arial" w:eastAsia="Arial" w:hAnsi="Arial"/>
          <w:sz w:val="20"/>
          <w:szCs w:val="20"/>
          <w:color w:val="auto"/>
        </w:rPr>
        <w:t>employees who are citizens or residents of a foreign jurisdiction (without regard to whether they are also a citizen of the United States or a resident alien (within the meaning of Section 7701(b)(1)(A) of the Code)) if either (i) such employee’s participation is prohibited under the laws of the jurisdiction governing such employee, or (ii) compliance with the laws of the foreign jurisdiction would violate the requirements of Section 423 of the Code; and</w:t>
      </w:r>
    </w:p>
    <w:p>
      <w:pPr>
        <w:spacing w:after="0" w:line="144" w:lineRule="exact"/>
        <w:rPr>
          <w:rFonts w:ascii="Arial" w:cs="Arial" w:eastAsia="Arial" w:hAnsi="Arial"/>
          <w:sz w:val="20"/>
          <w:szCs w:val="20"/>
          <w:color w:val="auto"/>
        </w:rPr>
      </w:pPr>
    </w:p>
    <w:p>
      <w:pPr>
        <w:ind w:firstLine="1304"/>
        <w:spacing w:after="0" w:line="274" w:lineRule="auto"/>
        <w:tabs>
          <w:tab w:leader="none" w:pos="1843" w:val="left"/>
        </w:tabs>
        <w:numPr>
          <w:ilvl w:val="1"/>
          <w:numId w:val="62"/>
        </w:numPr>
        <w:rPr>
          <w:rFonts w:ascii="Arial" w:cs="Arial" w:eastAsia="Arial" w:hAnsi="Arial"/>
          <w:sz w:val="20"/>
          <w:szCs w:val="20"/>
          <w:color w:val="auto"/>
        </w:rPr>
      </w:pPr>
      <w:r>
        <w:rPr>
          <w:rFonts w:ascii="Arial" w:cs="Arial" w:eastAsia="Arial" w:hAnsi="Arial"/>
          <w:sz w:val="20"/>
          <w:szCs w:val="20"/>
          <w:color w:val="auto"/>
        </w:rPr>
        <w:t>individuals who provide services to the Company or any of its Participating Corporations who are reclassified as common law employees for any reason except for federal income and employment tax purposes.</w:t>
      </w:r>
    </w:p>
    <w:p>
      <w:pPr>
        <w:spacing w:after="0" w:line="109"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The foregoing notwithstanding, an individual shall not be eligible if his or her participation in the Plan is prohibited by the law of any country that has jurisdiction over him or her, if complying with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240"/>
          </w:cols>
          <w:pgMar w:left="320" w:top="1419" w:right="339" w:bottom="1440" w:gutter="0" w:footer="0" w:header="0"/>
        </w:sectPr>
      </w:pPr>
    </w:p>
    <w:bookmarkStart w:id="54" w:name="page55"/>
    <w:bookmarkEnd w:id="54"/>
    <w:p>
      <w:pPr>
        <w:spacing w:after="0" w:line="274" w:lineRule="auto"/>
        <w:rPr>
          <w:sz w:val="20"/>
          <w:szCs w:val="20"/>
          <w:color w:val="auto"/>
        </w:rPr>
      </w:pPr>
      <w:r>
        <w:rPr>
          <w:rFonts w:ascii="Arial" w:cs="Arial" w:eastAsia="Arial" w:hAnsi="Arial"/>
          <w:sz w:val="20"/>
          <w:szCs w:val="20"/>
          <w:color w:val="auto"/>
        </w:rPr>
        <w:t>the applicable country would cause the Plan to violate Section 423 of the Code, or if he or she is subject to a collective bargaining agreement that does not provide for participation in the Plan.</w:t>
      </w:r>
    </w:p>
    <w:p>
      <w:pPr>
        <w:spacing w:after="0" w:line="109" w:lineRule="exact"/>
        <w:rPr>
          <w:sz w:val="20"/>
          <w:szCs w:val="20"/>
          <w:color w:val="auto"/>
        </w:rPr>
      </w:pPr>
    </w:p>
    <w:p>
      <w:pPr>
        <w:jc w:val="both"/>
        <w:ind w:firstLine="1304"/>
        <w:spacing w:after="0" w:line="284" w:lineRule="auto"/>
        <w:tabs>
          <w:tab w:leader="none" w:pos="1794" w:val="left"/>
        </w:tabs>
        <w:numPr>
          <w:ilvl w:val="1"/>
          <w:numId w:val="63"/>
        </w:numPr>
        <w:rPr>
          <w:rFonts w:ascii="Arial" w:cs="Arial" w:eastAsia="Arial" w:hAnsi="Arial"/>
          <w:sz w:val="18"/>
          <w:szCs w:val="18"/>
          <w:color w:val="auto"/>
        </w:rPr>
      </w:pPr>
      <w:r>
        <w:rPr>
          <w:rFonts w:ascii="Arial" w:cs="Arial" w:eastAsia="Arial" w:hAnsi="Arial"/>
          <w:sz w:val="18"/>
          <w:szCs w:val="18"/>
          <w:color w:val="auto"/>
        </w:rPr>
        <w:t>No employee who, together with any other person whose stock would be attributed to such employee pursuant to Section 424(d) of the Code, owns stock or holds options to purchase stock possessing five percent (5%) or more of the total combined voting power or value of all classes of stock of the Company or its Parent or Subsidiary or who, as a result of being granted an option under this Plan with respect to such Offering Period, would own stock or hold options to purchase stock possessing five percent (5%) or more of the total combined voting power or value of all classes of stock of the Company or its Parent or Subsidiary shall be granted an option to purchase Common Stock under the Plan. Notwithstanding the foregoing, the rules of Section 424(d) of the Code shall apply in determining share ownership and the extent to which shares held under outstanding equity awards are to be treated as owned by the employee.</w:t>
      </w:r>
    </w:p>
    <w:p>
      <w:pPr>
        <w:spacing w:after="0" w:line="101" w:lineRule="exact"/>
        <w:rPr>
          <w:rFonts w:ascii="Arial" w:cs="Arial" w:eastAsia="Arial" w:hAnsi="Arial"/>
          <w:sz w:val="18"/>
          <w:szCs w:val="18"/>
          <w:color w:val="auto"/>
        </w:rPr>
      </w:pPr>
    </w:p>
    <w:p>
      <w:pPr>
        <w:ind w:left="1000" w:hanging="344"/>
        <w:spacing w:after="0"/>
        <w:tabs>
          <w:tab w:leader="none" w:pos="100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OFFERING DATES.</w:t>
      </w:r>
    </w:p>
    <w:p>
      <w:pPr>
        <w:spacing w:after="0" w:line="181" w:lineRule="exact"/>
        <w:rPr>
          <w:rFonts w:ascii="Arial" w:cs="Arial" w:eastAsia="Arial" w:hAnsi="Arial"/>
          <w:sz w:val="20"/>
          <w:szCs w:val="20"/>
          <w:b w:val="1"/>
          <w:bCs w:val="1"/>
          <w:color w:val="auto"/>
        </w:rPr>
      </w:pPr>
    </w:p>
    <w:p>
      <w:pPr>
        <w:jc w:val="both"/>
        <w:ind w:firstLine="1304"/>
        <w:spacing w:after="0" w:line="257" w:lineRule="auto"/>
        <w:tabs>
          <w:tab w:leader="none" w:pos="1752" w:val="left"/>
        </w:tabs>
        <w:numPr>
          <w:ilvl w:val="1"/>
          <w:numId w:val="64"/>
        </w:numPr>
        <w:rPr>
          <w:rFonts w:ascii="Arial" w:cs="Arial" w:eastAsia="Arial" w:hAnsi="Arial"/>
          <w:sz w:val="20"/>
          <w:szCs w:val="20"/>
          <w:color w:val="auto"/>
        </w:rPr>
      </w:pPr>
      <w:r>
        <w:rPr>
          <w:rFonts w:ascii="Arial" w:cs="Arial" w:eastAsia="Arial" w:hAnsi="Arial"/>
          <w:sz w:val="20"/>
          <w:szCs w:val="20"/>
          <w:color w:val="auto"/>
        </w:rPr>
        <w:t>Each Offering Period of this Plan may be of up to twenty-seven (27) months duration and shall commence and end at the times designated by the Committee. Each Offering Period shall consist of one or more Purchase Periods during which Contributions made by Participants are accumulated under this Plan.</w:t>
      </w:r>
    </w:p>
    <w:p>
      <w:pPr>
        <w:spacing w:after="0" w:line="132" w:lineRule="exact"/>
        <w:rPr>
          <w:rFonts w:ascii="Arial" w:cs="Arial" w:eastAsia="Arial" w:hAnsi="Arial"/>
          <w:sz w:val="20"/>
          <w:szCs w:val="20"/>
          <w:color w:val="auto"/>
        </w:rPr>
      </w:pPr>
    </w:p>
    <w:p>
      <w:pPr>
        <w:ind w:left="1000" w:hanging="344"/>
        <w:spacing w:after="0"/>
        <w:tabs>
          <w:tab w:leader="none" w:pos="100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PARTICIPATION IN THIS PLAN.</w:t>
      </w:r>
    </w:p>
    <w:p>
      <w:pPr>
        <w:spacing w:after="0" w:line="167" w:lineRule="exact"/>
        <w:rPr>
          <w:rFonts w:ascii="Arial" w:cs="Arial" w:eastAsia="Arial" w:hAnsi="Arial"/>
          <w:sz w:val="20"/>
          <w:szCs w:val="20"/>
          <w:b w:val="1"/>
          <w:bCs w:val="1"/>
          <w:color w:val="auto"/>
        </w:rPr>
      </w:pPr>
    </w:p>
    <w:p>
      <w:pPr>
        <w:ind w:firstLine="1304"/>
        <w:spacing w:after="0" w:line="274" w:lineRule="auto"/>
        <w:tabs>
          <w:tab w:leader="none" w:pos="1757" w:val="left"/>
        </w:tabs>
        <w:numPr>
          <w:ilvl w:val="1"/>
          <w:numId w:val="64"/>
        </w:numPr>
        <w:rPr>
          <w:rFonts w:ascii="Arial" w:cs="Arial" w:eastAsia="Arial" w:hAnsi="Arial"/>
          <w:sz w:val="20"/>
          <w:szCs w:val="20"/>
          <w:color w:val="auto"/>
        </w:rPr>
      </w:pPr>
      <w:r>
        <w:rPr>
          <w:rFonts w:ascii="Arial" w:cs="Arial" w:eastAsia="Arial" w:hAnsi="Arial"/>
          <w:sz w:val="20"/>
          <w:szCs w:val="20"/>
          <w:color w:val="auto"/>
        </w:rPr>
        <w:t>Any employee who is an eligible employee determined in accordance with Section 4 will be eligible to participate in this Plan, subject to the requirement of Section 6(b) hereof and the other terms and provisions of this Plan.</w:t>
      </w:r>
    </w:p>
    <w:p>
      <w:pPr>
        <w:spacing w:after="0" w:line="122" w:lineRule="exact"/>
        <w:rPr>
          <w:rFonts w:ascii="Arial" w:cs="Arial" w:eastAsia="Arial" w:hAnsi="Arial"/>
          <w:sz w:val="20"/>
          <w:szCs w:val="20"/>
          <w:color w:val="auto"/>
        </w:rPr>
      </w:pPr>
    </w:p>
    <w:p>
      <w:pPr>
        <w:ind w:right="20" w:firstLine="1304"/>
        <w:spacing w:after="0" w:line="260" w:lineRule="auto"/>
        <w:tabs>
          <w:tab w:leader="none" w:pos="1716" w:val="left"/>
        </w:tabs>
        <w:numPr>
          <w:ilvl w:val="1"/>
          <w:numId w:val="64"/>
        </w:numPr>
        <w:rPr>
          <w:rFonts w:ascii="Arial" w:cs="Arial" w:eastAsia="Arial" w:hAnsi="Arial"/>
          <w:sz w:val="20"/>
          <w:szCs w:val="20"/>
          <w:color w:val="auto"/>
        </w:rPr>
      </w:pPr>
      <w:r>
        <w:rPr>
          <w:rFonts w:ascii="Arial" w:cs="Arial" w:eastAsia="Arial" w:hAnsi="Arial"/>
          <w:sz w:val="20"/>
          <w:szCs w:val="20"/>
          <w:color w:val="auto"/>
        </w:rPr>
        <w:t>A Participant may elect to participate in this Plan by submitting an enrollment agreement prior to the commencement of the Offering Period (on such date as the Committee may determine) to which such agreement relates.</w:t>
      </w:r>
    </w:p>
    <w:p>
      <w:pPr>
        <w:spacing w:after="0" w:line="136" w:lineRule="exact"/>
        <w:rPr>
          <w:rFonts w:ascii="Arial" w:cs="Arial" w:eastAsia="Arial" w:hAnsi="Arial"/>
          <w:sz w:val="20"/>
          <w:szCs w:val="20"/>
          <w:color w:val="auto"/>
        </w:rPr>
      </w:pPr>
    </w:p>
    <w:p>
      <w:pPr>
        <w:jc w:val="both"/>
        <w:ind w:firstLine="1304"/>
        <w:spacing w:after="0" w:line="265" w:lineRule="auto"/>
        <w:tabs>
          <w:tab w:leader="none" w:pos="1751" w:val="left"/>
        </w:tabs>
        <w:numPr>
          <w:ilvl w:val="1"/>
          <w:numId w:val="64"/>
        </w:numPr>
        <w:rPr>
          <w:rFonts w:ascii="Arial" w:cs="Arial" w:eastAsia="Arial" w:hAnsi="Arial"/>
          <w:sz w:val="19"/>
          <w:szCs w:val="19"/>
          <w:color w:val="auto"/>
        </w:rPr>
      </w:pPr>
      <w:r>
        <w:rPr>
          <w:rFonts w:ascii="Arial" w:cs="Arial" w:eastAsia="Arial" w:hAnsi="Arial"/>
          <w:sz w:val="19"/>
          <w:szCs w:val="19"/>
          <w:color w:val="auto"/>
        </w:rPr>
        <w:t>Once an employee becomes a Participant in an Offering Period, then such Participant will automatically participate in each subsequent Offering Period commencing immediately following the last day of the prior Offering Period unless the Participant withdraws or is deemed to withdraw from this Plan or terminates further participation in an Offering Period as set forth in Section 11 below. A Participant who is continuing participation pursuant to the preceding sentence is not required to file any additional enrollment agreement in order to continue participation in this Plan. A Participant who is not continuing participation pursuant to the preceding sentence is required to file an enrollment agreement prior to the commencement of the Offering Period (or such earlier date as the Committee may determine) to which such agreement relates.</w:t>
      </w:r>
    </w:p>
    <w:p>
      <w:pPr>
        <w:spacing w:after="0" w:line="127" w:lineRule="exact"/>
        <w:rPr>
          <w:rFonts w:ascii="Arial" w:cs="Arial" w:eastAsia="Arial" w:hAnsi="Arial"/>
          <w:sz w:val="19"/>
          <w:szCs w:val="19"/>
          <w:color w:val="auto"/>
        </w:rPr>
      </w:pPr>
    </w:p>
    <w:p>
      <w:pPr>
        <w:jc w:val="both"/>
        <w:ind w:firstLine="656"/>
        <w:spacing w:after="0" w:line="266" w:lineRule="auto"/>
        <w:tabs>
          <w:tab w:leader="none" w:pos="1069"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GRANT OF OPTION ON ENROLLMENT. </w:t>
      </w:r>
      <w:r>
        <w:rPr>
          <w:rFonts w:ascii="Arial" w:cs="Arial" w:eastAsia="Arial" w:hAnsi="Arial"/>
          <w:sz w:val="19"/>
          <w:szCs w:val="19"/>
          <w:color w:val="auto"/>
        </w:rPr>
        <w:t>Becoming a Participant with respect to an Offering Period will constitute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 (as of the Offering Date) by the Company to such Participant of an option to purchase on the Purchase Date up to that number of shares of Common Stock determined by a fraction, the numerator of which is the amount accumulated in such Participant’s Contribution account during such Purchase Period and the denominator of which is the lower of (i) eighty-five percent (85%) of the Fair Market Value of a share of Common Stock on the Offering Date (but in no event less than the par value of a share of the Common Stock), or (ii) eighty-five percent (85%) of the Fair Market Value of a share of the Common Stock on the Purchase Date;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the number of shares of Common Stock subject to any option granted pursuant to this Plan shall not exceed the lesser of (x) the maximum number of shares set by the Committee pursuant to Section 10(b) below with respect to</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ind w:left="5580" w:hanging="121"/>
        <w:spacing w:after="0"/>
        <w:tabs>
          <w:tab w:leader="none" w:pos="5580" w:val="left"/>
        </w:tabs>
        <w:numPr>
          <w:ilvl w:val="2"/>
          <w:numId w:val="64"/>
        </w:numPr>
        <w:rPr>
          <w:rFonts w:ascii="Arial" w:cs="Arial" w:eastAsia="Arial" w:hAnsi="Arial"/>
          <w:sz w:val="20"/>
          <w:szCs w:val="20"/>
          <w:color w:val="auto"/>
        </w:rPr>
      </w:pPr>
      <w:r>
        <w:rPr>
          <w:rFonts w:ascii="Arial" w:cs="Arial" w:eastAsia="Arial" w:hAnsi="Arial"/>
          <w:sz w:val="20"/>
          <w:szCs w:val="20"/>
          <w:color w:val="auto"/>
        </w:rPr>
        <w:t>3 -</w:t>
      </w:r>
    </w:p>
    <w:p>
      <w:pPr>
        <w:sectPr>
          <w:pgSz w:w="11900" w:h="16838" w:orient="portrait"/>
          <w:cols w:equalWidth="0" w:num="1">
            <w:col w:w="11240"/>
          </w:cols>
          <w:pgMar w:left="320" w:top="1419" w:right="339" w:bottom="1440" w:gutter="0" w:footer="0" w:header="0"/>
        </w:sectPr>
      </w:pPr>
    </w:p>
    <w:bookmarkStart w:id="55" w:name="page56"/>
    <w:bookmarkEnd w:id="55"/>
    <w:p>
      <w:pPr>
        <w:ind w:right="20"/>
        <w:spacing w:after="0" w:line="274" w:lineRule="auto"/>
        <w:rPr>
          <w:sz w:val="20"/>
          <w:szCs w:val="20"/>
          <w:color w:val="auto"/>
        </w:rPr>
      </w:pPr>
      <w:r>
        <w:rPr>
          <w:rFonts w:ascii="Arial" w:cs="Arial" w:eastAsia="Arial" w:hAnsi="Arial"/>
          <w:sz w:val="20"/>
          <w:szCs w:val="20"/>
          <w:color w:val="auto"/>
        </w:rPr>
        <w:t>the applicable Purchase Date, or (y) the maximum number of shares which may be purchased pursuant to Section 10(a) below with respect to the applicable Purchase Date.</w:t>
      </w:r>
    </w:p>
    <w:p>
      <w:pPr>
        <w:spacing w:after="0" w:line="103" w:lineRule="exact"/>
        <w:rPr>
          <w:sz w:val="20"/>
          <w:szCs w:val="20"/>
          <w:color w:val="auto"/>
        </w:rPr>
      </w:pPr>
    </w:p>
    <w:p>
      <w:pPr>
        <w:ind w:firstLine="656"/>
        <w:spacing w:after="0" w:line="281" w:lineRule="auto"/>
        <w:tabs>
          <w:tab w:leader="none" w:pos="994"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PURCHASE PRICE. </w:t>
      </w:r>
      <w:r>
        <w:rPr>
          <w:rFonts w:ascii="Arial" w:cs="Arial" w:eastAsia="Arial" w:hAnsi="Arial"/>
          <w:sz w:val="20"/>
          <w:szCs w:val="20"/>
          <w:color w:val="auto"/>
        </w:rPr>
        <w:t>The Purchase Price per share at which a share of Common Stock will be sold in any Offering Period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eighty-five percent (85%) of the lesser of:</w:t>
      </w:r>
    </w:p>
    <w:p>
      <w:pPr>
        <w:spacing w:after="0" w:line="101" w:lineRule="exact"/>
        <w:rPr>
          <w:rFonts w:ascii="Arial" w:cs="Arial" w:eastAsia="Arial" w:hAnsi="Arial"/>
          <w:sz w:val="20"/>
          <w:szCs w:val="20"/>
          <w:b w:val="1"/>
          <w:bCs w:val="1"/>
          <w:color w:val="auto"/>
        </w:rPr>
      </w:pPr>
    </w:p>
    <w:p>
      <w:pPr>
        <w:ind w:left="1720" w:hanging="416"/>
        <w:spacing w:after="0"/>
        <w:tabs>
          <w:tab w:leader="none" w:pos="17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Fair Market Value on the Offering Date; or</w:t>
      </w:r>
    </w:p>
    <w:p>
      <w:pPr>
        <w:spacing w:after="0" w:line="175" w:lineRule="exact"/>
        <w:rPr>
          <w:rFonts w:ascii="Arial" w:cs="Arial" w:eastAsia="Arial" w:hAnsi="Arial"/>
          <w:sz w:val="20"/>
          <w:szCs w:val="20"/>
          <w:color w:val="auto"/>
        </w:rPr>
      </w:pPr>
    </w:p>
    <w:p>
      <w:pPr>
        <w:ind w:left="1720" w:hanging="416"/>
        <w:spacing w:after="0"/>
        <w:tabs>
          <w:tab w:leader="none" w:pos="17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The Fair Market Value on the Purchase Date.</w:t>
      </w:r>
    </w:p>
    <w:p>
      <w:pPr>
        <w:spacing w:after="0" w:line="169" w:lineRule="exact"/>
        <w:rPr>
          <w:rFonts w:ascii="Arial" w:cs="Arial" w:eastAsia="Arial" w:hAnsi="Arial"/>
          <w:sz w:val="20"/>
          <w:szCs w:val="20"/>
          <w:color w:val="auto"/>
        </w:rPr>
      </w:pPr>
    </w:p>
    <w:p>
      <w:pPr>
        <w:ind w:left="1000" w:hanging="344"/>
        <w:spacing w:after="0"/>
        <w:tabs>
          <w:tab w:leader="none" w:pos="100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PAYMENT OF PURCHASE PRICE; CONTRIBUTION CHANGES; SHARE ISSUANCES.</w:t>
      </w:r>
    </w:p>
    <w:p>
      <w:pPr>
        <w:spacing w:after="0" w:line="167" w:lineRule="exact"/>
        <w:rPr>
          <w:rFonts w:ascii="Arial" w:cs="Arial" w:eastAsia="Arial" w:hAnsi="Arial"/>
          <w:sz w:val="20"/>
          <w:szCs w:val="20"/>
          <w:b w:val="1"/>
          <w:bCs w:val="1"/>
          <w:color w:val="auto"/>
        </w:rPr>
      </w:pPr>
    </w:p>
    <w:p>
      <w:pPr>
        <w:jc w:val="both"/>
        <w:ind w:firstLine="1304"/>
        <w:spacing w:after="0" w:line="279" w:lineRule="auto"/>
        <w:tabs>
          <w:tab w:leader="none" w:pos="1764"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Purchase Price shall be accumulated by regular payroll deductions made during each Offering Period, unless the Committee determines that contributions may be made in another form (including but not limited to with respect to categories of Participants outside the United States that Contributions may be made in another form due to local legal requirements). The Contributions are made as a percentage of the Participant’s Compensation in one percent (1%) increments not less than one percent (1%), nor greater than fifteen percent (15%) or such lower limit set by the Committee.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shall mean base salary or regular hourly wages; however, the Committee shall have discretion to adopt a definition of Compensation from time to time of all cash compensation reported on the employee's Form W-2 or corresponding local country tax return, including without limitation base salary or regular hourly wages, bonuses, incentive compensation, commissions, overtime, shift premiums, pay during leaves of absence, and draws against commissions (or in foreign jurisdictions, equivalent cash compensation). For purposes of determining a Participant’s Compensation, any election by such Participant to reduce his or her regular cash remuneration under Sections 125 or 401(k) of the Code (or in foreign jurisdictions, equivalent deductions) shall be treated as if the Participant did not make such election. Contributions shall commence on the first payday following the beginning of any Offering Period and shall continue to the end of the Offering Period unless sooner altered or terminated as provided in this Plan. Notwithstanding the foregoing, the terms of any sub-plan may permit matching shares without the payment of any purchase price.</w:t>
      </w:r>
    </w:p>
    <w:p>
      <w:pPr>
        <w:spacing w:after="0" w:line="125" w:lineRule="exact"/>
        <w:rPr>
          <w:rFonts w:ascii="Arial" w:cs="Arial" w:eastAsia="Arial" w:hAnsi="Arial"/>
          <w:sz w:val="18"/>
          <w:szCs w:val="18"/>
          <w:color w:val="auto"/>
        </w:rPr>
      </w:pPr>
    </w:p>
    <w:p>
      <w:pPr>
        <w:jc w:val="both"/>
        <w:ind w:firstLine="1304"/>
        <w:spacing w:after="0" w:line="265" w:lineRule="auto"/>
        <w:tabs>
          <w:tab w:leader="none" w:pos="1756" w:val="left"/>
        </w:tabs>
        <w:numPr>
          <w:ilvl w:val="1"/>
          <w:numId w:val="65"/>
        </w:numPr>
        <w:rPr>
          <w:rFonts w:ascii="Arial" w:cs="Arial" w:eastAsia="Arial" w:hAnsi="Arial"/>
          <w:sz w:val="19"/>
          <w:szCs w:val="19"/>
          <w:color w:val="auto"/>
        </w:rPr>
      </w:pPr>
      <w:r>
        <w:rPr>
          <w:rFonts w:ascii="Arial" w:cs="Arial" w:eastAsia="Arial" w:hAnsi="Arial"/>
          <w:sz w:val="19"/>
          <w:szCs w:val="19"/>
          <w:color w:val="auto"/>
        </w:rPr>
        <w:t>A Participant may decrease the rate of Contributions during an Offering Period by filing with the Company or a third party designated by the Company a new authorization for Contributions, with the new rate to become effective no later than the second payroll period commencing after the Company’s receipt of the authorization and continuing for the remainder of the Offering Period unless changed as described below. A decrease in the rate of Contributions may be made once during an Offering Period or more frequently under rules determined by the Committee. A Participant may increase or decrease the rate of Contributions for any subsequent Offering Period by filing with the Company or a third party designated by the Company a new authorization for Contributions prior to the beginning of such Offering Period, or such other time period as specified by the Committee.</w:t>
      </w:r>
    </w:p>
    <w:p>
      <w:pPr>
        <w:spacing w:after="0" w:line="133" w:lineRule="exact"/>
        <w:rPr>
          <w:rFonts w:ascii="Arial" w:cs="Arial" w:eastAsia="Arial" w:hAnsi="Arial"/>
          <w:sz w:val="19"/>
          <w:szCs w:val="19"/>
          <w:color w:val="auto"/>
        </w:rPr>
      </w:pPr>
    </w:p>
    <w:p>
      <w:pPr>
        <w:jc w:val="both"/>
        <w:ind w:firstLine="1304"/>
        <w:spacing w:after="0" w:line="252" w:lineRule="auto"/>
        <w:tabs>
          <w:tab w:leader="none" w:pos="1818" w:val="left"/>
        </w:tabs>
        <w:numPr>
          <w:ilvl w:val="1"/>
          <w:numId w:val="65"/>
        </w:numPr>
        <w:rPr>
          <w:rFonts w:ascii="Arial" w:cs="Arial" w:eastAsia="Arial" w:hAnsi="Arial"/>
          <w:sz w:val="20"/>
          <w:szCs w:val="20"/>
          <w:color w:val="auto"/>
        </w:rPr>
      </w:pPr>
      <w:r>
        <w:rPr>
          <w:rFonts w:ascii="Arial" w:cs="Arial" w:eastAsia="Arial" w:hAnsi="Arial"/>
          <w:sz w:val="20"/>
          <w:szCs w:val="20"/>
          <w:color w:val="auto"/>
        </w:rPr>
        <w:t>A Participant may reduce his or her Contribution percentage to zero during an Offering Period by filing with the Company or a third party designated by the Company a request for cessation of Contributions. Such reduction shall be effective beginning no later than the second payroll period after the Company’s receipt of the request and no further Contributions will be made for the duration of the Offering Period. Contributions credited to the Participant’s account prior to the effective date of the request shall be used to purchase shares of Common Stock in accordance with Subsection (e) below. A reduction of the Contribution percentage to zero shall be treated as such Participant’s withdrawal from such Offering Period and the Plan, effective as of the day after the next Purchase Date following the filing date of such request with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5580" w:hanging="121"/>
        <w:spacing w:after="0"/>
        <w:tabs>
          <w:tab w:leader="none" w:pos="5580" w:val="left"/>
        </w:tabs>
        <w:numPr>
          <w:ilvl w:val="2"/>
          <w:numId w:val="65"/>
        </w:numPr>
        <w:rPr>
          <w:rFonts w:ascii="Arial" w:cs="Arial" w:eastAsia="Arial" w:hAnsi="Arial"/>
          <w:sz w:val="20"/>
          <w:szCs w:val="20"/>
          <w:color w:val="auto"/>
        </w:rPr>
      </w:pPr>
      <w:r>
        <w:rPr>
          <w:rFonts w:ascii="Arial" w:cs="Arial" w:eastAsia="Arial" w:hAnsi="Arial"/>
          <w:sz w:val="20"/>
          <w:szCs w:val="20"/>
          <w:color w:val="auto"/>
        </w:rPr>
        <w:t>4 -</w:t>
      </w:r>
    </w:p>
    <w:p>
      <w:pPr>
        <w:sectPr>
          <w:pgSz w:w="11900" w:h="16838" w:orient="portrait"/>
          <w:cols w:equalWidth="0" w:num="1">
            <w:col w:w="11240"/>
          </w:cols>
          <w:pgMar w:left="320" w:top="1419" w:right="339" w:bottom="1440" w:gutter="0" w:footer="0" w:header="0"/>
        </w:sectPr>
      </w:pPr>
    </w:p>
    <w:bookmarkStart w:id="56" w:name="page57"/>
    <w:bookmarkEnd w:id="56"/>
    <w:p>
      <w:pPr>
        <w:jc w:val="both"/>
        <w:ind w:left="-1120" w:firstLine="1304"/>
        <w:spacing w:after="0" w:line="286" w:lineRule="auto"/>
        <w:tabs>
          <w:tab w:leader="none" w:pos="6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All Contributions made for a Participant are credited to his or her book account under this Plan and are deposited with the general funds of the Company, except to the extent local legal restrictions outside the United States require segregation of such Contributions. No interest accrues on the Contributions, except to the extent required due to local legal requirements. All Contributions received or held by the Company may be used by the Company for any corporate purpose, and the Company shall not be obligated to segregate such Contributions, except to the extent necessary to comply with local legal requirements outside the United States.</w:t>
      </w:r>
    </w:p>
    <w:p>
      <w:pPr>
        <w:spacing w:after="0" w:line="116" w:lineRule="exact"/>
        <w:rPr>
          <w:rFonts w:ascii="Arial" w:cs="Arial" w:eastAsia="Arial" w:hAnsi="Arial"/>
          <w:sz w:val="18"/>
          <w:szCs w:val="18"/>
          <w:color w:val="auto"/>
        </w:rPr>
      </w:pPr>
    </w:p>
    <w:p>
      <w:pPr>
        <w:jc w:val="both"/>
        <w:ind w:left="-1120" w:firstLine="1304"/>
        <w:spacing w:after="0" w:line="278" w:lineRule="auto"/>
        <w:tabs>
          <w:tab w:leader="none" w:pos="67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each Purchase Date, so long as this Plan remains in effect and provided that the Participant has not submitted a signed and completed withdrawal form before that date which notifies the Company that the Participant wishes to withdraw from that Offering Period under this Plan and have all Contributions accumulated in the account maintained on behalf of the Participant as of that date returned to the Participant, the Company shall apply the funds then in the Participant’s account to the purchase of whole shares of Common Stock reserved under the option granted to such Participant with respect to the Offering Period to the extent that such option is exercisable on the Purchase Date. The Purchase Price per share shall be as specified in Section 8 of this Plan. Any fractional share, as calculated under this Subsection (e), shall be rounded down to the next lower whole share, unless the Committee determines with respect to all Participants that any fractional share shall be credited as a fractional share. Any amount remaining in a Participant’s account on a Purchase Date which is less than the amount necessary to purchase a full share of the Common Stock shall be carried forward without interest into the next Purchase Period; however, the Committee may from time to time provide that such amounts shall be refunded without interest (except to the extent necessary to comply with local legal requirements outside the United States). In the event that this Plan has been oversubscribed, all funds not used to purchase shares on the Purchase Date shall be returned to the Participant, without interest (except to the extent required due to local legal requirements outside the United States). No Common Stock shall be purchased on a Purchase Date on behalf of any employee whose participation in this Plan has terminated prior to such Purchase Date, except to the extent required due to local legal requirements outside the United States.</w:t>
      </w:r>
    </w:p>
    <w:p>
      <w:pPr>
        <w:spacing w:after="0" w:line="129" w:lineRule="exact"/>
        <w:rPr>
          <w:rFonts w:ascii="Arial" w:cs="Arial" w:eastAsia="Arial" w:hAnsi="Arial"/>
          <w:sz w:val="18"/>
          <w:szCs w:val="18"/>
          <w:color w:val="auto"/>
        </w:rPr>
      </w:pPr>
    </w:p>
    <w:p>
      <w:pPr>
        <w:ind w:left="-1120" w:right="20" w:firstLine="1304"/>
        <w:spacing w:after="0" w:line="260" w:lineRule="auto"/>
        <w:tabs>
          <w:tab w:leader="none" w:pos="709" w:val="left"/>
        </w:tabs>
        <w:numPr>
          <w:ilvl w:val="0"/>
          <w:numId w:val="66"/>
        </w:numPr>
        <w:rPr>
          <w:rFonts w:ascii="Arial" w:cs="Arial" w:eastAsia="Arial" w:hAnsi="Arial"/>
          <w:sz w:val="20"/>
          <w:szCs w:val="20"/>
          <w:color w:val="auto"/>
        </w:rPr>
      </w:pPr>
      <w:r>
        <w:rPr>
          <w:rFonts w:ascii="Arial" w:cs="Arial" w:eastAsia="Arial" w:hAnsi="Arial"/>
          <w:sz w:val="20"/>
          <w:szCs w:val="20"/>
          <w:color w:val="auto"/>
        </w:rPr>
        <w:t>As promptly as practicable after the Purchase Date, the Company shall issue shares for the Participant’s benefit representing the shares purchased upon exercise of his or her option.</w:t>
      </w:r>
    </w:p>
    <w:p>
      <w:pPr>
        <w:spacing w:after="0" w:line="136" w:lineRule="exact"/>
        <w:rPr>
          <w:rFonts w:ascii="Arial" w:cs="Arial" w:eastAsia="Arial" w:hAnsi="Arial"/>
          <w:sz w:val="20"/>
          <w:szCs w:val="20"/>
          <w:color w:val="auto"/>
        </w:rPr>
      </w:pPr>
    </w:p>
    <w:p>
      <w:pPr>
        <w:ind w:left="-1120" w:firstLine="1304"/>
        <w:spacing w:after="0" w:line="301" w:lineRule="auto"/>
        <w:tabs>
          <w:tab w:leader="none" w:pos="661" w:val="left"/>
        </w:tabs>
        <w:numPr>
          <w:ilvl w:val="0"/>
          <w:numId w:val="66"/>
        </w:numPr>
        <w:rPr>
          <w:rFonts w:ascii="Arial" w:cs="Arial" w:eastAsia="Arial" w:hAnsi="Arial"/>
          <w:sz w:val="19"/>
          <w:szCs w:val="19"/>
          <w:color w:val="auto"/>
        </w:rPr>
      </w:pPr>
      <w:r>
        <w:rPr>
          <w:rFonts w:ascii="Arial" w:cs="Arial" w:eastAsia="Arial" w:hAnsi="Arial"/>
          <w:sz w:val="19"/>
          <w:szCs w:val="19"/>
          <w:color w:val="auto"/>
        </w:rPr>
        <w:t>During a Participant’s lifetime, his or her option to purchase shares hereunder is exercisable only by him or her. The Participant will have no interest or voting right in shares covered by his or her option until such option has been exercised.</w:t>
      </w:r>
    </w:p>
    <w:p>
      <w:pPr>
        <w:spacing w:after="0" w:line="86" w:lineRule="exact"/>
        <w:rPr>
          <w:rFonts w:ascii="Arial" w:cs="Arial" w:eastAsia="Arial" w:hAnsi="Arial"/>
          <w:sz w:val="19"/>
          <w:szCs w:val="19"/>
          <w:color w:val="auto"/>
        </w:rPr>
      </w:pPr>
    </w:p>
    <w:p>
      <w:pPr>
        <w:jc w:val="both"/>
        <w:ind w:left="-1120" w:firstLine="1304"/>
        <w:spacing w:after="0" w:line="267" w:lineRule="auto"/>
        <w:tabs>
          <w:tab w:leader="none" w:pos="771" w:val="left"/>
        </w:tabs>
        <w:numPr>
          <w:ilvl w:val="0"/>
          <w:numId w:val="66"/>
        </w:numPr>
        <w:rPr>
          <w:rFonts w:ascii="Arial" w:cs="Arial" w:eastAsia="Arial" w:hAnsi="Arial"/>
          <w:sz w:val="19"/>
          <w:szCs w:val="19"/>
          <w:color w:val="auto"/>
        </w:rPr>
      </w:pPr>
      <w:r>
        <w:rPr>
          <w:rFonts w:ascii="Arial" w:cs="Arial" w:eastAsia="Arial" w:hAnsi="Arial"/>
          <w:sz w:val="19"/>
          <w:szCs w:val="19"/>
          <w:color w:val="auto"/>
        </w:rPr>
        <w:t>To the extent required by applicable federal, state, local or foreign law, a Participant shall make arrangements satisfactory to the Company and the Participating Corporation employing the Participant for the satisfaction of any withholding tax obligations that arise in connection with the Plan. The Company or any Subsidiary or Affiliate, as applicable, may withhold, by any method permissible under the applicable law, the amount necessary for the Company or Subsidiary or Affiliate, as applicable, to meet applicable withholding obligations, including any withholding required to make available to the Company or Subsidiary or Affiliate, as applicable, any tax deductions or benefits attributable to the sale or early disposition of shares of Common Stock by a Participant. The Company shall not be required to issue any shares of Common Stock under the Plan until such obligations are satisfied.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1" w:lineRule="exact"/>
        <w:rPr>
          <w:rFonts w:ascii="Arial" w:cs="Arial" w:eastAsia="Arial" w:hAnsi="Arial"/>
          <w:sz w:val="19"/>
          <w:szCs w:val="19"/>
          <w:color w:val="auto"/>
        </w:rPr>
      </w:pPr>
    </w:p>
    <w:p>
      <w:pPr>
        <w:ind w:left="4460" w:hanging="121"/>
        <w:spacing w:after="0"/>
        <w:tabs>
          <w:tab w:leader="none" w:pos="4460" w:val="left"/>
        </w:tabs>
        <w:numPr>
          <w:ilvl w:val="1"/>
          <w:numId w:val="66"/>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0120"/>
          </w:cols>
          <w:pgMar w:left="1440" w:top="1419" w:right="339" w:bottom="1440" w:gutter="0" w:footer="0" w:header="0"/>
        </w:sectPr>
      </w:pPr>
    </w:p>
    <w:bookmarkStart w:id="57" w:name="page58"/>
    <w:bookmarkEnd w:id="57"/>
    <w:p>
      <w:pPr>
        <w:ind w:left="1100" w:hanging="444"/>
        <w:spacing w:after="0"/>
        <w:tabs>
          <w:tab w:leader="none" w:pos="110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LIMITATIONS ON SHARES TO BE PURCHASED.</w:t>
      </w:r>
    </w:p>
    <w:p>
      <w:pPr>
        <w:spacing w:after="0" w:line="181" w:lineRule="exact"/>
        <w:rPr>
          <w:rFonts w:ascii="Arial" w:cs="Arial" w:eastAsia="Arial" w:hAnsi="Arial"/>
          <w:sz w:val="20"/>
          <w:szCs w:val="20"/>
          <w:b w:val="1"/>
          <w:bCs w:val="1"/>
          <w:color w:val="auto"/>
        </w:rPr>
      </w:pPr>
    </w:p>
    <w:p>
      <w:pPr>
        <w:ind w:right="20" w:firstLine="1304"/>
        <w:spacing w:after="0" w:line="260" w:lineRule="auto"/>
        <w:tabs>
          <w:tab w:leader="none" w:pos="1703"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other provision of the Plan notwithstanding, no Participant shall purchase Common Stock with a Fair Market Value in excess of the following limit:</w:t>
      </w:r>
    </w:p>
    <w:p>
      <w:pPr>
        <w:spacing w:after="0" w:line="136" w:lineRule="exact"/>
        <w:rPr>
          <w:rFonts w:ascii="Arial" w:cs="Arial" w:eastAsia="Arial" w:hAnsi="Arial"/>
          <w:sz w:val="20"/>
          <w:szCs w:val="20"/>
          <w:color w:val="auto"/>
        </w:rPr>
      </w:pPr>
    </w:p>
    <w:p>
      <w:pPr>
        <w:jc w:val="both"/>
        <w:ind w:firstLine="1952"/>
        <w:spacing w:after="0" w:line="299" w:lineRule="auto"/>
        <w:tabs>
          <w:tab w:leader="none" w:pos="2329" w:val="left"/>
        </w:tabs>
        <w:numPr>
          <w:ilvl w:val="2"/>
          <w:numId w:val="67"/>
        </w:numPr>
        <w:rPr>
          <w:rFonts w:ascii="Arial" w:cs="Arial" w:eastAsia="Arial" w:hAnsi="Arial"/>
          <w:sz w:val="18"/>
          <w:szCs w:val="18"/>
          <w:color w:val="auto"/>
        </w:rPr>
      </w:pPr>
      <w:r>
        <w:rPr>
          <w:rFonts w:ascii="Arial" w:cs="Arial" w:eastAsia="Arial" w:hAnsi="Arial"/>
          <w:sz w:val="18"/>
          <w:szCs w:val="18"/>
          <w:color w:val="auto"/>
        </w:rPr>
        <w:t>In the case of Common Stock purchased during an Offering Period that commenced in the current calendar year, the limit shall be equal to (A) $25,000 minus (B) the Fair Market Value of the Common Stock that the Participant previously purchased in the current calendar year (under this Plan and all other employee stock purchase plans of the Company or any Parent or Subsidiary).</w:t>
      </w:r>
    </w:p>
    <w:p>
      <w:pPr>
        <w:spacing w:after="0" w:line="103" w:lineRule="exact"/>
        <w:rPr>
          <w:rFonts w:ascii="Arial" w:cs="Arial" w:eastAsia="Arial" w:hAnsi="Arial"/>
          <w:sz w:val="18"/>
          <w:szCs w:val="18"/>
          <w:color w:val="auto"/>
        </w:rPr>
      </w:pPr>
    </w:p>
    <w:p>
      <w:pPr>
        <w:jc w:val="both"/>
        <w:ind w:firstLine="1952"/>
        <w:spacing w:after="0" w:line="251" w:lineRule="auto"/>
        <w:tabs>
          <w:tab w:leader="none" w:pos="2523" w:val="left"/>
        </w:tabs>
        <w:numPr>
          <w:ilvl w:val="2"/>
          <w:numId w:val="67"/>
        </w:numPr>
        <w:rPr>
          <w:rFonts w:ascii="Arial" w:cs="Arial" w:eastAsia="Arial" w:hAnsi="Arial"/>
          <w:sz w:val="20"/>
          <w:szCs w:val="20"/>
          <w:color w:val="auto"/>
        </w:rPr>
      </w:pPr>
      <w:r>
        <w:rPr>
          <w:rFonts w:ascii="Arial" w:cs="Arial" w:eastAsia="Arial" w:hAnsi="Arial"/>
          <w:sz w:val="20"/>
          <w:szCs w:val="20"/>
          <w:color w:val="auto"/>
        </w:rPr>
        <w:t>In the case of Common Stock purchased during an Offering Period that commenced in the immediately preceding calendar year, the limit shall be equal to (A) $50,000 minus (B) the Fair Market Value of the Common Stock that the Participant previously purchased (under this Plan and all other employee stock purchase plans of the Company or any Parent or Subsidiary) in the current calendar year and in the immediately preceding calendar year.</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For purposes of this Subsection (a), the Fair Market Value of Common Stock shall be determined in each case as of the beginning of the Offering Period in which such Common Stock is purchased. Employee stock purchase plans not described in Section 423 of the Code shall be disregarded. If a Participant is precluded by this Subsection (a) from purchasing additional Common Stock under the Plan, then his or her Contributions shall automatically be discontinued and shall automatically resume at the beginning of the earliest Purchase Period that will end in the next calendar year (if he or she then is an eligible employee), provided that when the Company automatically resumes such Contributions, the Company must apply the rate in effect immediately prior to such suspension.</w:t>
      </w:r>
    </w:p>
    <w:p>
      <w:pPr>
        <w:spacing w:after="0" w:line="135" w:lineRule="exact"/>
        <w:rPr>
          <w:sz w:val="20"/>
          <w:szCs w:val="20"/>
          <w:color w:val="auto"/>
        </w:rPr>
      </w:pPr>
    </w:p>
    <w:p>
      <w:pPr>
        <w:jc w:val="both"/>
        <w:ind w:firstLine="1304"/>
        <w:spacing w:after="0" w:line="257" w:lineRule="auto"/>
        <w:tabs>
          <w:tab w:leader="none" w:pos="1729" w:val="left"/>
        </w:tabs>
        <w:numPr>
          <w:ilvl w:val="1"/>
          <w:numId w:val="68"/>
        </w:numPr>
        <w:rPr>
          <w:rFonts w:ascii="Arial" w:cs="Arial" w:eastAsia="Arial" w:hAnsi="Arial"/>
          <w:sz w:val="20"/>
          <w:szCs w:val="20"/>
          <w:color w:val="auto"/>
        </w:rPr>
      </w:pPr>
      <w:r>
        <w:rPr>
          <w:rFonts w:ascii="Arial" w:cs="Arial" w:eastAsia="Arial" w:hAnsi="Arial"/>
          <w:sz w:val="20"/>
          <w:szCs w:val="20"/>
          <w:color w:val="auto"/>
        </w:rPr>
        <w:t>In no event shall a Participant be permitted to purchase more than 2,500 shares on any one Purchase Date or such lesser number as the Committee shall determine. If a lower limit is set under this Subsection (b), then all Participants will be notified of such limit prior to the commencement of the next Offering Period for which it is to be effective.</w:t>
      </w:r>
    </w:p>
    <w:p>
      <w:pPr>
        <w:spacing w:after="0" w:line="125" w:lineRule="exact"/>
        <w:rPr>
          <w:rFonts w:ascii="Arial" w:cs="Arial" w:eastAsia="Arial" w:hAnsi="Arial"/>
          <w:sz w:val="20"/>
          <w:szCs w:val="20"/>
          <w:color w:val="auto"/>
        </w:rPr>
      </w:pPr>
    </w:p>
    <w:p>
      <w:pPr>
        <w:jc w:val="both"/>
        <w:ind w:firstLine="1304"/>
        <w:spacing w:after="0" w:line="273" w:lineRule="auto"/>
        <w:tabs>
          <w:tab w:leader="none" w:pos="1808" w:val="left"/>
        </w:tabs>
        <w:numPr>
          <w:ilvl w:val="1"/>
          <w:numId w:val="68"/>
        </w:numPr>
        <w:rPr>
          <w:rFonts w:ascii="Arial" w:cs="Arial" w:eastAsia="Arial" w:hAnsi="Arial"/>
          <w:sz w:val="19"/>
          <w:szCs w:val="19"/>
          <w:color w:val="auto"/>
        </w:rPr>
      </w:pPr>
      <w:r>
        <w:rPr>
          <w:rFonts w:ascii="Arial" w:cs="Arial" w:eastAsia="Arial" w:hAnsi="Arial"/>
          <w:sz w:val="19"/>
          <w:szCs w:val="19"/>
          <w:color w:val="auto"/>
        </w:rPr>
        <w:t>If the number of shares to be purchased on a Purchase Date by all Participants exceeds the number of shares then available for issuance under this Plan, then the Company will make a pro rata allocation of the remaining shares in as uniform a manner as shall be reasonably practicable and as the Committee shall determine to be equitable. In such event, the Company will give notice of such reduction of the number of shares to be purchased under a Participant’s option to each Participant affected.</w:t>
      </w:r>
    </w:p>
    <w:p>
      <w:pPr>
        <w:spacing w:after="0" w:line="126" w:lineRule="exact"/>
        <w:rPr>
          <w:rFonts w:ascii="Arial" w:cs="Arial" w:eastAsia="Arial" w:hAnsi="Arial"/>
          <w:sz w:val="19"/>
          <w:szCs w:val="19"/>
          <w:color w:val="auto"/>
        </w:rPr>
      </w:pPr>
    </w:p>
    <w:p>
      <w:pPr>
        <w:jc w:val="both"/>
        <w:ind w:firstLine="1304"/>
        <w:spacing w:after="0" w:line="299" w:lineRule="auto"/>
        <w:tabs>
          <w:tab w:leader="none" w:pos="172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Contributions accumulated in a Participant’s account which are not used to purchase stock due to the limitations in this Section 10, and not covered by Section 9(e), shall be returned to the Participant as soon as practicable after the end of the applicable Purchase Period, without interest (except to the extent required due to local legal requirements outside the United States).</w:t>
      </w:r>
    </w:p>
    <w:p>
      <w:pPr>
        <w:spacing w:after="0" w:line="84"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WITHDRAWAL.</w:t>
      </w:r>
    </w:p>
    <w:p>
      <w:pPr>
        <w:spacing w:after="0" w:line="181" w:lineRule="exact"/>
        <w:rPr>
          <w:rFonts w:ascii="Arial" w:cs="Arial" w:eastAsia="Arial" w:hAnsi="Arial"/>
          <w:sz w:val="20"/>
          <w:szCs w:val="20"/>
          <w:b w:val="1"/>
          <w:bCs w:val="1"/>
          <w:color w:val="auto"/>
        </w:rPr>
      </w:pPr>
    </w:p>
    <w:p>
      <w:pPr>
        <w:jc w:val="both"/>
        <w:ind w:firstLine="1304"/>
        <w:spacing w:after="0" w:line="257" w:lineRule="auto"/>
        <w:tabs>
          <w:tab w:leader="none" w:pos="1837" w:val="left"/>
        </w:tabs>
        <w:numPr>
          <w:ilvl w:val="1"/>
          <w:numId w:val="69"/>
        </w:numPr>
        <w:rPr>
          <w:rFonts w:ascii="Arial" w:cs="Arial" w:eastAsia="Arial" w:hAnsi="Arial"/>
          <w:sz w:val="20"/>
          <w:szCs w:val="20"/>
          <w:color w:val="auto"/>
        </w:rPr>
      </w:pPr>
      <w:r>
        <w:rPr>
          <w:rFonts w:ascii="Arial" w:cs="Arial" w:eastAsia="Arial" w:hAnsi="Arial"/>
          <w:sz w:val="20"/>
          <w:szCs w:val="20"/>
          <w:color w:val="auto"/>
        </w:rPr>
        <w:t>Each Participant may withdraw from an Offering Period under this Plan pursuant to a method specified for such purpose by the Company. Such withdrawal may be elected at any time prior to the end of an Offering Period, or such other time period as specified by the Committee.</w:t>
      </w:r>
    </w:p>
    <w:p>
      <w:pPr>
        <w:spacing w:after="0" w:line="138" w:lineRule="exact"/>
        <w:rPr>
          <w:rFonts w:ascii="Arial" w:cs="Arial" w:eastAsia="Arial" w:hAnsi="Arial"/>
          <w:sz w:val="20"/>
          <w:szCs w:val="20"/>
          <w:color w:val="auto"/>
        </w:rPr>
      </w:pPr>
    </w:p>
    <w:p>
      <w:pPr>
        <w:jc w:val="both"/>
        <w:ind w:firstLine="1304"/>
        <w:spacing w:after="0" w:line="299" w:lineRule="auto"/>
        <w:tabs>
          <w:tab w:leader="none" w:pos="1736" w:val="left"/>
        </w:tabs>
        <w:numPr>
          <w:ilvl w:val="1"/>
          <w:numId w:val="69"/>
        </w:numPr>
        <w:rPr>
          <w:rFonts w:ascii="Arial" w:cs="Arial" w:eastAsia="Arial" w:hAnsi="Arial"/>
          <w:sz w:val="18"/>
          <w:szCs w:val="18"/>
          <w:color w:val="auto"/>
        </w:rPr>
      </w:pPr>
      <w:r>
        <w:rPr>
          <w:rFonts w:ascii="Arial" w:cs="Arial" w:eastAsia="Arial" w:hAnsi="Arial"/>
          <w:sz w:val="18"/>
          <w:szCs w:val="18"/>
          <w:color w:val="auto"/>
        </w:rPr>
        <w:t>Upon withdrawal from this Plan, the accumulated Contributions shall be returned to the withdrawn Participant, without interest (except to the extent required due to local legal requirements outside the United States), and his or her interest in this Plan shall terminate. In the event a Participant voluntarily elects to withdraw from this Plan, he or she may not resume his or her participation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0" w:lineRule="exact"/>
        <w:rPr>
          <w:rFonts w:ascii="Arial" w:cs="Arial" w:eastAsia="Arial" w:hAnsi="Arial"/>
          <w:sz w:val="18"/>
          <w:szCs w:val="18"/>
          <w:color w:val="auto"/>
        </w:rPr>
      </w:pPr>
    </w:p>
    <w:p>
      <w:pPr>
        <w:ind w:left="5580" w:hanging="121"/>
        <w:spacing w:after="0"/>
        <w:tabs>
          <w:tab w:leader="none" w:pos="5580" w:val="left"/>
        </w:tabs>
        <w:numPr>
          <w:ilvl w:val="2"/>
          <w:numId w:val="69"/>
        </w:numPr>
        <w:rPr>
          <w:rFonts w:ascii="Arial" w:cs="Arial" w:eastAsia="Arial" w:hAnsi="Arial"/>
          <w:sz w:val="20"/>
          <w:szCs w:val="20"/>
          <w:color w:val="auto"/>
        </w:rPr>
      </w:pPr>
      <w:r>
        <w:rPr>
          <w:rFonts w:ascii="Arial" w:cs="Arial" w:eastAsia="Arial" w:hAnsi="Arial"/>
          <w:sz w:val="20"/>
          <w:szCs w:val="20"/>
          <w:color w:val="auto"/>
        </w:rPr>
        <w:t>6 -</w:t>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57" w:lineRule="auto"/>
        <w:rPr>
          <w:sz w:val="20"/>
          <w:szCs w:val="20"/>
          <w:color w:val="auto"/>
        </w:rPr>
      </w:pPr>
      <w:r>
        <w:rPr>
          <w:rFonts w:ascii="Arial" w:cs="Arial" w:eastAsia="Arial" w:hAnsi="Arial"/>
          <w:sz w:val="20"/>
          <w:szCs w:val="20"/>
          <w:color w:val="auto"/>
        </w:rPr>
        <w:t>in this Plan during the same Offering Period, but he or she may participate in any Offering Period under this Plan which commences on a date subsequent to such withdrawal by filing a new authorization for Contributions in the same manner as set forth in Section 6 above for initial participation in this Plan.</w:t>
      </w:r>
    </w:p>
    <w:p>
      <w:pPr>
        <w:spacing w:after="0" w:line="139" w:lineRule="exact"/>
        <w:rPr>
          <w:sz w:val="20"/>
          <w:szCs w:val="20"/>
          <w:color w:val="auto"/>
        </w:rPr>
      </w:pPr>
    </w:p>
    <w:p>
      <w:pPr>
        <w:jc w:val="both"/>
        <w:ind w:firstLine="1304"/>
        <w:spacing w:after="0" w:line="251" w:lineRule="auto"/>
        <w:tabs>
          <w:tab w:leader="none" w:pos="1714" w:val="left"/>
        </w:tabs>
        <w:numPr>
          <w:ilvl w:val="1"/>
          <w:numId w:val="70"/>
        </w:numPr>
        <w:rPr>
          <w:rFonts w:ascii="Arial" w:cs="Arial" w:eastAsia="Arial" w:hAnsi="Arial"/>
          <w:sz w:val="20"/>
          <w:szCs w:val="20"/>
          <w:color w:val="auto"/>
        </w:rPr>
      </w:pPr>
      <w:r>
        <w:rPr>
          <w:rFonts w:ascii="Arial" w:cs="Arial" w:eastAsia="Arial" w:hAnsi="Arial"/>
          <w:sz w:val="20"/>
          <w:szCs w:val="20"/>
          <w:color w:val="auto"/>
        </w:rPr>
        <w:t>To the extent applicable, if the Fair Market Value on the first day of the current Offering Period in which a participant is enrolled is higher than the Fair Market Value on the first day of any subsequent Offering Period, the Company will automatically enroll such participant in the subsequent Offering Period. Any funds accumulated in a Participant’s account prior to the first day of such subsequent Offering Period will be applied to the purchase of shares on the Purchase Date immediately prior to the first day of such subsequent Offering Period, if any.</w:t>
      </w:r>
    </w:p>
    <w:p>
      <w:pPr>
        <w:spacing w:after="0" w:line="141" w:lineRule="exact"/>
        <w:rPr>
          <w:rFonts w:ascii="Arial" w:cs="Arial" w:eastAsia="Arial" w:hAnsi="Arial"/>
          <w:sz w:val="20"/>
          <w:szCs w:val="20"/>
          <w:color w:val="auto"/>
        </w:rPr>
      </w:pPr>
    </w:p>
    <w:p>
      <w:pPr>
        <w:jc w:val="both"/>
        <w:ind w:firstLine="656"/>
        <w:spacing w:after="0" w:line="281" w:lineRule="auto"/>
        <w:tabs>
          <w:tab w:leader="none" w:pos="119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EMPLOYMENT. </w:t>
      </w:r>
      <w:r>
        <w:rPr>
          <w:rFonts w:ascii="Arial" w:cs="Arial" w:eastAsia="Arial" w:hAnsi="Arial"/>
          <w:sz w:val="18"/>
          <w:szCs w:val="18"/>
          <w:color w:val="auto"/>
        </w:rPr>
        <w:t>Termination of a Participant’s employment for any reason, including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death, disability, or the failure of a Participant to remain an eligible employee of the Company or of a Participating Corporation, immediately terminates his or her participation in this Plan (except as required due to local legal requirements outside the United States). In such event, accumulated Contributions credited to the Participant’s account will be returned to him or her or, in the case of his or her death, to his or her legal representative, without interest (except to the extent required due to local legal requirements outside the United States). For purposes of this Section 12, an employee will not be deemed to have terminated employment or failed to remain in the continuous employ of the Company or of a Participating Corporation in the case of sick leave, military leave, or any other leave of absence approved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leave is for a period of not more than ninety (90) days or reemployment upon the expiration of such leave is guaranteed by contract or statute. The Company will have sole discretion to determine whether a Participant has terminated employment and the effective date on which the Participant terminated employment, regardless of any notice period or garden leave required under local law.</w:t>
      </w:r>
    </w:p>
    <w:p>
      <w:pPr>
        <w:spacing w:after="0" w:line="114" w:lineRule="exact"/>
        <w:rPr>
          <w:rFonts w:ascii="Arial" w:cs="Arial" w:eastAsia="Arial" w:hAnsi="Arial"/>
          <w:sz w:val="18"/>
          <w:szCs w:val="18"/>
          <w:b w:val="1"/>
          <w:bCs w:val="1"/>
          <w:color w:val="auto"/>
        </w:rPr>
      </w:pPr>
    </w:p>
    <w:p>
      <w:pPr>
        <w:jc w:val="both"/>
        <w:ind w:firstLine="656"/>
        <w:spacing w:after="0" w:line="253" w:lineRule="auto"/>
        <w:tabs>
          <w:tab w:leader="none" w:pos="1129"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RETURN OF CONTRIBUTIONS. </w:t>
      </w:r>
      <w:r>
        <w:rPr>
          <w:rFonts w:ascii="Arial" w:cs="Arial" w:eastAsia="Arial" w:hAnsi="Arial"/>
          <w:sz w:val="20"/>
          <w:szCs w:val="20"/>
          <w:color w:val="auto"/>
        </w:rPr>
        <w:t>In the event a Participant’s interest in this Plan is terminated by withdrawal, 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employment or otherwise, or in the event this Plan is terminated by the Board, the Company shall deliver to the Participant all accumulated Contributions credited to such Participant’s account. No interest shall accrue on the Contributions of a Participant in this Plan (except to the extent required due to local legal requirements outside the United States).</w:t>
      </w:r>
    </w:p>
    <w:p>
      <w:pPr>
        <w:spacing w:after="0" w:line="137" w:lineRule="exact"/>
        <w:rPr>
          <w:rFonts w:ascii="Arial" w:cs="Arial" w:eastAsia="Arial" w:hAnsi="Arial"/>
          <w:sz w:val="20"/>
          <w:szCs w:val="20"/>
          <w:b w:val="1"/>
          <w:bCs w:val="1"/>
          <w:color w:val="auto"/>
        </w:rPr>
      </w:pPr>
    </w:p>
    <w:p>
      <w:pPr>
        <w:jc w:val="both"/>
        <w:ind w:firstLine="656"/>
        <w:spacing w:after="0" w:line="286" w:lineRule="auto"/>
        <w:tabs>
          <w:tab w:leader="none" w:pos="115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CHANGES. </w:t>
      </w:r>
      <w:r>
        <w:rPr>
          <w:rFonts w:ascii="Arial" w:cs="Arial" w:eastAsia="Arial" w:hAnsi="Arial"/>
          <w:sz w:val="18"/>
          <w:szCs w:val="18"/>
          <w:color w:val="auto"/>
        </w:rPr>
        <w:t>If the number or class of outstanding shares is changed by a stock dividend, recapitalization,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reverse stock split, subdivision, combination, reclassification or similar change in the capital structure of the Company, without consideration, then the Committee shall adjust the number and class of Common Stock that may be delivered under the Plan, the Purchase Price per share and the number of shares of Common Stock covered by each option under the Plan which has not yet been exercised, and the numerical limits of Section 2 shall be proportionately adjusted, subject to any required action by the Board or the stockholders of the Company and in compliance with the applicable securities laws; provided that fractions of a share will not be issued.</w:t>
      </w:r>
    </w:p>
    <w:p>
      <w:pPr>
        <w:spacing w:after="0" w:line="113" w:lineRule="exact"/>
        <w:rPr>
          <w:rFonts w:ascii="Arial" w:cs="Arial" w:eastAsia="Arial" w:hAnsi="Arial"/>
          <w:sz w:val="18"/>
          <w:szCs w:val="18"/>
          <w:b w:val="1"/>
          <w:bCs w:val="1"/>
          <w:color w:val="auto"/>
        </w:rPr>
      </w:pPr>
    </w:p>
    <w:p>
      <w:pPr>
        <w:jc w:val="both"/>
        <w:ind w:firstLine="656"/>
        <w:spacing w:after="0" w:line="253" w:lineRule="auto"/>
        <w:tabs>
          <w:tab w:leader="none" w:pos="1107"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NONASSIGNABILITY. </w:t>
      </w:r>
      <w:r>
        <w:rPr>
          <w:rFonts w:ascii="Arial" w:cs="Arial" w:eastAsia="Arial" w:hAnsi="Arial"/>
          <w:sz w:val="20"/>
          <w:szCs w:val="20"/>
          <w:color w:val="auto"/>
        </w:rPr>
        <w:t>Neither Contributions credited to a Participant’s account nor any rights with regard to the exercise of</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or to receive shares under this Plan may be assigned, transferred, pledged or otherwise disposed of in any way (other than by will, the laws of descent and distribution or as provided in Section 22 below) by the Participant. Any such attempt at assignment, transfer, pledge or other disposition shall be void and without effect.</w:t>
      </w:r>
    </w:p>
    <w:p>
      <w:pPr>
        <w:spacing w:after="0" w:line="137" w:lineRule="exact"/>
        <w:rPr>
          <w:rFonts w:ascii="Arial" w:cs="Arial" w:eastAsia="Arial" w:hAnsi="Arial"/>
          <w:sz w:val="20"/>
          <w:szCs w:val="20"/>
          <w:b w:val="1"/>
          <w:bCs w:val="1"/>
          <w:color w:val="auto"/>
        </w:rPr>
      </w:pPr>
    </w:p>
    <w:p>
      <w:pPr>
        <w:jc w:val="both"/>
        <w:ind w:firstLine="656"/>
        <w:spacing w:after="0" w:line="280" w:lineRule="auto"/>
        <w:tabs>
          <w:tab w:leader="none" w:pos="1099"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PARTICIPANT FUNDS AND REPORTS. </w:t>
      </w:r>
      <w:r>
        <w:rPr>
          <w:rFonts w:ascii="Arial" w:cs="Arial" w:eastAsia="Arial" w:hAnsi="Arial"/>
          <w:sz w:val="19"/>
          <w:szCs w:val="19"/>
          <w:color w:val="auto"/>
        </w:rPr>
        <w:t>The Company may use all Contributions received or held by it under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for any corporate purpose, and the Company will not be required to segregate Participant Contributions (except to the extent required due to local legal requirements outside the United States). Until shares are issued, Participants will only have the rights of</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spacing w:after="0" w:line="385" w:lineRule="exact"/>
        <w:rPr>
          <w:rFonts w:ascii="Arial" w:cs="Arial" w:eastAsia="Arial" w:hAnsi="Arial"/>
          <w:sz w:val="19"/>
          <w:szCs w:val="19"/>
          <w:b w:val="1"/>
          <w:bCs w:val="1"/>
          <w:color w:val="auto"/>
        </w:rPr>
      </w:pPr>
    </w:p>
    <w:p>
      <w:pPr>
        <w:ind w:left="5580" w:hanging="121"/>
        <w:spacing w:after="0"/>
        <w:tabs>
          <w:tab w:leader="none" w:pos="5580" w:val="left"/>
        </w:tabs>
        <w:numPr>
          <w:ilvl w:val="2"/>
          <w:numId w:val="71"/>
        </w:numPr>
        <w:rPr>
          <w:rFonts w:ascii="Arial" w:cs="Arial" w:eastAsia="Arial" w:hAnsi="Arial"/>
          <w:sz w:val="20"/>
          <w:szCs w:val="20"/>
          <w:color w:val="auto"/>
        </w:rPr>
      </w:pPr>
      <w:r>
        <w:rPr>
          <w:rFonts w:ascii="Arial" w:cs="Arial" w:eastAsia="Arial" w:hAnsi="Arial"/>
          <w:sz w:val="20"/>
          <w:szCs w:val="20"/>
          <w:color w:val="auto"/>
        </w:rPr>
        <w:t>7 -</w:t>
      </w:r>
    </w:p>
    <w:p>
      <w:pPr>
        <w:sectPr>
          <w:pgSz w:w="11900" w:h="16838" w:orient="portrait"/>
          <w:cols w:equalWidth="0" w:num="1">
            <w:col w:w="11240"/>
          </w:cols>
          <w:pgMar w:left="320" w:top="1419" w:right="339" w:bottom="1440" w:gutter="0" w:footer="0" w:header="0"/>
        </w:sectPr>
      </w:pPr>
    </w:p>
    <w:bookmarkStart w:id="59" w:name="page60"/>
    <w:bookmarkEnd w:id="59"/>
    <w:p>
      <w:pPr>
        <w:jc w:val="both"/>
        <w:spacing w:after="0" w:line="351" w:lineRule="auto"/>
        <w:rPr>
          <w:sz w:val="20"/>
          <w:szCs w:val="20"/>
          <w:color w:val="auto"/>
        </w:rPr>
      </w:pPr>
      <w:r>
        <w:rPr>
          <w:rFonts w:ascii="Arial" w:cs="Arial" w:eastAsia="Arial" w:hAnsi="Arial"/>
          <w:sz w:val="16"/>
          <w:szCs w:val="16"/>
          <w:color w:val="auto"/>
        </w:rPr>
        <w:t>an unsecured creditor unless otherwise required under local law. Each Participant shall receive, or have access to, promptly after the end of each Purchase Period a report of his or her account setting forth the total Contributions accumulated, the number of shares purchased, the per share price thereof and the remaining cash balance, if any, carried forward to the next Purchase Period or Offering Period, as the case may be.</w:t>
      </w:r>
    </w:p>
    <w:p>
      <w:pPr>
        <w:spacing w:after="0" w:line="64" w:lineRule="exact"/>
        <w:rPr>
          <w:sz w:val="20"/>
          <w:szCs w:val="20"/>
          <w:color w:val="auto"/>
        </w:rPr>
      </w:pPr>
    </w:p>
    <w:p>
      <w:pPr>
        <w:jc w:val="both"/>
        <w:ind w:firstLine="656"/>
        <w:spacing w:after="0" w:line="269" w:lineRule="auto"/>
        <w:tabs>
          <w:tab w:leader="none" w:pos="1129"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OF DISPOSITION. </w:t>
      </w:r>
      <w:r>
        <w:rPr>
          <w:rFonts w:ascii="Arial" w:cs="Arial" w:eastAsia="Arial" w:hAnsi="Arial"/>
          <w:sz w:val="19"/>
          <w:szCs w:val="19"/>
          <w:color w:val="auto"/>
        </w:rPr>
        <w:t>Each U.S. taxpayer Participant shall notify the Company in writing if the Participant disposes</w:t>
      </w:r>
      <w:r>
        <w:rPr>
          <w:rFonts w:ascii="Arial" w:cs="Arial" w:eastAsia="Arial" w:hAnsi="Arial"/>
          <w:sz w:val="19"/>
          <w:szCs w:val="19"/>
          <w:b w:val="1"/>
          <w:bCs w:val="1"/>
          <w:color w:val="auto"/>
        </w:rPr>
        <w:t xml:space="preserve"> </w:t>
      </w:r>
      <w:r>
        <w:rPr>
          <w:rFonts w:ascii="Arial" w:cs="Arial" w:eastAsia="Arial" w:hAnsi="Arial"/>
          <w:sz w:val="19"/>
          <w:szCs w:val="19"/>
          <w:color w:val="auto"/>
        </w:rPr>
        <w:t>of any of the shares purchased in any Offering Period pursuant to this Plan if such disposition occurs within two (2) years from the Offering Date or within one (1) year from the Purchase Date on which such shares were purchased (the “</w:t>
      </w:r>
      <w:r>
        <w:rPr>
          <w:rFonts w:ascii="Arial" w:cs="Arial" w:eastAsia="Arial" w:hAnsi="Arial"/>
          <w:sz w:val="19"/>
          <w:szCs w:val="19"/>
          <w:b w:val="1"/>
          <w:bCs w:val="1"/>
          <w:i w:val="1"/>
          <w:iCs w:val="1"/>
          <w:color w:val="auto"/>
        </w:rPr>
        <w:t>Notice Period</w:t>
      </w:r>
      <w:r>
        <w:rPr>
          <w:rFonts w:ascii="Arial" w:cs="Arial" w:eastAsia="Arial" w:hAnsi="Arial"/>
          <w:sz w:val="19"/>
          <w:szCs w:val="19"/>
          <w:color w:val="auto"/>
        </w:rPr>
        <w:t>”).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110" w:lineRule="exact"/>
        <w:rPr>
          <w:rFonts w:ascii="Arial" w:cs="Arial" w:eastAsia="Arial" w:hAnsi="Arial"/>
          <w:sz w:val="19"/>
          <w:szCs w:val="19"/>
          <w:b w:val="1"/>
          <w:bCs w:val="1"/>
          <w:color w:val="auto"/>
        </w:rPr>
      </w:pPr>
    </w:p>
    <w:p>
      <w:pPr>
        <w:jc w:val="both"/>
        <w:ind w:firstLine="656"/>
        <w:spacing w:after="0" w:line="267" w:lineRule="auto"/>
        <w:tabs>
          <w:tab w:leader="none" w:pos="1127"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RIGHTS TO CONTINUED EMPLOYMENT. </w:t>
      </w:r>
      <w:r>
        <w:rPr>
          <w:rFonts w:ascii="Arial" w:cs="Arial" w:eastAsia="Arial" w:hAnsi="Arial"/>
          <w:sz w:val="20"/>
          <w:szCs w:val="20"/>
          <w:color w:val="auto"/>
        </w:rPr>
        <w:t>Neither this Plan nor the grant of any option hereunder shall confer any</w:t>
      </w:r>
      <w:r>
        <w:rPr>
          <w:rFonts w:ascii="Arial" w:cs="Arial" w:eastAsia="Arial" w:hAnsi="Arial"/>
          <w:sz w:val="20"/>
          <w:szCs w:val="20"/>
          <w:b w:val="1"/>
          <w:bCs w:val="1"/>
          <w:color w:val="auto"/>
        </w:rPr>
        <w:t xml:space="preserve"> </w:t>
      </w:r>
      <w:r>
        <w:rPr>
          <w:rFonts w:ascii="Arial" w:cs="Arial" w:eastAsia="Arial" w:hAnsi="Arial"/>
          <w:sz w:val="20"/>
          <w:szCs w:val="20"/>
          <w:color w:val="auto"/>
        </w:rPr>
        <w:t>right on any employee to remain in the employ of the Company or any Participating Corporation or restrict the right of the Company or any Participating Corporation to terminate such employee’s employment.</w:t>
      </w:r>
    </w:p>
    <w:p>
      <w:pPr>
        <w:spacing w:after="0" w:line="109" w:lineRule="exact"/>
        <w:rPr>
          <w:rFonts w:ascii="Arial" w:cs="Arial" w:eastAsia="Arial" w:hAnsi="Arial"/>
          <w:sz w:val="20"/>
          <w:szCs w:val="20"/>
          <w:b w:val="1"/>
          <w:bCs w:val="1"/>
          <w:color w:val="auto"/>
        </w:rPr>
      </w:pPr>
    </w:p>
    <w:p>
      <w:pPr>
        <w:jc w:val="both"/>
        <w:ind w:firstLine="656"/>
        <w:spacing w:after="0" w:line="253" w:lineRule="auto"/>
        <w:tabs>
          <w:tab w:leader="none" w:pos="1139"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EQUAL RIGHTS AND PRIVILEGES. </w:t>
      </w:r>
      <w:r>
        <w:rPr>
          <w:rFonts w:ascii="Arial" w:cs="Arial" w:eastAsia="Arial" w:hAnsi="Arial"/>
          <w:sz w:val="20"/>
          <w:szCs w:val="20"/>
          <w:color w:val="auto"/>
        </w:rPr>
        <w:t>All eligible employees granted an option under the Section 423 Component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Plan shall have equal rights and privileges with respect to this Plan or within any separate offering under the Plan so that this Plan qualifies as an “employee stock purchase plan” within the meaning of Section 423 or any successor provision of the Code and the related regulations. Any provision of this Plan which is inconsistent with Section 423 or any successor provision of the Code, without further act or amendment by the Company, the Committee or the Board, shall be reformed to comply with the requirements of Section 423. This Section 19 shall take precedence over all other provisions in this Plan.</w:t>
      </w:r>
    </w:p>
    <w:p>
      <w:pPr>
        <w:spacing w:after="0" w:line="138" w:lineRule="exact"/>
        <w:rPr>
          <w:rFonts w:ascii="Arial" w:cs="Arial" w:eastAsia="Arial" w:hAnsi="Arial"/>
          <w:sz w:val="20"/>
          <w:szCs w:val="20"/>
          <w:b w:val="1"/>
          <w:bCs w:val="1"/>
          <w:color w:val="auto"/>
        </w:rPr>
      </w:pPr>
    </w:p>
    <w:p>
      <w:pPr>
        <w:jc w:val="both"/>
        <w:ind w:firstLine="656"/>
        <w:spacing w:after="0" w:line="260" w:lineRule="auto"/>
        <w:tabs>
          <w:tab w:leader="none" w:pos="1093" w:val="left"/>
        </w:tabs>
        <w:numPr>
          <w:ilvl w:val="0"/>
          <w:numId w:val="7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or other communications by a Participant to the Company under or in connection with this Plan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to have been duly given when received in the form specified by the Company at the location, or by the person, designated by the Company for the receipt thereof.</w:t>
      </w:r>
    </w:p>
    <w:p>
      <w:pPr>
        <w:spacing w:after="0" w:line="116" w:lineRule="exact"/>
        <w:rPr>
          <w:rFonts w:ascii="Arial" w:cs="Arial" w:eastAsia="Arial" w:hAnsi="Arial"/>
          <w:sz w:val="20"/>
          <w:szCs w:val="20"/>
          <w:b w:val="1"/>
          <w:bCs w:val="1"/>
          <w:color w:val="auto"/>
        </w:rPr>
      </w:pPr>
    </w:p>
    <w:p>
      <w:pPr>
        <w:jc w:val="both"/>
        <w:ind w:firstLine="656"/>
        <w:spacing w:after="0" w:line="282" w:lineRule="auto"/>
        <w:tabs>
          <w:tab w:leader="none" w:pos="110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STOCKHOLDER APPROVAL. </w:t>
      </w:r>
      <w:r>
        <w:rPr>
          <w:rFonts w:ascii="Arial" w:cs="Arial" w:eastAsia="Arial" w:hAnsi="Arial"/>
          <w:sz w:val="18"/>
          <w:szCs w:val="18"/>
          <w:color w:val="auto"/>
        </w:rPr>
        <w:t>This Plan will become effective on the Effective Date. This Plan shall be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stockholders of the Company, in any manner permitted by applicable corporate law, within twelve (12) months before or after the date this Plan is adopted by the Board. No purchase of shares that are subject to such stockholder approval before becoming available under this Plan shall occur prior to stockholder approval of such shares and the Board or Committee may delay any Purchase Date and postpone the commencement of any Offering Period subsequent to such Purchase Date as deemed necessary or desirable to obtain such approval (provided that if a Purchase Date would occur more than six (6) months after commencement of the Offering Period to which it relates, then such Purchase Date shall not occur and instead such Offering Period shall terminate without the purchase of such shares and Participants in such Offering Period shall be refunded their Contributions without interest). This Plan shall continue until the earlier to occur of (a) termination of this Plan by the Board (which termination may be effected by the Board at any time pursuant to Section 25 below), (b) issuance of all of the shares of Common Stock reserved for issuance under this Plan, or (c) the tenth anniversary of the Effective Date.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91" w:lineRule="exact"/>
        <w:rPr>
          <w:rFonts w:ascii="Arial" w:cs="Arial" w:eastAsia="Arial" w:hAnsi="Arial"/>
          <w:sz w:val="18"/>
          <w:szCs w:val="18"/>
          <w:b w:val="1"/>
          <w:bCs w:val="1"/>
          <w:color w:val="auto"/>
        </w:rPr>
      </w:pPr>
    </w:p>
    <w:p>
      <w:pPr>
        <w:ind w:left="5580" w:hanging="121"/>
        <w:spacing w:after="0"/>
        <w:tabs>
          <w:tab w:leader="none" w:pos="5580" w:val="left"/>
        </w:tabs>
        <w:numPr>
          <w:ilvl w:val="1"/>
          <w:numId w:val="72"/>
        </w:numPr>
        <w:rPr>
          <w:rFonts w:ascii="Arial" w:cs="Arial" w:eastAsia="Arial" w:hAnsi="Arial"/>
          <w:sz w:val="20"/>
          <w:szCs w:val="20"/>
          <w:color w:val="auto"/>
        </w:rPr>
      </w:pPr>
      <w:r>
        <w:rPr>
          <w:rFonts w:ascii="Arial" w:cs="Arial" w:eastAsia="Arial" w:hAnsi="Arial"/>
          <w:sz w:val="20"/>
          <w:szCs w:val="20"/>
          <w:color w:val="auto"/>
        </w:rPr>
        <w:t>8 -</w:t>
      </w:r>
    </w:p>
    <w:p>
      <w:pPr>
        <w:sectPr>
          <w:pgSz w:w="11900" w:h="16838" w:orient="portrait"/>
          <w:cols w:equalWidth="0" w:num="1">
            <w:col w:w="11240"/>
          </w:cols>
          <w:pgMar w:left="320" w:top="1419" w:right="339" w:bottom="1440" w:gutter="0" w:footer="0" w:header="0"/>
        </w:sectPr>
      </w:pPr>
    </w:p>
    <w:bookmarkStart w:id="60" w:name="page61"/>
    <w:bookmarkEnd w:id="60"/>
    <w:p>
      <w:pPr>
        <w:ind w:left="1100" w:hanging="444"/>
        <w:spacing w:after="0"/>
        <w:tabs>
          <w:tab w:leader="none" w:pos="110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DESIGNATION OF BENEFICIARY.</w:t>
      </w:r>
    </w:p>
    <w:p>
      <w:pPr>
        <w:spacing w:after="0" w:line="181" w:lineRule="exact"/>
        <w:rPr>
          <w:rFonts w:ascii="Arial" w:cs="Arial" w:eastAsia="Arial" w:hAnsi="Arial"/>
          <w:sz w:val="20"/>
          <w:szCs w:val="20"/>
          <w:b w:val="1"/>
          <w:bCs w:val="1"/>
          <w:color w:val="auto"/>
        </w:rPr>
      </w:pPr>
    </w:p>
    <w:p>
      <w:pPr>
        <w:jc w:val="both"/>
        <w:ind w:right="20" w:firstLine="1304"/>
        <w:spacing w:after="0" w:line="257" w:lineRule="auto"/>
        <w:tabs>
          <w:tab w:leader="none" w:pos="1729" w:val="left"/>
        </w:tabs>
        <w:numPr>
          <w:ilvl w:val="1"/>
          <w:numId w:val="73"/>
        </w:numPr>
        <w:rPr>
          <w:rFonts w:ascii="Arial" w:cs="Arial" w:eastAsia="Arial" w:hAnsi="Arial"/>
          <w:sz w:val="20"/>
          <w:szCs w:val="20"/>
          <w:color w:val="auto"/>
        </w:rPr>
      </w:pPr>
      <w:r>
        <w:rPr>
          <w:rFonts w:ascii="Arial" w:cs="Arial" w:eastAsia="Arial" w:hAnsi="Arial"/>
          <w:sz w:val="20"/>
          <w:szCs w:val="20"/>
          <w:color w:val="auto"/>
        </w:rPr>
        <w:t>If authorized by the Committee, a Participant may file a written designation of a beneficiary who is to receive any cash from the Participant’s account under this Plan in the event of such Participant’s death prior to a Purchase Date. Such form shall be valid only if it was filed with the Company at the prescribed location before the Participant’s death.</w:t>
      </w:r>
    </w:p>
    <w:p>
      <w:pPr>
        <w:spacing w:after="0" w:line="125" w:lineRule="exact"/>
        <w:rPr>
          <w:rFonts w:ascii="Arial" w:cs="Arial" w:eastAsia="Arial" w:hAnsi="Arial"/>
          <w:sz w:val="20"/>
          <w:szCs w:val="20"/>
          <w:color w:val="auto"/>
        </w:rPr>
      </w:pPr>
    </w:p>
    <w:p>
      <w:pPr>
        <w:jc w:val="both"/>
        <w:ind w:firstLine="1304"/>
        <w:spacing w:after="0" w:line="285" w:lineRule="auto"/>
        <w:tabs>
          <w:tab w:leader="none" w:pos="17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If authorized by the Company, such designation of beneficiary may be changed by the Participant at any time by written notice filed with the Company at the prescribed location before the Participant’s death. If no such beneficiary has been designated (to the knowledge of the Company), then, in the event of the death of a Participant the Company, in its discretion, may deliver such cash to the Participant’s estate or legal heirs, or if no such estate or legal heirs are known to the Company, then to the Participant’s spouse or, if no estate, legal heir, or spouse is known to the Company, then to any one or more dependents or relatives of the Participant, or if no spouse, dependent or relative is known to the Company, then to such other person as the Company may designate.</w:t>
      </w:r>
    </w:p>
    <w:p>
      <w:pPr>
        <w:spacing w:after="0" w:line="112" w:lineRule="exact"/>
        <w:rPr>
          <w:rFonts w:ascii="Arial" w:cs="Arial" w:eastAsia="Arial" w:hAnsi="Arial"/>
          <w:sz w:val="18"/>
          <w:szCs w:val="18"/>
          <w:color w:val="auto"/>
        </w:rPr>
      </w:pPr>
    </w:p>
    <w:p>
      <w:pPr>
        <w:jc w:val="both"/>
        <w:ind w:firstLine="656"/>
        <w:spacing w:after="0" w:line="253" w:lineRule="auto"/>
        <w:tabs>
          <w:tab w:leader="none" w:pos="111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CONDITIONS UPON ISSUANCE OF SHARES; LIMITATION ON SALE OF SHARES. </w:t>
      </w:r>
      <w:r>
        <w:rPr>
          <w:rFonts w:ascii="Arial" w:cs="Arial" w:eastAsia="Arial" w:hAnsi="Arial"/>
          <w:sz w:val="20"/>
          <w:szCs w:val="20"/>
          <w:color w:val="auto"/>
        </w:rPr>
        <w:t>Shares shall not be issued with</w:t>
      </w:r>
      <w:r>
        <w:rPr>
          <w:rFonts w:ascii="Arial" w:cs="Arial" w:eastAsia="Arial" w:hAnsi="Arial"/>
          <w:sz w:val="20"/>
          <w:szCs w:val="20"/>
          <w:b w:val="1"/>
          <w:bCs w:val="1"/>
          <w:color w:val="auto"/>
        </w:rPr>
        <w:t xml:space="preserve"> </w:t>
      </w:r>
      <w:r>
        <w:rPr>
          <w:rFonts w:ascii="Arial" w:cs="Arial" w:eastAsia="Arial" w:hAnsi="Arial"/>
          <w:sz w:val="20"/>
          <w:szCs w:val="20"/>
          <w:color w:val="auto"/>
        </w:rPr>
        <w:t>respect to an option unless the exercise of such option and the issuance and delivery of such shares pursuant thereto shall comply with all applicable provisions of law, domestic or foreign, including, without limitation, the U.S. Securities Act of 1933, as amended, the Exchange Act, the rules and regulations promulgated thereunder, and the requirements of any stock exchange or automated quotation system upon which the shares may then be listed, exchange control restrictions and/or securities law restrictions outside the United States, and shall be further subject to the approval of counsel for the Company with respect to such compliance. Shares may be held in trust or subject to further restrictions as permitted by any subplan.</w:t>
      </w:r>
    </w:p>
    <w:p>
      <w:pPr>
        <w:spacing w:after="0" w:line="125" w:lineRule="exact"/>
        <w:rPr>
          <w:rFonts w:ascii="Arial" w:cs="Arial" w:eastAsia="Arial" w:hAnsi="Arial"/>
          <w:sz w:val="20"/>
          <w:szCs w:val="20"/>
          <w:b w:val="1"/>
          <w:bCs w:val="1"/>
          <w:color w:val="auto"/>
        </w:rPr>
      </w:pPr>
    </w:p>
    <w:p>
      <w:pPr>
        <w:ind w:left="1100" w:hanging="444"/>
        <w:spacing w:after="0"/>
        <w:tabs>
          <w:tab w:leader="none" w:pos="11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The Plan shall be governed by the substantive laws (excluding the conflict of laws rules) of the State of</w:t>
      </w:r>
    </w:p>
    <w:p>
      <w:pPr>
        <w:spacing w:after="0" w:line="49"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Delaware.</w:t>
      </w:r>
    </w:p>
    <w:p>
      <w:pPr>
        <w:spacing w:after="0" w:line="148" w:lineRule="exact"/>
        <w:rPr>
          <w:rFonts w:ascii="Arial" w:cs="Arial" w:eastAsia="Arial" w:hAnsi="Arial"/>
          <w:sz w:val="18"/>
          <w:szCs w:val="18"/>
          <w:b w:val="1"/>
          <w:bCs w:val="1"/>
          <w:color w:val="auto"/>
        </w:rPr>
      </w:pPr>
    </w:p>
    <w:p>
      <w:pPr>
        <w:jc w:val="both"/>
        <w:ind w:firstLine="656"/>
        <w:spacing w:after="0" w:line="279" w:lineRule="auto"/>
        <w:tabs>
          <w:tab w:leader="none" w:pos="1118"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AMENDMENT OR TERMINATION. </w:t>
      </w:r>
      <w:r>
        <w:rPr>
          <w:rFonts w:ascii="Arial" w:cs="Arial" w:eastAsia="Arial" w:hAnsi="Arial"/>
          <w:sz w:val="18"/>
          <w:szCs w:val="18"/>
          <w:color w:val="auto"/>
        </w:rPr>
        <w:t>The Committee, in its sole discretion, may amend, suspend or terminate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 thereof, at any time and for any reason. Unless otherwise required by applicable law, if the Plan is terminated, the Committee, in its discretion, may elect to terminate all outstanding Offering Periods either immediately or upon completion of the purchase of shares of Common Stock on the next Purchase Date (which may be sooner than originally scheduled, if determined by the Committee in its discretion), or may elect to permit Offering Periods to expire in accordance with their terms (and subject to any adjustment pursuant to Section 14). If an Offering Period is terminated prior to its previously-scheduled expiration, all amounts then credited to Participants’ accounts for such Offering Period, which have not been used to purchase shares of Common Stock, shall be returned to those Participants (without interest thereon, except as otherwise required under local laws) as soon as administratively practicable. Further, the Committee will be entitled to change the Purchase Periods and Offering Periods, limit the frequency and/or number of changes in the amount contributed during an Offering Period, establish the exchange ratio applicable to amounts contributed in a currency other than U.S. dollars, permit payroll withholding in excess of the amount designated by a Participant in order to adjust for delays or mistakes in the administration of the Plan, establish reasonable waiting and adjustment periods and/or accounting and crediting procedures to ensure that amounts applied toward the purchase of Common Stock for each Participant properly correspond with amounts contributed from the Participant’s base salary and other eligible compensation, and establish such other limitations or procedures as the Committee determines in its sole discretion advisable which are consistent with the Plan. Such actions will not require stockholder approval or the consent of any Participants. However, no amendment shall be made without approval of the stockholders of the Company (obtained in accordance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91" w:lineRule="exact"/>
        <w:rPr>
          <w:rFonts w:ascii="Arial" w:cs="Arial" w:eastAsia="Arial" w:hAnsi="Arial"/>
          <w:sz w:val="18"/>
          <w:szCs w:val="18"/>
          <w:b w:val="1"/>
          <w:bCs w:val="1"/>
          <w:color w:val="auto"/>
        </w:rPr>
      </w:pPr>
    </w:p>
    <w:p>
      <w:pPr>
        <w:ind w:left="5580" w:hanging="121"/>
        <w:spacing w:after="0"/>
        <w:tabs>
          <w:tab w:leader="none" w:pos="5580" w:val="left"/>
        </w:tabs>
        <w:numPr>
          <w:ilvl w:val="2"/>
          <w:numId w:val="73"/>
        </w:numPr>
        <w:rPr>
          <w:rFonts w:ascii="Arial" w:cs="Arial" w:eastAsia="Arial" w:hAnsi="Arial"/>
          <w:sz w:val="20"/>
          <w:szCs w:val="20"/>
          <w:color w:val="auto"/>
        </w:rPr>
      </w:pPr>
      <w:r>
        <w:rPr>
          <w:rFonts w:ascii="Arial" w:cs="Arial" w:eastAsia="Arial" w:hAnsi="Arial"/>
          <w:sz w:val="20"/>
          <w:szCs w:val="20"/>
          <w:color w:val="auto"/>
        </w:rPr>
        <w:t>9 -</w:t>
      </w:r>
    </w:p>
    <w:p>
      <w:pPr>
        <w:sectPr>
          <w:pgSz w:w="11900" w:h="16838" w:orient="portrait"/>
          <w:cols w:equalWidth="0" w:num="1">
            <w:col w:w="11240"/>
          </w:cols>
          <w:pgMar w:left="320" w:top="1413" w:right="3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9"/>
          <w:szCs w:val="19"/>
          <w:color w:val="auto"/>
        </w:rPr>
        <w:t>with Section 21 above) within twelve (12) months of the adoption of such amendment (or earlier if required by Section 21) if such amendment would: (a) increase the number of shares that may be issued under this Plan; or (b) change the designation of the employees (or class of employees) eligible for participation in this Plan. In addition, in the event the Board or Committee determines that the ongoing operation of the Plan may result in unfavorable financial accounting consequences, the Board or Committee may, in its discretion and, to the extent necessary or desirable, modify, amend or terminate the Plan to reduce or eliminate such accounting consequences including, but not limited to: (i) amending the definition of compensation, including with respect to an Offering Period underway at the time; (ii) altering the Purchase Price for any Offering Period including an Offering Period underway at the time of the change in Purchase Price; (iii) shortening any Offering Period by setting a Purchase Date, including an Offering Period underway at the time of the Committee’s action; (iv) reducing the maximum percentage of Compensation a participant may elect to set aside as Contributions; and (v) reducing the maximum number of shares a Participant may purchase during any Offering Period. Such modifications or amendments will not require approval of the stockholders of the Company or the consent of any Participants.</w:t>
      </w:r>
    </w:p>
    <w:p>
      <w:pPr>
        <w:spacing w:after="0" w:line="131" w:lineRule="exact"/>
        <w:rPr>
          <w:sz w:val="20"/>
          <w:szCs w:val="20"/>
          <w:color w:val="auto"/>
        </w:rPr>
      </w:pPr>
    </w:p>
    <w:p>
      <w:pPr>
        <w:jc w:val="both"/>
        <w:ind w:firstLine="656"/>
        <w:spacing w:after="0" w:line="253" w:lineRule="auto"/>
        <w:tabs>
          <w:tab w:leader="none" w:pos="1115"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CORPORATE TRANSACTIONS. </w:t>
      </w:r>
      <w:r>
        <w:rPr>
          <w:rFonts w:ascii="Arial" w:cs="Arial" w:eastAsia="Arial" w:hAnsi="Arial"/>
          <w:sz w:val="20"/>
          <w:szCs w:val="20"/>
          <w:color w:val="auto"/>
        </w:rPr>
        <w:t>In the event of a Corporate Transaction, the Offering Period for each outstanding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Common Stock will be shortened by setting a new Purchase Date and will end on the new Purchase Date. The new Purchase Date shall occur on or prior to the consummation of the Corporate Transaction, as determined by the Board or Committee, and the Plan shall terminate on the consummation of the Corporate Transaction.</w:t>
      </w:r>
    </w:p>
    <w:p>
      <w:pPr>
        <w:spacing w:after="0" w:line="137" w:lineRule="exact"/>
        <w:rPr>
          <w:rFonts w:ascii="Arial" w:cs="Arial" w:eastAsia="Arial" w:hAnsi="Arial"/>
          <w:sz w:val="20"/>
          <w:szCs w:val="20"/>
          <w:b w:val="1"/>
          <w:bCs w:val="1"/>
          <w:color w:val="auto"/>
        </w:rPr>
      </w:pPr>
    </w:p>
    <w:p>
      <w:pPr>
        <w:ind w:left="1100" w:hanging="444"/>
        <w:spacing w:after="0"/>
        <w:tabs>
          <w:tab w:leader="none" w:pos="1100"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CODE SECTION 409A; TAX QUALIFICATION.</w:t>
      </w:r>
    </w:p>
    <w:p>
      <w:pPr>
        <w:spacing w:after="0" w:line="181" w:lineRule="exact"/>
        <w:rPr>
          <w:rFonts w:ascii="Arial" w:cs="Arial" w:eastAsia="Arial" w:hAnsi="Arial"/>
          <w:sz w:val="20"/>
          <w:szCs w:val="20"/>
          <w:b w:val="1"/>
          <w:bCs w:val="1"/>
          <w:color w:val="auto"/>
        </w:rPr>
      </w:pPr>
    </w:p>
    <w:p>
      <w:pPr>
        <w:jc w:val="both"/>
        <w:ind w:firstLine="1304"/>
        <w:spacing w:after="0" w:line="279" w:lineRule="auto"/>
        <w:tabs>
          <w:tab w:leader="none" w:pos="1809" w:val="left"/>
        </w:tabs>
        <w:numPr>
          <w:ilvl w:val="1"/>
          <w:numId w:val="74"/>
        </w:numPr>
        <w:rPr>
          <w:rFonts w:ascii="Arial" w:cs="Arial" w:eastAsia="Arial" w:hAnsi="Arial"/>
          <w:sz w:val="18"/>
          <w:szCs w:val="18"/>
          <w:color w:val="auto"/>
        </w:rPr>
      </w:pPr>
      <w:r>
        <w:rPr>
          <w:rFonts w:ascii="Arial" w:cs="Arial" w:eastAsia="Arial" w:hAnsi="Arial"/>
          <w:sz w:val="18"/>
          <w:szCs w:val="18"/>
          <w:color w:val="auto"/>
        </w:rPr>
        <w:t>Options granted under the Plan generally are exempt from the application of Section 409A of the Code. However, options granted to U.S. taxpayers which are not intended to meet the Code Section 423 requirements are intended to be exempt from the application of Section 409A of the Code under the short-term deferral exception and any ambiguities shall be construed and interpreted in accordance with such intent. Subject to Subsection (b), options granted to U.S. taxpayers outside of the Code Section 423 requirements shall be subject to such terms and conditions that will permit such options to satisfy the requirements of the short-term deferral exception available under Section 409A of the Code, including the requirement that the shares of Common Stock subject to an option be delivered within the short-term deferral period. Subject to Subsection (b), in the case of a Participant who would otherwise be subject to Section 409A of the Code, to the extent the Committee determines that an option or the exercise, payment, settlement or deferral thereof is subject to Section 409A of the Code, the option shall be granted, exercised, paid, settled or deferred in a manner that will comply with Section 409A of the Code, including Treasury regulations and other interpretive guidance issued thereunder, including without limitation any such regulations or other guidance that may be issued after the Effective Date. Notwithstanding the foregoing, the Company shall have no liability to a Participant or any other party if the option that is intended to be exempt from or compliant with Section 409A of the Code is not so exempt or compliant or for any action taken by the Committee with respect thereto.</w:t>
      </w:r>
    </w:p>
    <w:p>
      <w:pPr>
        <w:spacing w:after="0" w:line="111" w:lineRule="exact"/>
        <w:rPr>
          <w:rFonts w:ascii="Arial" w:cs="Arial" w:eastAsia="Arial" w:hAnsi="Arial"/>
          <w:sz w:val="18"/>
          <w:szCs w:val="18"/>
          <w:color w:val="auto"/>
        </w:rPr>
      </w:pPr>
    </w:p>
    <w:p>
      <w:pPr>
        <w:jc w:val="both"/>
        <w:ind w:firstLine="1304"/>
        <w:spacing w:after="0" w:line="271" w:lineRule="auto"/>
        <w:tabs>
          <w:tab w:leader="none" w:pos="1747" w:val="left"/>
        </w:tabs>
        <w:numPr>
          <w:ilvl w:val="1"/>
          <w:numId w:val="74"/>
        </w:numPr>
        <w:rPr>
          <w:rFonts w:ascii="Arial" w:cs="Arial" w:eastAsia="Arial" w:hAnsi="Arial"/>
          <w:sz w:val="19"/>
          <w:szCs w:val="19"/>
          <w:color w:val="auto"/>
        </w:rPr>
      </w:pPr>
      <w:r>
        <w:rPr>
          <w:rFonts w:ascii="Arial" w:cs="Arial" w:eastAsia="Arial" w:hAnsi="Arial"/>
          <w:sz w:val="19"/>
          <w:szCs w:val="19"/>
          <w:color w:val="auto"/>
        </w:rPr>
        <w:t>Although the Company may endeavor to (i) qualify an option for favorable tax treatment under the laws of the United States or jurisdictions outside of the United States or (ii) avoid adverse tax treatment (</w:t>
      </w:r>
      <w:r>
        <w:rPr>
          <w:rFonts w:ascii="Arial" w:cs="Arial" w:eastAsia="Arial" w:hAnsi="Arial"/>
          <w:sz w:val="19"/>
          <w:szCs w:val="19"/>
          <w:i w:val="1"/>
          <w:iCs w:val="1"/>
          <w:color w:val="auto"/>
        </w:rPr>
        <w:t>e.g.</w:t>
      </w:r>
      <w:r>
        <w:rPr>
          <w:rFonts w:ascii="Arial" w:cs="Arial" w:eastAsia="Arial" w:hAnsi="Arial"/>
          <w:sz w:val="19"/>
          <w:szCs w:val="19"/>
          <w:color w:val="auto"/>
        </w:rPr>
        <w:t>, under Section 409A of the Code), the Company makes no representation to that effect and expressly disavows any covenant to maintain favorable or avoid unfavorable tax treatment, notwithstanding anything to the contrary in this Plan, including Subsection (a). The Company shall be unconstrained in its corporate activities without regard to the potential negative tax impact on Participants under the Plan.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6" w:lineRule="exact"/>
        <w:rPr>
          <w:rFonts w:ascii="Arial" w:cs="Arial" w:eastAsia="Arial" w:hAnsi="Arial"/>
          <w:sz w:val="19"/>
          <w:szCs w:val="19"/>
          <w:color w:val="auto"/>
        </w:rPr>
      </w:pPr>
    </w:p>
    <w:p>
      <w:pPr>
        <w:ind w:left="5520" w:hanging="110"/>
        <w:spacing w:after="0"/>
        <w:tabs>
          <w:tab w:leader="none" w:pos="5520" w:val="left"/>
        </w:tabs>
        <w:numPr>
          <w:ilvl w:val="2"/>
          <w:numId w:val="74"/>
        </w:numPr>
        <w:rPr>
          <w:rFonts w:ascii="Arial" w:cs="Arial" w:eastAsia="Arial" w:hAnsi="Arial"/>
          <w:sz w:val="20"/>
          <w:szCs w:val="20"/>
          <w:color w:val="auto"/>
        </w:rPr>
      </w:pPr>
      <w:r>
        <w:rPr>
          <w:rFonts w:ascii="Arial" w:cs="Arial" w:eastAsia="Arial" w:hAnsi="Arial"/>
          <w:sz w:val="20"/>
          <w:szCs w:val="20"/>
          <w:color w:val="auto"/>
        </w:rPr>
        <w:t>10 -</w:t>
      </w:r>
    </w:p>
    <w:p>
      <w:pPr>
        <w:sectPr>
          <w:pgSz w:w="11900" w:h="16838" w:orient="portrait"/>
          <w:cols w:equalWidth="0" w:num="1">
            <w:col w:w="11240"/>
          </w:cols>
          <w:pgMar w:left="320" w:top="1419" w:right="339" w:bottom="1440" w:gutter="0" w:footer="0" w:header="0"/>
        </w:sectPr>
      </w:pPr>
    </w:p>
    <w:bookmarkStart w:id="62" w:name="page63"/>
    <w:bookmarkEnd w:id="62"/>
    <w:p>
      <w:pPr>
        <w:ind w:left="444" w:hanging="444"/>
        <w:spacing w:after="0"/>
        <w:tabs>
          <w:tab w:leader="none" w:pos="444" w:val="left"/>
        </w:tabs>
        <w:numPr>
          <w:ilvl w:val="0"/>
          <w:numId w:val="7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81" w:lineRule="exact"/>
        <w:rPr>
          <w:rFonts w:ascii="Arial" w:cs="Arial" w:eastAsia="Arial" w:hAnsi="Arial"/>
          <w:sz w:val="20"/>
          <w:szCs w:val="20"/>
          <w:b w:val="1"/>
          <w:bCs w:val="1"/>
          <w:color w:val="auto"/>
        </w:rPr>
      </w:pPr>
    </w:p>
    <w:p>
      <w:pPr>
        <w:jc w:val="both"/>
        <w:ind w:left="-656" w:firstLine="1304"/>
        <w:spacing w:after="0" w:line="257" w:lineRule="auto"/>
        <w:tabs>
          <w:tab w:leader="none" w:pos="1084"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any entity, other than a Subsidiary or Parent, (i) that, directly or indirectly, is controlled by, controls or is under common control with, the Company and (ii) in which the Company has a significant equity interest, in either case as determined by the Committee, whether now or hereafter existing.</w:t>
      </w:r>
    </w:p>
    <w:p>
      <w:pPr>
        <w:spacing w:after="0" w:line="125" w:lineRule="exact"/>
        <w:rPr>
          <w:rFonts w:ascii="Arial" w:cs="Arial" w:eastAsia="Arial" w:hAnsi="Arial"/>
          <w:sz w:val="20"/>
          <w:szCs w:val="20"/>
          <w:color w:val="auto"/>
        </w:rPr>
      </w:pPr>
    </w:p>
    <w:p>
      <w:pPr>
        <w:ind w:left="1084" w:hanging="436"/>
        <w:spacing w:after="0"/>
        <w:tabs>
          <w:tab w:leader="none" w:pos="1084"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shall mean the Board of Directors of the Company.</w:t>
      </w:r>
    </w:p>
    <w:p>
      <w:pPr>
        <w:spacing w:after="0" w:line="175" w:lineRule="exact"/>
        <w:rPr>
          <w:rFonts w:ascii="Arial" w:cs="Arial" w:eastAsia="Arial" w:hAnsi="Arial"/>
          <w:sz w:val="20"/>
          <w:szCs w:val="20"/>
          <w:color w:val="auto"/>
        </w:rPr>
      </w:pPr>
    </w:p>
    <w:p>
      <w:pPr>
        <w:ind w:left="1064" w:hanging="416"/>
        <w:spacing w:after="0"/>
        <w:tabs>
          <w:tab w:leader="none" w:pos="10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the business combination effected pursuant to the Business Combination Agreement.</w:t>
      </w:r>
    </w:p>
    <w:p>
      <w:pPr>
        <w:spacing w:after="0" w:line="198" w:lineRule="exact"/>
        <w:rPr>
          <w:rFonts w:ascii="Arial" w:cs="Arial" w:eastAsia="Arial" w:hAnsi="Arial"/>
          <w:sz w:val="18"/>
          <w:szCs w:val="18"/>
          <w:color w:val="auto"/>
        </w:rPr>
      </w:pPr>
    </w:p>
    <w:p>
      <w:pPr>
        <w:ind w:left="-656" w:right="20" w:firstLine="1304"/>
        <w:spacing w:after="0" w:line="260" w:lineRule="auto"/>
        <w:tabs>
          <w:tab w:leader="none" w:pos="1136"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Business Combination Agreement</w:t>
      </w:r>
      <w:r>
        <w:rPr>
          <w:rFonts w:ascii="Arial" w:cs="Arial" w:eastAsia="Arial" w:hAnsi="Arial"/>
          <w:sz w:val="20"/>
          <w:szCs w:val="20"/>
          <w:color w:val="auto"/>
        </w:rPr>
        <w:t>” means the means the Agreement and Plan of Merger, by and among CM Life Sciences, Inc., Mount Sinai Genomics, Inc., and certain other parties thereto, dated as of February 9, 2021.</w:t>
      </w:r>
    </w:p>
    <w:p>
      <w:pPr>
        <w:spacing w:after="0" w:line="136" w:lineRule="exact"/>
        <w:rPr>
          <w:rFonts w:ascii="Arial" w:cs="Arial" w:eastAsia="Arial" w:hAnsi="Arial"/>
          <w:sz w:val="20"/>
          <w:szCs w:val="20"/>
          <w:color w:val="auto"/>
        </w:rPr>
      </w:pPr>
    </w:p>
    <w:p>
      <w:pPr>
        <w:ind w:left="1064" w:hanging="416"/>
        <w:spacing w:after="0"/>
        <w:tabs>
          <w:tab w:leader="none" w:pos="1064"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Code</w:t>
      </w:r>
      <w:r>
        <w:rPr>
          <w:rFonts w:ascii="Arial" w:cs="Arial" w:eastAsia="Arial" w:hAnsi="Arial"/>
          <w:sz w:val="20"/>
          <w:szCs w:val="20"/>
          <w:color w:val="auto"/>
        </w:rPr>
        <w:t>” shall mean the U.S. Internal Revenue Code of 1986, as amended.</w:t>
      </w:r>
    </w:p>
    <w:p>
      <w:pPr>
        <w:spacing w:after="0" w:line="161" w:lineRule="exact"/>
        <w:rPr>
          <w:rFonts w:ascii="Arial" w:cs="Arial" w:eastAsia="Arial" w:hAnsi="Arial"/>
          <w:sz w:val="20"/>
          <w:szCs w:val="20"/>
          <w:color w:val="auto"/>
        </w:rPr>
      </w:pPr>
    </w:p>
    <w:p>
      <w:pPr>
        <w:ind w:left="-656" w:firstLine="1304"/>
        <w:spacing w:after="0" w:line="274" w:lineRule="auto"/>
        <w:tabs>
          <w:tab w:leader="none" w:pos="1063"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shall mean the Compensation Committee of the Board that consists exclusively of one or more members of the Board appointed by the Board.</w:t>
      </w:r>
    </w:p>
    <w:p>
      <w:pPr>
        <w:spacing w:after="0" w:line="122" w:lineRule="exact"/>
        <w:rPr>
          <w:rFonts w:ascii="Arial" w:cs="Arial" w:eastAsia="Arial" w:hAnsi="Arial"/>
          <w:sz w:val="20"/>
          <w:szCs w:val="20"/>
          <w:color w:val="auto"/>
        </w:rPr>
      </w:pPr>
    </w:p>
    <w:p>
      <w:pPr>
        <w:ind w:left="1084" w:hanging="436"/>
        <w:spacing w:after="0"/>
        <w:tabs>
          <w:tab w:leader="none" w:pos="1084"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Common Stock</w:t>
      </w:r>
      <w:r>
        <w:rPr>
          <w:rFonts w:ascii="Arial" w:cs="Arial" w:eastAsia="Arial" w:hAnsi="Arial"/>
          <w:sz w:val="20"/>
          <w:szCs w:val="20"/>
          <w:color w:val="auto"/>
        </w:rPr>
        <w:t>” shall mean the common stock of the Company.</w:t>
      </w:r>
    </w:p>
    <w:p>
      <w:pPr>
        <w:spacing w:after="0" w:line="161" w:lineRule="exact"/>
        <w:rPr>
          <w:rFonts w:ascii="Arial" w:cs="Arial" w:eastAsia="Arial" w:hAnsi="Arial"/>
          <w:sz w:val="20"/>
          <w:szCs w:val="20"/>
          <w:color w:val="auto"/>
        </w:rPr>
      </w:pPr>
    </w:p>
    <w:p>
      <w:pPr>
        <w:ind w:left="1084" w:hanging="436"/>
        <w:spacing w:after="0"/>
        <w:tabs>
          <w:tab w:leader="none" w:pos="1084"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mean GeneDx Holdings Corp.</w:t>
      </w:r>
    </w:p>
    <w:p>
      <w:pPr>
        <w:spacing w:after="0" w:line="175" w:lineRule="exact"/>
        <w:rPr>
          <w:rFonts w:ascii="Arial" w:cs="Arial" w:eastAsia="Arial" w:hAnsi="Arial"/>
          <w:sz w:val="20"/>
          <w:szCs w:val="20"/>
          <w:color w:val="auto"/>
        </w:rPr>
      </w:pPr>
    </w:p>
    <w:p>
      <w:pPr>
        <w:jc w:val="both"/>
        <w:ind w:left="-656" w:firstLine="1304"/>
        <w:spacing w:after="0" w:line="273" w:lineRule="auto"/>
        <w:tabs>
          <w:tab w:leader="none" w:pos="1119" w:val="left"/>
        </w:tabs>
        <w:numPr>
          <w:ilvl w:val="1"/>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Contributions</w:t>
      </w:r>
      <w:r>
        <w:rPr>
          <w:rFonts w:ascii="Arial" w:cs="Arial" w:eastAsia="Arial" w:hAnsi="Arial"/>
          <w:sz w:val="19"/>
          <w:szCs w:val="19"/>
          <w:color w:val="auto"/>
        </w:rPr>
        <w:t>” means payroll deductions taken from a Participant's Compensation and used to purchase shares of Common Stock under the Plan and, to the extent payroll deductions are not permitted by applicable laws (as determined by the Committee in its sole discretion) contributions by other means, provided, however, that allowing such other contributions does not jeopardize the qualification of the Plan as an “employee stock purchase plan” under Section 423 of the Plan.</w:t>
      </w:r>
    </w:p>
    <w:p>
      <w:pPr>
        <w:spacing w:after="0" w:line="112" w:lineRule="exact"/>
        <w:rPr>
          <w:rFonts w:ascii="Arial" w:cs="Arial" w:eastAsia="Arial" w:hAnsi="Arial"/>
          <w:sz w:val="19"/>
          <w:szCs w:val="19"/>
          <w:color w:val="auto"/>
        </w:rPr>
      </w:pPr>
    </w:p>
    <w:p>
      <w:pPr>
        <w:jc w:val="both"/>
        <w:ind w:left="-656" w:firstLine="1304"/>
        <w:spacing w:after="0" w:line="265" w:lineRule="auto"/>
        <w:tabs>
          <w:tab w:leader="none" w:pos="1025" w:val="left"/>
        </w:tabs>
        <w:numPr>
          <w:ilvl w:val="1"/>
          <w:numId w:val="7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Corporate Transaction</w:t>
      </w:r>
      <w:r>
        <w:rPr>
          <w:rFonts w:ascii="Arial" w:cs="Arial" w:eastAsia="Arial" w:hAnsi="Arial"/>
          <w:sz w:val="19"/>
          <w:szCs w:val="19"/>
          <w:color w:val="auto"/>
        </w:rPr>
        <w:t>” means the occurrence of any of the following events: (i) any “person” (as such term is used in Sections 13(d) and 14(d) of the Exchange Act) becomes the “beneficial owner” (as defined in Rule 13d-3 of the Exchange Act), directly or indirectly, of securities of the Company representing fifty percent (50%) or more of the total voting power represented by the Company’s then outstanding voting securities; or (ii) the consummation of the sale or disposition by the Company of all or substantially all of the Company’s assets; or (iii)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23" w:lineRule="exact"/>
        <w:rPr>
          <w:rFonts w:ascii="Arial" w:cs="Arial" w:eastAsia="Arial" w:hAnsi="Arial"/>
          <w:sz w:val="19"/>
          <w:szCs w:val="19"/>
          <w:color w:val="auto"/>
        </w:rPr>
      </w:pPr>
    </w:p>
    <w:p>
      <w:pPr>
        <w:ind w:left="1084" w:hanging="436"/>
        <w:spacing w:after="0"/>
        <w:tabs>
          <w:tab w:leader="none" w:pos="1084"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shall mean the closing date of the Business Combination.</w:t>
      </w:r>
    </w:p>
    <w:p>
      <w:pPr>
        <w:spacing w:after="0" w:line="175" w:lineRule="exact"/>
        <w:rPr>
          <w:rFonts w:ascii="Arial" w:cs="Arial" w:eastAsia="Arial" w:hAnsi="Arial"/>
          <w:sz w:val="20"/>
          <w:szCs w:val="20"/>
          <w:color w:val="auto"/>
        </w:rPr>
      </w:pPr>
    </w:p>
    <w:p>
      <w:pPr>
        <w:ind w:left="1024" w:hanging="376"/>
        <w:spacing w:after="0"/>
        <w:tabs>
          <w:tab w:leader="none" w:pos="1024" w:val="left"/>
        </w:tabs>
        <w:numPr>
          <w:ilvl w:val="1"/>
          <w:numId w:val="75"/>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means the U.S. Securities Exchange Act of 1934, as amended.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4864" w:hanging="107"/>
        <w:spacing w:after="0"/>
        <w:tabs>
          <w:tab w:leader="none" w:pos="4864" w:val="left"/>
        </w:tabs>
        <w:numPr>
          <w:ilvl w:val="2"/>
          <w:numId w:val="75"/>
        </w:numPr>
        <w:rPr>
          <w:rFonts w:ascii="Arial" w:cs="Arial" w:eastAsia="Arial" w:hAnsi="Arial"/>
          <w:sz w:val="20"/>
          <w:szCs w:val="20"/>
          <w:color w:val="auto"/>
        </w:rPr>
      </w:pPr>
      <w:r>
        <w:rPr>
          <w:rFonts w:ascii="Arial" w:cs="Arial" w:eastAsia="Arial" w:hAnsi="Arial"/>
          <w:sz w:val="20"/>
          <w:szCs w:val="20"/>
          <w:color w:val="auto"/>
        </w:rPr>
        <w:t>11 -</w:t>
      </w:r>
    </w:p>
    <w:p>
      <w:pPr>
        <w:sectPr>
          <w:pgSz w:w="11900" w:h="16838" w:orient="portrait"/>
          <w:cols w:equalWidth="0" w:num="1">
            <w:col w:w="10584"/>
          </w:cols>
          <w:pgMar w:left="976" w:top="1413" w:right="339" w:bottom="1440" w:gutter="0" w:footer="0" w:header="0"/>
        </w:sectPr>
      </w:pPr>
    </w:p>
    <w:bookmarkStart w:id="63" w:name="page64"/>
    <w:bookmarkEnd w:id="63"/>
    <w:p>
      <w:pPr>
        <w:ind w:left="1780" w:hanging="476"/>
        <w:spacing w:after="0"/>
        <w:tabs>
          <w:tab w:leader="none" w:pos="17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shall mean, as of any date, the value of a share of Common Stock determined as follows:</w:t>
      </w:r>
    </w:p>
    <w:p>
      <w:pPr>
        <w:spacing w:after="0" w:line="186" w:lineRule="exact"/>
        <w:rPr>
          <w:rFonts w:ascii="Arial" w:cs="Arial" w:eastAsia="Arial" w:hAnsi="Arial"/>
          <w:sz w:val="19"/>
          <w:szCs w:val="19"/>
          <w:color w:val="auto"/>
        </w:rPr>
      </w:pPr>
    </w:p>
    <w:p>
      <w:pPr>
        <w:jc w:val="both"/>
        <w:ind w:firstLine="1952"/>
        <w:spacing w:after="0" w:line="251" w:lineRule="auto"/>
        <w:tabs>
          <w:tab w:leader="none" w:pos="2315" w:val="left"/>
        </w:tabs>
        <w:numPr>
          <w:ilvl w:val="1"/>
          <w:numId w:val="76"/>
        </w:numPr>
        <w:rPr>
          <w:rFonts w:ascii="Arial" w:cs="Arial" w:eastAsia="Arial" w:hAnsi="Arial"/>
          <w:sz w:val="20"/>
          <w:szCs w:val="20"/>
          <w:color w:val="auto"/>
        </w:rPr>
      </w:pPr>
      <w:r>
        <w:rPr>
          <w:rFonts w:ascii="Arial" w:cs="Arial" w:eastAsia="Arial" w:hAnsi="Arial"/>
          <w:sz w:val="20"/>
          <w:szCs w:val="20"/>
          <w:color w:val="auto"/>
        </w:rPr>
        <w:t>if such Common Stock is then quoted on the Nasdaq Global Select Market, the Nasdaq Global Market or the Nasdaq Capital Market (collectively, the “</w:t>
      </w:r>
      <w:r>
        <w:rPr>
          <w:rFonts w:ascii="Arial" w:cs="Arial" w:eastAsia="Arial" w:hAnsi="Arial"/>
          <w:sz w:val="20"/>
          <w:szCs w:val="20"/>
          <w:b w:val="1"/>
          <w:bCs w:val="1"/>
          <w:i w:val="1"/>
          <w:iCs w:val="1"/>
          <w:color w:val="auto"/>
        </w:rPr>
        <w:t>Nasdaq Market</w:t>
      </w:r>
      <w:r>
        <w:rPr>
          <w:rFonts w:ascii="Arial" w:cs="Arial" w:eastAsia="Arial" w:hAnsi="Arial"/>
          <w:sz w:val="20"/>
          <w:szCs w:val="20"/>
          <w:color w:val="auto"/>
        </w:rPr>
        <w:t xml:space="preserve">”), its closing price on the Nasdaq Market on the date of determination, or if there are no sales for such date, then the last preceding business day on which there were sales,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Board or the Committee deems reliable;</w:t>
      </w:r>
    </w:p>
    <w:p>
      <w:pPr>
        <w:spacing w:after="0" w:line="144" w:lineRule="exact"/>
        <w:rPr>
          <w:rFonts w:ascii="Arial" w:cs="Arial" w:eastAsia="Arial" w:hAnsi="Arial"/>
          <w:sz w:val="20"/>
          <w:szCs w:val="20"/>
          <w:color w:val="auto"/>
        </w:rPr>
      </w:pPr>
    </w:p>
    <w:p>
      <w:pPr>
        <w:jc w:val="both"/>
        <w:ind w:firstLine="1952"/>
        <w:spacing w:after="0" w:line="257" w:lineRule="auto"/>
        <w:tabs>
          <w:tab w:leader="none" w:pos="2306"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and is then listed on a national securities exchange, its closing price on the date of determination on the principal national securities exchange on which the Common Stock is listed or admitted to trading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Board or the Committee deems reliable;</w:t>
      </w:r>
    </w:p>
    <w:p>
      <w:pPr>
        <w:spacing w:after="0" w:line="138" w:lineRule="exact"/>
        <w:rPr>
          <w:rFonts w:ascii="Arial" w:cs="Arial" w:eastAsia="Arial" w:hAnsi="Arial"/>
          <w:sz w:val="20"/>
          <w:szCs w:val="20"/>
          <w:color w:val="auto"/>
        </w:rPr>
      </w:pPr>
    </w:p>
    <w:p>
      <w:pPr>
        <w:jc w:val="both"/>
        <w:ind w:firstLine="1952"/>
        <w:spacing w:after="0" w:line="257" w:lineRule="auto"/>
        <w:tabs>
          <w:tab w:leader="none" w:pos="2391"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if such Common Stock is publicly traded but is neither quoted on the Nasdaq Market nor listed or admitted to trading on a national securities exchange, the average of the closing bid and asked prices on the date of determination as reported in </w:t>
      </w:r>
      <w:r>
        <w:rPr>
          <w:rFonts w:ascii="Arial" w:cs="Arial" w:eastAsia="Arial" w:hAnsi="Arial"/>
          <w:sz w:val="20"/>
          <w:szCs w:val="20"/>
          <w:i w:val="1"/>
          <w:iCs w:val="1"/>
          <w:color w:val="auto"/>
        </w:rPr>
        <w:t>The Wall</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Street Journal </w:t>
      </w:r>
      <w:r>
        <w:rPr>
          <w:rFonts w:ascii="Arial" w:cs="Arial" w:eastAsia="Arial" w:hAnsi="Arial"/>
          <w:sz w:val="20"/>
          <w:szCs w:val="20"/>
          <w:color w:val="auto"/>
        </w:rPr>
        <w:t>or such other source as the Board or the Committee deems reliable; or</w:t>
      </w:r>
    </w:p>
    <w:p>
      <w:pPr>
        <w:spacing w:after="0" w:line="138" w:lineRule="exact"/>
        <w:rPr>
          <w:rFonts w:ascii="Arial" w:cs="Arial" w:eastAsia="Arial" w:hAnsi="Arial"/>
          <w:sz w:val="20"/>
          <w:szCs w:val="20"/>
          <w:color w:val="auto"/>
        </w:rPr>
      </w:pPr>
    </w:p>
    <w:p>
      <w:pPr>
        <w:ind w:left="2340" w:hanging="388"/>
        <w:spacing w:after="0"/>
        <w:tabs>
          <w:tab w:leader="none" w:pos="2340" w:val="left"/>
        </w:tabs>
        <w:numPr>
          <w:ilvl w:val="1"/>
          <w:numId w:val="76"/>
        </w:numPr>
        <w:rPr>
          <w:rFonts w:ascii="Arial" w:cs="Arial" w:eastAsia="Arial" w:hAnsi="Arial"/>
          <w:sz w:val="20"/>
          <w:szCs w:val="20"/>
          <w:color w:val="auto"/>
        </w:rPr>
      </w:pPr>
      <w:r>
        <w:rPr>
          <w:rFonts w:ascii="Arial" w:cs="Arial" w:eastAsia="Arial" w:hAnsi="Arial"/>
          <w:sz w:val="20"/>
          <w:szCs w:val="20"/>
          <w:color w:val="auto"/>
        </w:rPr>
        <w:t>if none of the foregoing is applicable, by the Board or the Committee in good faith.</w:t>
      </w:r>
    </w:p>
    <w:p>
      <w:pPr>
        <w:spacing w:after="0" w:line="161" w:lineRule="exact"/>
        <w:rPr>
          <w:rFonts w:ascii="Arial" w:cs="Arial" w:eastAsia="Arial" w:hAnsi="Arial"/>
          <w:sz w:val="20"/>
          <w:szCs w:val="20"/>
          <w:color w:val="auto"/>
        </w:rPr>
      </w:pPr>
    </w:p>
    <w:p>
      <w:pPr>
        <w:ind w:firstLine="1304"/>
        <w:spacing w:after="0" w:line="274" w:lineRule="auto"/>
        <w:tabs>
          <w:tab w:leader="none" w:pos="1752"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Non-Section 423 Component</w:t>
      </w:r>
      <w:r>
        <w:rPr>
          <w:rFonts w:ascii="Arial" w:cs="Arial" w:eastAsia="Arial" w:hAnsi="Arial"/>
          <w:sz w:val="20"/>
          <w:szCs w:val="20"/>
          <w:color w:val="auto"/>
        </w:rPr>
        <w:t>” means the part of the Plan which is not intended to meet the requirements set forth in Section 423 of the Code.</w:t>
      </w:r>
    </w:p>
    <w:p>
      <w:pPr>
        <w:spacing w:after="0" w:line="109" w:lineRule="exact"/>
        <w:rPr>
          <w:rFonts w:ascii="Arial" w:cs="Arial" w:eastAsia="Arial" w:hAnsi="Arial"/>
          <w:sz w:val="20"/>
          <w:szCs w:val="20"/>
          <w:color w:val="auto"/>
        </w:rPr>
      </w:pPr>
    </w:p>
    <w:p>
      <w:pPr>
        <w:ind w:right="20" w:firstLine="1304"/>
        <w:spacing w:after="0" w:line="274" w:lineRule="auto"/>
        <w:tabs>
          <w:tab w:leader="none" w:pos="1738"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Notice Period</w:t>
      </w:r>
      <w:r>
        <w:rPr>
          <w:rFonts w:ascii="Arial" w:cs="Arial" w:eastAsia="Arial" w:hAnsi="Arial"/>
          <w:sz w:val="20"/>
          <w:szCs w:val="20"/>
          <w:color w:val="auto"/>
        </w:rPr>
        <w:t>” shall mean within two (2) years from the Offering Date or within one (1) year from the Purchase Date on which such shares were purchased.</w:t>
      </w:r>
    </w:p>
    <w:p>
      <w:pPr>
        <w:spacing w:after="0" w:line="122" w:lineRule="exact"/>
        <w:rPr>
          <w:rFonts w:ascii="Arial" w:cs="Arial" w:eastAsia="Arial" w:hAnsi="Arial"/>
          <w:sz w:val="20"/>
          <w:szCs w:val="20"/>
          <w:color w:val="auto"/>
        </w:rPr>
      </w:pPr>
    </w:p>
    <w:p>
      <w:pPr>
        <w:ind w:left="1740" w:hanging="436"/>
        <w:spacing w:after="0"/>
        <w:tabs>
          <w:tab w:leader="none" w:pos="1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Date</w:t>
      </w:r>
      <w:r>
        <w:rPr>
          <w:rFonts w:ascii="Arial" w:cs="Arial" w:eastAsia="Arial" w:hAnsi="Arial"/>
          <w:sz w:val="20"/>
          <w:szCs w:val="20"/>
          <w:color w:val="auto"/>
        </w:rPr>
        <w:t>” shall mean the first business day of each Offering Period.</w:t>
      </w:r>
    </w:p>
    <w:p>
      <w:pPr>
        <w:spacing w:after="0" w:line="161" w:lineRule="exact"/>
        <w:rPr>
          <w:rFonts w:ascii="Arial" w:cs="Arial" w:eastAsia="Arial" w:hAnsi="Arial"/>
          <w:sz w:val="20"/>
          <w:szCs w:val="20"/>
          <w:color w:val="auto"/>
        </w:rPr>
      </w:pPr>
    </w:p>
    <w:p>
      <w:pPr>
        <w:ind w:firstLine="1304"/>
        <w:spacing w:after="0" w:line="274" w:lineRule="auto"/>
        <w:tabs>
          <w:tab w:leader="none" w:pos="1806"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Offering Period</w:t>
      </w:r>
      <w:r>
        <w:rPr>
          <w:rFonts w:ascii="Arial" w:cs="Arial" w:eastAsia="Arial" w:hAnsi="Arial"/>
          <w:sz w:val="20"/>
          <w:szCs w:val="20"/>
          <w:color w:val="auto"/>
        </w:rPr>
        <w:t>” shall mean a period with respect to which the right to purchase Common Stock may be granted under the Plan, as determined by the Committee pursuant to Section 5(a).</w:t>
      </w:r>
    </w:p>
    <w:p>
      <w:pPr>
        <w:spacing w:after="0" w:line="109" w:lineRule="exact"/>
        <w:rPr>
          <w:rFonts w:ascii="Arial" w:cs="Arial" w:eastAsia="Arial" w:hAnsi="Arial"/>
          <w:sz w:val="20"/>
          <w:szCs w:val="20"/>
          <w:color w:val="auto"/>
        </w:rPr>
      </w:pPr>
    </w:p>
    <w:p>
      <w:pPr>
        <w:ind w:left="1700" w:hanging="396"/>
        <w:spacing w:after="0"/>
        <w:tabs>
          <w:tab w:leader="none" w:pos="17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Parent</w:t>
      </w:r>
      <w:r>
        <w:rPr>
          <w:rFonts w:ascii="Arial" w:cs="Arial" w:eastAsia="Arial" w:hAnsi="Arial"/>
          <w:sz w:val="20"/>
          <w:szCs w:val="20"/>
          <w:color w:val="auto"/>
        </w:rPr>
        <w:t>” shall have the same meaning as “parent corporation” in Sections 424(e) and 424(f) of the Code.</w:t>
      </w:r>
    </w:p>
    <w:p>
      <w:pPr>
        <w:spacing w:after="0" w:line="175" w:lineRule="exact"/>
        <w:rPr>
          <w:rFonts w:ascii="Arial" w:cs="Arial" w:eastAsia="Arial" w:hAnsi="Arial"/>
          <w:sz w:val="20"/>
          <w:szCs w:val="20"/>
          <w:color w:val="auto"/>
        </w:rPr>
      </w:pPr>
    </w:p>
    <w:p>
      <w:pPr>
        <w:ind w:firstLine="1304"/>
        <w:spacing w:after="0" w:line="260" w:lineRule="auto"/>
        <w:tabs>
          <w:tab w:leader="none" w:pos="1757"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Participant</w:t>
      </w:r>
      <w:r>
        <w:rPr>
          <w:rFonts w:ascii="Arial" w:cs="Arial" w:eastAsia="Arial" w:hAnsi="Arial"/>
          <w:sz w:val="20"/>
          <w:szCs w:val="20"/>
          <w:color w:val="auto"/>
        </w:rPr>
        <w:t>” shall mean an eligible employee who meets the eligibility requirements set forth in Section 4 and who elects to participate in this Plan pursuant to Section 6(b).</w:t>
      </w:r>
    </w:p>
    <w:p>
      <w:pPr>
        <w:spacing w:after="0" w:line="136" w:lineRule="exact"/>
        <w:rPr>
          <w:rFonts w:ascii="Arial" w:cs="Arial" w:eastAsia="Arial" w:hAnsi="Arial"/>
          <w:sz w:val="20"/>
          <w:szCs w:val="20"/>
          <w:color w:val="auto"/>
        </w:rPr>
      </w:pPr>
    </w:p>
    <w:p>
      <w:pPr>
        <w:jc w:val="both"/>
        <w:ind w:firstLine="1304"/>
        <w:spacing w:after="0" w:line="268" w:lineRule="auto"/>
        <w:tabs>
          <w:tab w:leader="none" w:pos="1694" w:val="left"/>
        </w:tabs>
        <w:numPr>
          <w:ilvl w:val="0"/>
          <w:numId w:val="7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Participating Corporation</w:t>
      </w:r>
      <w:r>
        <w:rPr>
          <w:rFonts w:ascii="Arial" w:cs="Arial" w:eastAsia="Arial" w:hAnsi="Arial"/>
          <w:sz w:val="19"/>
          <w:szCs w:val="19"/>
          <w:color w:val="auto"/>
        </w:rPr>
        <w:t>” shall mean any Parent, Subsidiary or Affiliate that the Committee designates from time to time as eligible to participate in this Plan. For purposes of the Section 423 Component, only the Parent and Subsidiaries may be Participating Corporations, provided, however, that at any given time a Parent or Subsidiary that is a Participating Corporation under the Section 423 Component shall not be a Participating Corporation under the Non-Section 423 Component. The Committee may provide that any Participating Corporation shall only be eligible to participate in the Non-Section 423 Component.</w:t>
      </w:r>
    </w:p>
    <w:p>
      <w:pPr>
        <w:spacing w:after="0" w:line="130" w:lineRule="exact"/>
        <w:rPr>
          <w:rFonts w:ascii="Arial" w:cs="Arial" w:eastAsia="Arial" w:hAnsi="Arial"/>
          <w:sz w:val="19"/>
          <w:szCs w:val="19"/>
          <w:color w:val="auto"/>
        </w:rPr>
      </w:pPr>
    </w:p>
    <w:p>
      <w:pPr>
        <w:ind w:left="1740" w:hanging="436"/>
        <w:spacing w:after="0"/>
        <w:tabs>
          <w:tab w:leader="none" w:pos="1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shall mean this GeneDx Holdings Corp. 2021 Employee Stock Purchase Plan, as may be amended from time to</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time.</w:t>
      </w:r>
    </w:p>
    <w:p>
      <w:pPr>
        <w:spacing w:after="0" w:line="154" w:lineRule="exact"/>
        <w:rPr>
          <w:rFonts w:ascii="Arial" w:cs="Arial" w:eastAsia="Arial" w:hAnsi="Arial"/>
          <w:sz w:val="18"/>
          <w:szCs w:val="18"/>
          <w:color w:val="auto"/>
        </w:rPr>
      </w:pPr>
    </w:p>
    <w:p>
      <w:pPr>
        <w:ind w:left="1740" w:hanging="436"/>
        <w:spacing w:after="0"/>
        <w:tabs>
          <w:tab w:leader="none" w:pos="1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Date</w:t>
      </w:r>
      <w:r>
        <w:rPr>
          <w:rFonts w:ascii="Arial" w:cs="Arial" w:eastAsia="Arial" w:hAnsi="Arial"/>
          <w:sz w:val="20"/>
          <w:szCs w:val="20"/>
          <w:color w:val="auto"/>
        </w:rPr>
        <w:t>” shall mean the last business day of each Purchase Period.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1" w:lineRule="exact"/>
        <w:rPr>
          <w:rFonts w:ascii="Arial" w:cs="Arial" w:eastAsia="Arial" w:hAnsi="Arial"/>
          <w:sz w:val="20"/>
          <w:szCs w:val="20"/>
          <w:color w:val="auto"/>
        </w:rPr>
      </w:pPr>
    </w:p>
    <w:p>
      <w:pPr>
        <w:ind w:left="5520" w:hanging="110"/>
        <w:spacing w:after="0"/>
        <w:tabs>
          <w:tab w:leader="none" w:pos="5520" w:val="left"/>
        </w:tabs>
        <w:numPr>
          <w:ilvl w:val="2"/>
          <w:numId w:val="76"/>
        </w:numPr>
        <w:rPr>
          <w:rFonts w:ascii="Arial" w:cs="Arial" w:eastAsia="Arial" w:hAnsi="Arial"/>
          <w:sz w:val="20"/>
          <w:szCs w:val="20"/>
          <w:color w:val="auto"/>
        </w:rPr>
      </w:pPr>
      <w:r>
        <w:rPr>
          <w:rFonts w:ascii="Arial" w:cs="Arial" w:eastAsia="Arial" w:hAnsi="Arial"/>
          <w:sz w:val="20"/>
          <w:szCs w:val="20"/>
          <w:color w:val="auto"/>
        </w:rPr>
        <w:t>12 -</w:t>
      </w:r>
    </w:p>
    <w:p>
      <w:pPr>
        <w:sectPr>
          <w:pgSz w:w="11900" w:h="16838" w:orient="portrait"/>
          <w:cols w:equalWidth="0" w:num="1">
            <w:col w:w="11240"/>
          </w:cols>
          <w:pgMar w:left="320" w:top="1419" w:right="339" w:bottom="1440" w:gutter="0" w:footer="0" w:header="0"/>
        </w:sectPr>
      </w:pPr>
    </w:p>
    <w:bookmarkStart w:id="64" w:name="page65"/>
    <w:bookmarkEnd w:id="64"/>
    <w:p>
      <w:pPr>
        <w:ind w:left="-1120" w:firstLine="1304"/>
        <w:spacing w:after="0" w:line="274" w:lineRule="auto"/>
        <w:tabs>
          <w:tab w:leader="none" w:pos="716"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Period</w:t>
      </w:r>
      <w:r>
        <w:rPr>
          <w:rFonts w:ascii="Arial" w:cs="Arial" w:eastAsia="Arial" w:hAnsi="Arial"/>
          <w:sz w:val="20"/>
          <w:szCs w:val="20"/>
          <w:color w:val="auto"/>
        </w:rPr>
        <w:t>” shall mean a period during which Contributions may be made toward the purchase of Common Stock under the Plan, as determined by the Committee pursuant to Section 5(b).</w:t>
      </w:r>
    </w:p>
    <w:p>
      <w:pPr>
        <w:spacing w:after="0" w:line="109" w:lineRule="exact"/>
        <w:rPr>
          <w:rFonts w:ascii="Arial" w:cs="Arial" w:eastAsia="Arial" w:hAnsi="Arial"/>
          <w:sz w:val="20"/>
          <w:szCs w:val="20"/>
          <w:color w:val="auto"/>
        </w:rPr>
      </w:pPr>
    </w:p>
    <w:p>
      <w:pPr>
        <w:ind w:left="-1120" w:firstLine="1304"/>
        <w:spacing w:after="0" w:line="274" w:lineRule="auto"/>
        <w:tabs>
          <w:tab w:leader="none" w:pos="618"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Purchase Price</w:t>
      </w:r>
      <w:r>
        <w:rPr>
          <w:rFonts w:ascii="Arial" w:cs="Arial" w:eastAsia="Arial" w:hAnsi="Arial"/>
          <w:sz w:val="20"/>
          <w:szCs w:val="20"/>
          <w:color w:val="auto"/>
        </w:rPr>
        <w:t>” shall mean the price at which Participants may purchase shares of Common Stock under the Plan, as determined pursuant to Section 8.</w:t>
      </w:r>
    </w:p>
    <w:p>
      <w:pPr>
        <w:spacing w:after="0" w:line="109" w:lineRule="exact"/>
        <w:rPr>
          <w:rFonts w:ascii="Arial" w:cs="Arial" w:eastAsia="Arial" w:hAnsi="Arial"/>
          <w:sz w:val="20"/>
          <w:szCs w:val="20"/>
          <w:color w:val="auto"/>
        </w:rPr>
      </w:pPr>
    </w:p>
    <w:p>
      <w:pPr>
        <w:jc w:val="both"/>
        <w:ind w:left="-1120" w:firstLine="1304"/>
        <w:spacing w:after="0" w:line="264" w:lineRule="auto"/>
        <w:tabs>
          <w:tab w:leader="none" w:pos="659"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Section 423 Component</w:t>
      </w:r>
      <w:r>
        <w:rPr>
          <w:rFonts w:ascii="Arial" w:cs="Arial" w:eastAsia="Arial" w:hAnsi="Arial"/>
          <w:sz w:val="20"/>
          <w:szCs w:val="20"/>
          <w:color w:val="auto"/>
        </w:rPr>
        <w:t>” means the part of the Plan, which excludes the Non-Section 423 Component, pursuant to which options to purchase shares of Common Stock under the Plan that satisfy the requirements for “employee stock purchase plans” set forth in Section 423 of the Code may be granted to eligible employees.</w:t>
      </w:r>
    </w:p>
    <w:p>
      <w:pPr>
        <w:spacing w:after="0" w:line="118" w:lineRule="exact"/>
        <w:rPr>
          <w:rFonts w:ascii="Arial" w:cs="Arial" w:eastAsia="Arial" w:hAnsi="Arial"/>
          <w:sz w:val="20"/>
          <w:szCs w:val="20"/>
          <w:color w:val="auto"/>
        </w:rPr>
      </w:pPr>
    </w:p>
    <w:p>
      <w:pPr>
        <w:ind w:left="600" w:hanging="416"/>
        <w:spacing w:after="0"/>
        <w:tabs>
          <w:tab w:leader="none" w:pos="6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shall have the same meaning as “subsidiary corporation” in Sections 424(e) and 424(f) of the Code.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53" w:lineRule="exact"/>
        <w:rPr>
          <w:rFonts w:ascii="Arial" w:cs="Arial" w:eastAsia="Arial" w:hAnsi="Arial"/>
          <w:sz w:val="19"/>
          <w:szCs w:val="19"/>
          <w:color w:val="auto"/>
        </w:rPr>
      </w:pPr>
    </w:p>
    <w:p>
      <w:pPr>
        <w:ind w:left="4400" w:hanging="110"/>
        <w:spacing w:after="0"/>
        <w:tabs>
          <w:tab w:leader="none" w:pos="4400" w:val="left"/>
        </w:tabs>
        <w:numPr>
          <w:ilvl w:val="1"/>
          <w:numId w:val="77"/>
        </w:numPr>
        <w:rPr>
          <w:rFonts w:ascii="Arial" w:cs="Arial" w:eastAsia="Arial" w:hAnsi="Arial"/>
          <w:sz w:val="20"/>
          <w:szCs w:val="20"/>
          <w:color w:val="auto"/>
        </w:rPr>
      </w:pPr>
      <w:r>
        <w:rPr>
          <w:rFonts w:ascii="Arial" w:cs="Arial" w:eastAsia="Arial" w:hAnsi="Arial"/>
          <w:sz w:val="20"/>
          <w:szCs w:val="20"/>
          <w:color w:val="auto"/>
        </w:rPr>
        <w:t>13 -</w:t>
      </w:r>
    </w:p>
    <w:sectPr>
      <w:pgSz w:w="11900" w:h="16838" w:orient="portrait"/>
      <w:cols w:equalWidth="0" w:num="1">
        <w:col w:w="10120"/>
      </w:cols>
      <w:pgMar w:left="144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lowerLetter"/>
      <w:start w:val="1"/>
    </w:lvl>
  </w:abstractNum>
  <w:abstractNum w:abstractNumId="1">
    <w:nsid w:val="51EAD36B"/>
    <w:multiLevelType w:val="hybridMultilevel"/>
    <w:lvl w:ilvl="0">
      <w:lvlJc w:val="left"/>
      <w:lvlText w:val="%1"/>
      <w:numFmt w:val="decimal"/>
      <w:start w:val="107"/>
    </w:lvl>
  </w:abstractNum>
  <w:abstractNum w:abstractNumId="2">
    <w:nsid w:val="2D517796"/>
    <w:multiLevelType w:val="hybridMultilevel"/>
    <w:lvl w:ilvl="0">
      <w:lvlJc w:val="left"/>
      <w:lvlText w:val="(%1)"/>
      <w:numFmt w:val="decimal"/>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3"/>
    </w:lvl>
  </w:abstractNum>
  <w:abstractNum w:abstractNumId="5">
    <w:nsid w:val="3855585C"/>
    <w:multiLevelType w:val="hybridMultilevel"/>
    <w:lvl w:ilvl="0">
      <w:lvlJc w:val="left"/>
      <w:lvlText w:val="(%1)"/>
      <w:numFmt w:val="lowerLetter"/>
      <w:start w:val="1"/>
    </w:lvl>
  </w:abstractNum>
  <w:abstractNum w:abstractNumId="6">
    <w:nsid w:val="70A64E2A"/>
    <w:multiLevelType w:val="hybridMultilevel"/>
    <w:lvl w:ilvl="0">
      <w:lvlJc w:val="left"/>
      <w:lvlText w:val="(%1)"/>
      <w:numFmt w:val="lowerLetter"/>
      <w:start w:val="2"/>
    </w:lvl>
  </w:abstractNum>
  <w:abstractNum w:abstractNumId="7">
    <w:nsid w:val="6A2342EC"/>
    <w:multiLevelType w:val="hybridMultilevel"/>
    <w:lvl w:ilvl="0">
      <w:lvlJc w:val="left"/>
      <w:lvlText w:val="(%1)"/>
      <w:numFmt w:val="lowerLetter"/>
      <w:start w:val="5"/>
    </w:lvl>
  </w:abstractNum>
  <w:abstractNum w:abstractNumId="8">
    <w:nsid w:val="2A487CB0"/>
    <w:multiLevelType w:val="hybridMultilevel"/>
    <w:lvl w:ilvl="0">
      <w:lvlJc w:val="left"/>
      <w:lvlText w:val="%1."/>
      <w:numFmt w:val="decimal"/>
      <w:start w:val="5"/>
    </w:lvl>
  </w:abstractNum>
  <w:abstractNum w:abstractNumId="9">
    <w:nsid w:val="1D4ED43B"/>
    <w:multiLevelType w:val="hybridMultilevel"/>
    <w:lvl w:ilvl="0">
      <w:lvlJc w:val="left"/>
      <w:lvlText w:val="(%1)"/>
      <w:numFmt w:val="decimal"/>
      <w:start w:val="3"/>
    </w:lvl>
    <w:lvl w:ilvl="1">
      <w:lvlJc w:val="left"/>
      <w:lvlText w:val="(%2)"/>
      <w:numFmt w:val="lowerLetter"/>
      <w:start w:val="1"/>
    </w:lvl>
  </w:abstractNum>
  <w:abstractNum w:abstractNumId="10">
    <w:nsid w:val="725A06FB"/>
    <w:multiLevelType w:val="hybridMultilevel"/>
    <w:lvl w:ilvl="0">
      <w:lvlJc w:val="left"/>
      <w:lvlText w:val="(%1)"/>
      <w:numFmt w:val="lowerLetter"/>
      <w:start w:val="2"/>
    </w:lvl>
  </w:abstractNum>
  <w:abstractNum w:abstractNumId="11">
    <w:nsid w:val="2CD89A32"/>
    <w:multiLevelType w:val="hybridMultilevel"/>
    <w:lvl w:ilvl="0">
      <w:lvlJc w:val="left"/>
      <w:lvlText w:val="%1."/>
      <w:numFmt w:val="decimal"/>
      <w:start w:val="6"/>
    </w:lvl>
  </w:abstractNum>
  <w:abstractNum w:abstractNumId="12">
    <w:nsid w:val="57E4CCAF"/>
    <w:multiLevelType w:val="hybridMultilevel"/>
    <w:lvl w:ilvl="0">
      <w:lvlJc w:val="left"/>
      <w:lvlText w:val="(%1)"/>
      <w:numFmt w:val="lowerLetter"/>
      <w:start w:val="3"/>
    </w:lvl>
  </w:abstractNum>
  <w:abstractNum w:abstractNumId="13">
    <w:nsid w:val="7A6D8D3C"/>
    <w:multiLevelType w:val="hybridMultilevel"/>
    <w:lvl w:ilvl="0">
      <w:lvlJc w:val="left"/>
      <w:lvlText w:val="%1."/>
      <w:numFmt w:val="decimal"/>
      <w:start w:val="7"/>
    </w:lvl>
  </w:abstractNum>
  <w:abstractNum w:abstractNumId="14">
    <w:nsid w:val="4B588F54"/>
    <w:multiLevelType w:val="hybridMultilevel"/>
    <w:lvl w:ilvl="0">
      <w:lvlJc w:val="left"/>
      <w:lvlText w:val="%1."/>
      <w:numFmt w:val="decimal"/>
      <w:start w:val="8"/>
    </w:lvl>
  </w:abstractNum>
  <w:abstractNum w:abstractNumId="15">
    <w:nsid w:val="542289EC"/>
    <w:multiLevelType w:val="hybridMultilevel"/>
    <w:lvl w:ilvl="0">
      <w:lvlJc w:val="left"/>
      <w:lvlText w:val="(%1)"/>
      <w:numFmt w:val="lowerLetter"/>
      <w:start w:val="2"/>
    </w:lvl>
  </w:abstractNum>
  <w:abstractNum w:abstractNumId="16">
    <w:nsid w:val="6DE91B18"/>
    <w:multiLevelType w:val="hybridMultilevel"/>
    <w:lvl w:ilvl="0">
      <w:lvlJc w:val="left"/>
      <w:lvlText w:val="%1."/>
      <w:numFmt w:val="decimal"/>
      <w:start w:val="9"/>
    </w:lvl>
  </w:abstractNum>
  <w:abstractNum w:abstractNumId="17">
    <w:nsid w:val="38437FDB"/>
    <w:multiLevelType w:val="hybridMultilevel"/>
    <w:lvl w:ilvl="0">
      <w:lvlJc w:val="left"/>
      <w:lvlText w:val="(%1)"/>
      <w:numFmt w:val="decimal"/>
      <w:start w:val="10"/>
    </w:lvl>
  </w:abstractNum>
  <w:abstractNum w:abstractNumId="18">
    <w:nsid w:val="7644A45C"/>
    <w:multiLevelType w:val="hybridMultilevel"/>
    <w:lvl w:ilvl="0">
      <w:lvlJc w:val="left"/>
      <w:lvlText w:val="%1."/>
      <w:numFmt w:val="decimal"/>
      <w:start w:val="10"/>
    </w:lvl>
  </w:abstractNum>
  <w:abstractNum w:abstractNumId="19">
    <w:nsid w:val="32FFF902"/>
    <w:multiLevelType w:val="hybridMultilevel"/>
    <w:lvl w:ilvl="0">
      <w:lvlJc w:val="left"/>
      <w:lvlText w:val="(%1)"/>
      <w:numFmt w:val="lowerLetter"/>
      <w:start w:val="1"/>
    </w:lvl>
  </w:abstractNum>
  <w:abstractNum w:abstractNumId="20">
    <w:nsid w:val="684A481A"/>
    <w:multiLevelType w:val="hybridMultilevel"/>
    <w:lvl w:ilvl="0">
      <w:lvlJc w:val="left"/>
      <w:lvlText w:val="%1."/>
      <w:numFmt w:val="decimal"/>
      <w:start w:val="11"/>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decimal"/>
      <w:start w:val="12"/>
    </w:lvl>
  </w:abstractNum>
  <w:abstractNum w:abstractNumId="23">
    <w:nsid w:val="3DC240FB"/>
    <w:multiLevelType w:val="hybridMultilevel"/>
    <w:lvl w:ilvl="0">
      <w:lvlJc w:val="left"/>
      <w:lvlText w:val="%1."/>
      <w:numFmt w:val="decimal"/>
      <w:start w:val="13"/>
    </w:lvl>
  </w:abstractNum>
  <w:abstractNum w:abstractNumId="24">
    <w:nsid w:val="1BA026FA"/>
    <w:multiLevelType w:val="hybridMultilevel"/>
    <w:lvl w:ilvl="0">
      <w:lvlJc w:val="left"/>
      <w:lvlText w:val="%1."/>
      <w:numFmt w:val="decimal"/>
      <w:start w:val="14"/>
    </w:lvl>
  </w:abstractNum>
  <w:abstractNum w:abstractNumId="25">
    <w:nsid w:val="79A1DEAA"/>
    <w:multiLevelType w:val="hybridMultilevel"/>
    <w:lvl w:ilvl="0">
      <w:lvlJc w:val="left"/>
      <w:lvlText w:val="%1."/>
      <w:numFmt w:val="decimal"/>
      <w:start w:val="15"/>
    </w:lvl>
  </w:abstractNum>
  <w:abstractNum w:abstractNumId="26">
    <w:nsid w:val="75C6C33A"/>
    <w:multiLevelType w:val="hybridMultilevel"/>
    <w:lvl w:ilvl="0">
      <w:lvlJc w:val="left"/>
      <w:lvlText w:val="%1."/>
      <w:numFmt w:val="decimal"/>
      <w:start w:val="16"/>
    </w:lvl>
  </w:abstractNum>
  <w:abstractNum w:abstractNumId="27">
    <w:nsid w:val="12E685FB"/>
    <w:multiLevelType w:val="hybridMultilevel"/>
    <w:lvl w:ilvl="0">
      <w:lvlJc w:val="left"/>
      <w:lvlText w:val="%1."/>
      <w:numFmt w:val="decimal"/>
      <w:start w:val="18"/>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lowerLetter"/>
      <w:start w:val="2"/>
    </w:lvl>
  </w:abstractNum>
  <w:abstractNum w:abstractNumId="30">
    <w:nsid w:val="374A3FE6"/>
    <w:multiLevelType w:val="hybridMultilevel"/>
    <w:lvl w:ilvl="0">
      <w:lvlJc w:val="left"/>
      <w:lvlText w:val="%1."/>
      <w:numFmt w:val="decimal"/>
      <w:start w:val="22"/>
    </w:lvl>
  </w:abstractNum>
  <w:abstractNum w:abstractNumId="31">
    <w:nsid w:val="4F4EF005"/>
    <w:multiLevelType w:val="hybridMultilevel"/>
    <w:lvl w:ilvl="0">
      <w:lvlJc w:val="left"/>
      <w:lvlText w:val="%1."/>
      <w:numFmt w:val="decimal"/>
      <w:start w:val="28"/>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lowerLetter"/>
      <w:start w:val="1"/>
    </w:lvl>
  </w:abstractNum>
  <w:abstractNum w:abstractNumId="34">
    <w:nsid w:val="275AC794"/>
    <w:multiLevelType w:val="hybridMultilevel"/>
    <w:lvl w:ilvl="0">
      <w:lvlJc w:val="left"/>
      <w:lvlText w:val="(%1)"/>
      <w:numFmt w:val="lowerLetter"/>
      <w:start w:val="1"/>
    </w:lvl>
  </w:abstractNum>
  <w:abstractNum w:abstractNumId="35">
    <w:nsid w:val="39386575"/>
    <w:multiLevelType w:val="hybridMultilevel"/>
    <w:lvl w:ilvl="0">
      <w:lvlJc w:val="left"/>
      <w:lvlText w:val="(%1)"/>
      <w:numFmt w:val="lowerLetter"/>
      <w:start w:val="18"/>
    </w:lvl>
  </w:abstractNum>
  <w:abstractNum w:abstractNumId="36">
    <w:nsid w:val="1CF10FD8"/>
    <w:multiLevelType w:val="hybridMultilevel"/>
    <w:lvl w:ilvl="0">
      <w:lvlJc w:val="left"/>
      <w:lvlText w:val="(%1)"/>
      <w:numFmt w:val="lowerLetter"/>
      <w:start w:val="27"/>
    </w:lvl>
  </w:abstractNum>
  <w:abstractNum w:abstractNumId="37">
    <w:nsid w:val="180115BE"/>
    <w:multiLevelType w:val="hybridMultilevel"/>
    <w:lvl w:ilvl="0">
      <w:lvlJc w:val="left"/>
      <w:lvlText w:val="%1."/>
      <w:numFmt w:val="decimal"/>
      <w:start w:val="29"/>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3"/>
    </w:lvl>
  </w:abstractNum>
  <w:abstractNum w:abstractNumId="40">
    <w:nsid w:val="354FE9F9"/>
    <w:multiLevelType w:val="hybridMultilevel"/>
    <w:lvl w:ilvl="0">
      <w:lvlJc w:val="left"/>
      <w:lvlText w:val="%1."/>
      <w:numFmt w:val="decimal"/>
      <w:start w:val="1"/>
    </w:lvl>
    <w:lvl w:ilvl="1">
      <w:lvlJc w:val="left"/>
      <w:lvlText w:val="(%2)"/>
      <w:numFmt w:val="lowerLetter"/>
      <w:start w:val="1"/>
    </w:lvl>
  </w:abstractNum>
  <w:abstractNum w:abstractNumId="41">
    <w:nsid w:val="15B5AF5C"/>
    <w:multiLevelType w:val="hybridMultilevel"/>
    <w:lvl w:ilvl="0">
      <w:lvlJc w:val="left"/>
      <w:lvlText w:val="%1"/>
      <w:numFmt w:val="decimal"/>
      <w:start w:val="1"/>
    </w:lvl>
    <w:lvl w:ilvl="1">
      <w:lvlJc w:val="left"/>
      <w:lvlText w:val="(%2)"/>
      <w:numFmt w:val="lowerLetter"/>
      <w:start w:val="4"/>
    </w:lvl>
  </w:abstractNum>
  <w:abstractNum w:abstractNumId="42">
    <w:nsid w:val="741226BB"/>
    <w:multiLevelType w:val="hybridMultilevel"/>
    <w:lvl w:ilvl="0">
      <w:lvlJc w:val="left"/>
      <w:lvlText w:val="%1."/>
      <w:numFmt w:val="decimal"/>
      <w:start w:val="4"/>
    </w:lvl>
    <w:lvl w:ilvl="1">
      <w:lvlJc w:val="left"/>
      <w:lvlText w:val="(%2)"/>
      <w:numFmt w:val="lowerLetter"/>
      <w:start w:val="1"/>
    </w:lvl>
  </w:abstractNum>
  <w:abstractNum w:abstractNumId="43">
    <w:nsid w:val="D34B6A8"/>
    <w:multiLevelType w:val="hybridMultilevel"/>
    <w:lvl w:ilvl="0">
      <w:lvlJc w:val="left"/>
      <w:lvlText w:val="%1."/>
      <w:numFmt w:val="decimal"/>
      <w:start w:val="5"/>
    </w:lvl>
    <w:lvl w:ilvl="1">
      <w:lvlJc w:val="left"/>
      <w:lvlText w:val="(%2)"/>
      <w:numFmt w:val="lowerLetter"/>
      <w:start w:val="1"/>
    </w:lvl>
  </w:abstractNum>
  <w:abstractNum w:abstractNumId="44">
    <w:nsid w:val="10233C99"/>
    <w:multiLevelType w:val="hybridMultilevel"/>
    <w:lvl w:ilvl="0">
      <w:lvlJc w:val="left"/>
      <w:lvlText w:val="%1."/>
      <w:numFmt w:val="decimal"/>
      <w:start w:val="6"/>
    </w:lvl>
  </w:abstractNum>
  <w:abstractNum w:abstractNumId="45">
    <w:nsid w:val="3F6AB60F"/>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6">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7">
    <w:nsid w:val="7E0C57B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48">
    <w:nsid w:val="77AE35E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49">
    <w:nsid w:val="579BE4F1"/>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50">
    <w:nsid w:val="310C50B3"/>
    <w:multiLevelType w:val="hybridMultilevel"/>
    <w:lvl w:ilvl="0">
      <w:lvlJc w:val="left"/>
      <w:lvlText w:val="%1."/>
      <w:numFmt w:val="decimal"/>
      <w:start w:val="12"/>
    </w:lvl>
  </w:abstractNum>
  <w:abstractNum w:abstractNumId="51">
    <w:nsid w:val="5FF87E05"/>
    <w:multiLevelType w:val="hybridMultilevel"/>
    <w:lvl w:ilvl="0">
      <w:lvlJc w:val="left"/>
      <w:lvlText w:val="%1."/>
      <w:numFmt w:val="decimal"/>
      <w:start w:val="18"/>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4"/>
    </w:lvl>
  </w:abstractNum>
  <w:abstractNum w:abstractNumId="54">
    <w:nsid w:val="1DBABF00"/>
    <w:multiLevelType w:val="hybridMultilevel"/>
    <w:lvl w:ilvl="0">
      <w:lvlJc w:val="left"/>
      <w:lvlText w:val="%1."/>
      <w:numFmt w:val="decimal"/>
      <w:start w:val="1"/>
    </w:lvl>
    <w:lvl w:ilvl="1">
      <w:lvlJc w:val="left"/>
      <w:lvlText w:val="(%2)"/>
      <w:numFmt w:val="lowerLetter"/>
      <w:start w:val="1"/>
    </w:lvl>
  </w:abstractNum>
  <w:abstractNum w:abstractNumId="55">
    <w:nsid w:val="4AD084E9"/>
    <w:multiLevelType w:val="hybridMultilevel"/>
    <w:lvl w:ilvl="0">
      <w:lvlJc w:val="left"/>
      <w:lvlText w:val="(%1)"/>
      <w:numFmt w:val="lowerLetter"/>
      <w:start w:val="1"/>
    </w:lvl>
  </w:abstractNum>
  <w:abstractNum w:abstractNumId="56">
    <w:nsid w:val="1F48EAA1"/>
    <w:multiLevelType w:val="hybridMultilevel"/>
    <w:lvl w:ilvl="0">
      <w:lvlJc w:val="left"/>
      <w:lvlText w:val="(%1)"/>
      <w:numFmt w:val="lowerLetter"/>
      <w:start w:val="3"/>
    </w:lvl>
  </w:abstractNum>
  <w:abstractNum w:abstractNumId="57">
    <w:nsid w:val="1381823A"/>
    <w:multiLevelType w:val="hybridMultilevel"/>
    <w:lvl w:ilvl="0">
      <w:lvlJc w:val="left"/>
      <w:lvlText w:val="%1."/>
      <w:numFmt w:val="decimal"/>
      <w:start w:val="6"/>
    </w:lvl>
    <w:lvl w:ilvl="1">
      <w:lvlJc w:val="left"/>
      <w:lvlText w:val="(%2)"/>
      <w:numFmt w:val="lowerLetter"/>
      <w:start w:val="1"/>
    </w:lvl>
  </w:abstractNum>
  <w:abstractNum w:abstractNumId="58">
    <w:nsid w:val="5DB70AE5"/>
    <w:multiLevelType w:val="hybridMultilevel"/>
    <w:lvl w:ilvl="0">
      <w:lvlJc w:val="left"/>
      <w:lvlText w:val="%1."/>
      <w:numFmt w:val="decimal"/>
      <w:start w:val="10"/>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3"/>
    </w:lvl>
  </w:abstractNum>
  <w:abstractNum w:abstractNumId="61">
    <w:nsid w:val="15014ACB"/>
    <w:multiLevelType w:val="hybridMultilevel"/>
    <w:lvl w:ilvl="0">
      <w:lvlJc w:val="left"/>
      <w:lvlText w:val="%1."/>
      <w:numFmt w:val="decimal"/>
      <w:start w:val="4"/>
    </w:lvl>
    <w:lvl w:ilvl="1">
      <w:lvlJc w:val="left"/>
      <w:lvlText w:val="(%2)"/>
      <w:numFmt w:val="lowerLetter"/>
      <w:start w:val="1"/>
    </w:lvl>
  </w:abstractNum>
  <w:abstractNum w:abstractNumId="62">
    <w:nsid w:val="5F5E7FD0"/>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63">
    <w:nsid w:val="98A3148"/>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64">
    <w:nsid w:val="799D0247"/>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65">
    <w:nsid w:val="6B94764"/>
    <w:multiLevelType w:val="hybridMultilevel"/>
    <w:lvl w:ilvl="0">
      <w:lvlJc w:val="left"/>
      <w:lvlText w:val="(%1)"/>
      <w:numFmt w:val="lowerLetter"/>
      <w:start w:val="4"/>
    </w:lvl>
    <w:lvl w:ilvl="1">
      <w:lvlJc w:val="left"/>
      <w:lvlText w:val="-"/>
      <w:numFmt w:val="bullet"/>
      <w:start w:val="1"/>
    </w:lvl>
  </w:abstractNum>
  <w:abstractNum w:abstractNumId="66">
    <w:nsid w:val="42C296BD"/>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7">
    <w:nsid w:val="168E121F"/>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8">
    <w:nsid w:val="1EBA5D23"/>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69">
    <w:nsid w:val="661E3F1E"/>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70">
    <w:nsid w:val="5DC79EA8"/>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71">
    <w:nsid w:val="540A471C"/>
    <w:multiLevelType w:val="hybridMultilevel"/>
    <w:lvl w:ilvl="0">
      <w:lvlJc w:val="left"/>
      <w:lvlText w:val="%1."/>
      <w:numFmt w:val="decimal"/>
      <w:start w:val="17"/>
    </w:lvl>
    <w:lvl w:ilvl="1">
      <w:lvlJc w:val="left"/>
      <w:lvlText w:val="-"/>
      <w:numFmt w:val="bullet"/>
      <w:start w:val="1"/>
    </w:lvl>
  </w:abstractNum>
  <w:abstractNum w:abstractNumId="72">
    <w:nsid w:val="7BD3EE7B"/>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73">
    <w:nsid w:val="51D9C564"/>
    <w:multiLevelType w:val="hybridMultilevel"/>
    <w:lvl w:ilvl="0">
      <w:lvlJc w:val="left"/>
      <w:lvlText w:val="%1."/>
      <w:numFmt w:val="decimal"/>
      <w:start w:val="26"/>
    </w:lvl>
    <w:lvl w:ilvl="1">
      <w:lvlJc w:val="left"/>
      <w:lvlText w:val="(%2)"/>
      <w:numFmt w:val="lowerLetter"/>
      <w:start w:val="1"/>
    </w:lvl>
    <w:lvl w:ilvl="2">
      <w:lvlJc w:val="left"/>
      <w:lvlText w:val="-"/>
      <w:numFmt w:val="bullet"/>
      <w:start w:val="1"/>
    </w:lvl>
  </w:abstractNum>
  <w:abstractNum w:abstractNumId="74">
    <w:nsid w:val="613EFDC5"/>
    <w:multiLevelType w:val="hybridMultilevel"/>
    <w:lvl w:ilvl="0">
      <w:lvlJc w:val="left"/>
      <w:lvlText w:val="%1."/>
      <w:numFmt w:val="decimal"/>
      <w:start w:val="28"/>
    </w:lvl>
    <w:lvl w:ilvl="1">
      <w:lvlJc w:val="left"/>
      <w:lvlText w:val="(%2)"/>
      <w:numFmt w:val="lowerLetter"/>
      <w:start w:val="1"/>
    </w:lvl>
    <w:lvl w:ilvl="2">
      <w:lvlJc w:val="left"/>
      <w:lvlText w:val="-"/>
      <w:numFmt w:val="bullet"/>
      <w:start w:val="1"/>
    </w:lvl>
  </w:abstractNum>
  <w:abstractNum w:abstractNumId="75">
    <w:nsid w:val="BF72B14"/>
    <w:multiLevelType w:val="hybridMultilevel"/>
    <w:lvl w:ilvl="0">
      <w:lvlJc w:val="left"/>
      <w:lvlText w:val="(%1)"/>
      <w:numFmt w:val="lowerLetter"/>
      <w:start w:val="13"/>
    </w:lvl>
    <w:lvl w:ilvl="1">
      <w:lvlJc w:val="left"/>
      <w:lvlText w:val="%2."/>
      <w:numFmt w:val="lowerRoman"/>
      <w:start w:val="1"/>
    </w:lvl>
    <w:lvl w:ilvl="2">
      <w:lvlJc w:val="left"/>
      <w:lvlText w:val="-"/>
      <w:numFmt w:val="bullet"/>
      <w:start w:val="1"/>
    </w:lvl>
  </w:abstractNum>
  <w:abstractNum w:abstractNumId="76">
    <w:nsid w:val="11447B73"/>
    <w:multiLevelType w:val="hybridMultilevel"/>
    <w:lvl w:ilvl="0">
      <w:lvlJc w:val="left"/>
      <w:lvlText w:val="(%1)"/>
      <w:numFmt w:val="lowerLetter"/>
      <w:start w:val="2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 Id="rId36" Type="http://schemas.openxmlformats.org/officeDocument/2006/relationships/image" Target="media/image7.png"/><Relationship Id="rId37" Type="http://schemas.openxmlformats.org/officeDocument/2006/relationships/image" Target="media/image8.png"/><Relationship Id="rId38" Type="http://schemas.openxmlformats.org/officeDocument/2006/relationships/image" Target="media/image9.png"/><Relationship Id="rId39" Type="http://schemas.openxmlformats.org/officeDocument/2006/relationships/image" Target="media/image10.png"/><Relationship Id="rId40" Type="http://schemas.openxmlformats.org/officeDocument/2006/relationships/image" Target="media/image11.png"/><Relationship Id="rId41" Type="http://schemas.openxmlformats.org/officeDocument/2006/relationships/image" Target="media/image12.png"/><Relationship Id="rId42" Type="http://schemas.openxmlformats.org/officeDocument/2006/relationships/image" Target="media/image13.png"/><Relationship Id="rId43" Type="http://schemas.openxmlformats.org/officeDocument/2006/relationships/image" Target="media/image14.png"/><Relationship Id="rId44" Type="http://schemas.openxmlformats.org/officeDocument/2006/relationships/image" Target="media/image15.png"/><Relationship Id="rId45" Type="http://schemas.openxmlformats.org/officeDocument/2006/relationships/image" Target="media/image16.png"/><Relationship Id="rId46" Type="http://schemas.openxmlformats.org/officeDocument/2006/relationships/image" Target="media/image17.png"/><Relationship Id="rId47" Type="http://schemas.openxmlformats.org/officeDocument/2006/relationships/image" Target="media/image18.png"/><Relationship Id="rId48" Type="http://schemas.openxmlformats.org/officeDocument/2006/relationships/image" Target="media/image19.png"/><Relationship Id="rId49" Type="http://schemas.openxmlformats.org/officeDocument/2006/relationships/image" Target="media/image20.jpeg"/><Relationship Id="rId50" Type="http://schemas.openxmlformats.org/officeDocument/2006/relationships/image" Target="media/image21.png"/><Relationship Id="rId51" Type="http://schemas.openxmlformats.org/officeDocument/2006/relationships/image" Target="media/image22.png"/><Relationship Id="rId12" Type="http://schemas.openxmlformats.org/officeDocument/2006/relationships/hyperlink" Target="https://www.sec.gov/Archives/edgar/data/1818331/000162828021019193/s-8.htm" TargetMode="External"/><Relationship Id="rId13" Type="http://schemas.openxmlformats.org/officeDocument/2006/relationships/hyperlink" Target="https://www.sec.gov/Archives/edgar/data/1818331/000181833122000020/sema4-sx8filingx12422.htm" TargetMode="External"/><Relationship Id="rId14" Type="http://schemas.openxmlformats.org/officeDocument/2006/relationships/hyperlink" Target="https://www.sec.gov/ix?doc=/Archives/edgar/data/0001818331/000181833122000037/cmlf-20211231.htm" TargetMode="External"/><Relationship Id="rId15" Type="http://schemas.openxmlformats.org/officeDocument/2006/relationships/hyperlink" Target="https://www.sec.gov/ix?doc=/Archives/edgar/data/1818331/000181833122000046/cmlf-20220331.htm" TargetMode="External"/><Relationship Id="rId16" Type="http://schemas.openxmlformats.org/officeDocument/2006/relationships/hyperlink" Target="https://www.sec.gov/ix?doc=/Archives/edgar/data/1818331/000181833122000069/cmlf-20220630.htm" TargetMode="External"/><Relationship Id="rId17" Type="http://schemas.openxmlformats.org/officeDocument/2006/relationships/hyperlink" Target="https://www.sec.gov/ix?doc=/Archives/edgar/data/1818331/000181833122000078/cmlf-20220930.htm" TargetMode="External"/><Relationship Id="rId18" Type="http://schemas.openxmlformats.org/officeDocument/2006/relationships/hyperlink" Target="https://www.sec.gov/ix?doc=/Archives/edgar/data/0001818331/000181833122000010/smfr-20220114.htm" TargetMode="External"/><Relationship Id="rId19" Type="http://schemas.openxmlformats.org/officeDocument/2006/relationships/hyperlink" Target="https://www.sec.gov/ix?doc=/Archives/edgar/data/0001818331/000181833122000022/smfr-20220125.htm" TargetMode="External"/><Relationship Id="rId20" Type="http://schemas.openxmlformats.org/officeDocument/2006/relationships/hyperlink" Target="https://www.sec.gov/ix?doc=/Archives/edgar/data/0001818331/000181833122000035/smfr-20220310.htm" TargetMode="External"/><Relationship Id="rId21" Type="http://schemas.openxmlformats.org/officeDocument/2006/relationships/hyperlink" Target="https://www.sec.gov/ix?doc=/Archives/edgar/data/0001818331/000162828022010817/smfr-20220427.htm" TargetMode="External"/><Relationship Id="rId22" Type="http://schemas.openxmlformats.org/officeDocument/2006/relationships/hyperlink" Target="https://www.sec.gov/ix?doc=/Archives/edgar/data/0001818331/000162828022011605/smfr-20220429.htm" TargetMode="External"/><Relationship Id="rId23" Type="http://schemas.openxmlformats.org/officeDocument/2006/relationships/hyperlink" Target="https://www.sec.gov/ix?doc=/Archives/edgar/data/1818331/000181833122000060/smfr-20220627.htm" TargetMode="External"/><Relationship Id="rId24" Type="http://schemas.openxmlformats.org/officeDocument/2006/relationships/hyperlink" Target="https://www.sec.gov/ix?doc=/Archives/edgar/data/0001818331/000181833122000075/smfr-20221111.htm" TargetMode="External"/><Relationship Id="rId25" Type="http://schemas.openxmlformats.org/officeDocument/2006/relationships/hyperlink" Target="https://www.sec.gov/ix?doc=/Archives/edgar/data/0001818331/000181833122000080/smfr-20221228.htm" TargetMode="External"/><Relationship Id="rId26" Type="http://schemas.openxmlformats.org/officeDocument/2006/relationships/hyperlink" Target="https://www.sec.gov/ix?doc=/Archives/edgar/data/0001818331/000181833123000006/smfr-20230109.htm" TargetMode="External"/><Relationship Id="rId27" Type="http://schemas.openxmlformats.org/officeDocument/2006/relationships/hyperlink" Target="https://www.sec.gov/Archives/edgar/data/1818331/000162828022008073/sema4-2022finalproxy.htm#i9dc8683d5f754346aae9d53d48e80fdd_1049" TargetMode="External"/><Relationship Id="rId28" Type="http://schemas.openxmlformats.org/officeDocument/2006/relationships/hyperlink" Target="https://www.sec.gov/Archives/edgar/data/0001818331/000121390020024549/ea126225-8a12b_cmlifescience.htm" TargetMode="External"/><Relationship Id="rId29" Type="http://schemas.openxmlformats.org/officeDocument/2006/relationships/hyperlink" Target="https://www.sec.gov/ix?doc=/Archives/edgar/data/1818331/000181833122000037/cmlf-20211231.htm" TargetMode="External"/><Relationship Id="rId32" Type="http://schemas.openxmlformats.org/officeDocument/2006/relationships/hyperlink" Target="https://www.sec.gov/Archives/edgar/data/1818331/000162828021014760/exhibit31-super8xk.htm" TargetMode="External"/><Relationship Id="rId33" Type="http://schemas.openxmlformats.org/officeDocument/2006/relationships/hyperlink" Target="https://www.sec.gov/Archives/edgar/data/0001818331/000162828022011605/exhibit31-closing8xk.htm" TargetMode="External"/><Relationship Id="rId34" Type="http://schemas.openxmlformats.org/officeDocument/2006/relationships/hyperlink" Target="https://www.sec.gov/Archives/edgar/data/1818331/000181833123000006/sema4-certificateofamendme.htm" TargetMode="External"/><Relationship Id="rId35" Type="http://schemas.openxmlformats.org/officeDocument/2006/relationships/hyperlink" Target="https://www.sec.gov/Archives/edgar/data/1818331/000181833123000006/sema4-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2023-01-09T15:27:04Z</dcterms:created>
  <dcterms:modified xsi:type="dcterms:W3CDTF">2023-01-09T15:27:04Z</dcterms:modified>
</cp:coreProperties>
</file>