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February 23, 2026</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3035300</wp:posOffset>
            </wp:positionH>
            <wp:positionV relativeFrom="paragraph">
              <wp:posOffset>184785</wp:posOffset>
            </wp:positionV>
            <wp:extent cx="1097280" cy="251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251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80"/>
          </w:cols>
          <w:pgMar w:left="300" w:top="889" w:right="319" w:bottom="1440" w:gutter="0" w:footer="0" w:header="0"/>
        </w:sectPr>
      </w:pPr>
    </w:p>
    <w:p>
      <w:pPr>
        <w:spacing w:after="0" w:line="9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00"/>
          </w:cols>
          <w:pgMar w:left="300" w:top="889" w:right="31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65" w:lineRule="exact"/>
        <w:rPr>
          <w:sz w:val="24"/>
          <w:szCs w:val="24"/>
          <w:color w:val="auto"/>
        </w:rPr>
      </w:pPr>
    </w:p>
    <w:p>
      <w:pPr>
        <w:sectPr>
          <w:pgSz w:w="11900" w:h="16838" w:orient="portrait"/>
          <w:cols w:equalWidth="0" w:num="2">
            <w:col w:w="6860" w:space="720"/>
            <w:col w:w="3700"/>
          </w:cols>
          <w:pgMar w:left="300" w:top="889" w:right="3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tcPr>
          <w:p>
            <w:pPr>
              <w:spacing w:after="0"/>
              <w:rPr>
                <w:sz w:val="13"/>
                <w:szCs w:val="13"/>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228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0"/>
        </w:trPr>
        <w:tc>
          <w:tcPr>
            <w:tcW w:w="20" w:type="dxa"/>
            <w:vAlign w:val="bottom"/>
          </w:tcPr>
          <w:p>
            <w:pPr>
              <w:spacing w:after="0"/>
              <w:rPr>
                <w:sz w:val="12"/>
                <w:szCs w:val="12"/>
                <w:color w:val="auto"/>
              </w:rPr>
            </w:pPr>
          </w:p>
        </w:tc>
        <w:tc>
          <w:tcPr>
            <w:tcW w:w="5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WGS</w:t>
            </w:r>
          </w:p>
        </w:tc>
        <w:tc>
          <w:tcPr>
            <w:tcW w:w="80" w:type="dxa"/>
            <w:vAlign w:val="bottom"/>
          </w:tcPr>
          <w:p>
            <w:pPr>
              <w:spacing w:after="0"/>
              <w:rPr>
                <w:sz w:val="12"/>
                <w:szCs w:val="12"/>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55"/>
        </w:trPr>
        <w:tc>
          <w:tcPr>
            <w:tcW w:w="20" w:type="dxa"/>
            <w:vAlign w:val="bottom"/>
          </w:tcPr>
          <w:p>
            <w:pPr>
              <w:spacing w:after="0"/>
              <w:rPr>
                <w:sz w:val="13"/>
                <w:szCs w:val="13"/>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7"/>
              </w:rPr>
              <w:t>WGSWW</w:t>
            </w:r>
          </w:p>
        </w:tc>
        <w:tc>
          <w:tcPr>
            <w:tcW w:w="40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60"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42"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February 23, 2026, GeneDx Holdings Corp. (the “Company”) issued a press release (the “Press Release”) and will hold a conference call announcing the Company's financial results for the year ended December 31, 2025. Copies of the Press Release and Earnings Presentation are furnished as Exhibits 99.1 and 99.2, respectively, to this Current Report on Form 8-K.</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420" w:type="dxa"/>
            <w:vAlign w:val="bottom"/>
            <w:vMerge w:val="restart"/>
          </w:tcPr>
          <w:p>
            <w:pPr>
              <w:spacing w:after="0"/>
              <w:rPr>
                <w:sz w:val="13"/>
                <w:szCs w:val="13"/>
                <w:color w:val="auto"/>
              </w:rPr>
            </w:pPr>
          </w:p>
        </w:tc>
        <w:tc>
          <w:tcPr>
            <w:tcW w:w="992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99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60" w:type="dxa"/>
            <w:vAlign w:val="bottom"/>
            <w:gridSpan w:val="2"/>
          </w:tcPr>
          <w:p>
            <w:pPr>
              <w:jc w:val="center"/>
              <w:ind w:left="340"/>
              <w:spacing w:after="0"/>
              <w:rPr>
                <w:sz w:val="20"/>
                <w:szCs w:val="20"/>
                <w:color w:val="auto"/>
              </w:rPr>
            </w:pPr>
            <w:r>
              <w:rPr>
                <w:rFonts w:ascii="Times New Roman" w:cs="Times New Roman" w:eastAsia="Times New Roman" w:hAnsi="Times New Roman"/>
                <w:sz w:val="12"/>
                <w:szCs w:val="12"/>
                <w:color w:val="auto"/>
                <w:w w:val="95"/>
              </w:rPr>
              <w:t>99.1</w:t>
            </w:r>
          </w:p>
        </w:tc>
        <w:tc>
          <w:tcPr>
            <w:tcW w:w="420" w:type="dxa"/>
            <w:vAlign w:val="bottom"/>
          </w:tcPr>
          <w:p>
            <w:pPr>
              <w:spacing w:after="0"/>
              <w:rPr>
                <w:sz w:val="15"/>
                <w:szCs w:val="15"/>
                <w:color w:val="auto"/>
              </w:rPr>
            </w:pPr>
          </w:p>
        </w:tc>
        <w:tc>
          <w:tcPr>
            <w:tcW w:w="53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dated February 23, 2026, regarding the registrant’s results for the year ended December 31, 2025</w:t>
            </w: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60" w:type="dxa"/>
            <w:vAlign w:val="bottom"/>
            <w:gridSpan w:val="2"/>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5"/>
              </w:rPr>
              <w:t>99.2</w:t>
            </w:r>
          </w:p>
        </w:tc>
        <w:tc>
          <w:tcPr>
            <w:tcW w:w="420" w:type="dxa"/>
            <w:vAlign w:val="bottom"/>
          </w:tcPr>
          <w:p>
            <w:pPr>
              <w:spacing w:after="0"/>
              <w:rPr>
                <w:sz w:val="19"/>
                <w:szCs w:val="19"/>
                <w:color w:val="auto"/>
              </w:rPr>
            </w:pPr>
          </w:p>
        </w:tc>
        <w:tc>
          <w:tcPr>
            <w:tcW w:w="2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Earnings Presentation, dated February 23, 2026</w:t>
            </w:r>
          </w:p>
        </w:tc>
        <w:tc>
          <w:tcPr>
            <w:tcW w:w="764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96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2280" w:type="dxa"/>
            <w:vAlign w:val="bottom"/>
            <w:gridSpan w:val="2"/>
          </w:tcPr>
          <w:p>
            <w:pPr>
              <w:spacing w:after="0"/>
              <w:rPr>
                <w:sz w:val="3"/>
                <w:szCs w:val="3"/>
                <w:color w:val="auto"/>
              </w:rPr>
            </w:pPr>
          </w:p>
        </w:tc>
        <w:tc>
          <w:tcPr>
            <w:tcW w:w="7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5"/>
        </w:trPr>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spacing w:after="0"/>
              <w:rPr>
                <w:sz w:val="13"/>
                <w:szCs w:val="13"/>
                <w:color w:val="auto"/>
              </w:rPr>
            </w:pPr>
          </w:p>
        </w:tc>
        <w:tc>
          <w:tcPr>
            <w:tcW w:w="7040" w:type="dxa"/>
            <w:vAlign w:val="bottom"/>
            <w:gridSpan w:val="2"/>
          </w:tcPr>
          <w:p>
            <w:pPr>
              <w:ind w:left="202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23, 2026</w:t>
            </w:r>
          </w:p>
        </w:tc>
        <w:tc>
          <w:tcPr>
            <w:tcW w:w="284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3200" w:type="dxa"/>
            <w:vAlign w:val="bottom"/>
          </w:tcPr>
          <w:p>
            <w:pPr>
              <w:spacing w:after="0"/>
              <w:rPr>
                <w:sz w:val="12"/>
                <w:szCs w:val="12"/>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Name:</w:t>
            </w: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3200" w:type="dxa"/>
            <w:vAlign w:val="bottom"/>
          </w:tcPr>
          <w:p>
            <w:pPr>
              <w:spacing w:after="0"/>
              <w:rPr>
                <w:sz w:val="13"/>
                <w:szCs w:val="13"/>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Title:</w:t>
            </w: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240"/>
          </w:cols>
          <w:pgMar w:left="300" w:top="665" w:right="1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13335</wp:posOffset>
            </wp:positionV>
            <wp:extent cx="988695" cy="22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869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Reports Fourth Quarter and Full Year 2025 Financial Results and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Reaffirms Guidance for Full Year 2026</w:t>
      </w:r>
    </w:p>
    <w:p>
      <w:pPr>
        <w:spacing w:after="0" w:line="240"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Reported fourth quarter 2025 revenues of $121.0 million with 32% year-over-year growth in exome and genome test revenue (42% excluding a one-time 2024 benefit)</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Accelerated exome and genome volume growth to 34% year-over-year</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Reported fourth quarter 2025 adjusted gross margin</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71%</w:t>
      </w:r>
    </w:p>
    <w:p>
      <w:pPr>
        <w:spacing w:after="0" w:line="79"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Reported fourth quarter 2025 adjusted net income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$4.4 million</w:t>
      </w:r>
    </w:p>
    <w:p>
      <w:pPr>
        <w:spacing w:after="0" w:line="79"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Reaffirmed full year 2026 guidance of $540 to $555 million in revenue with 33-35% exome and genome growth</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GeneDx to host conference call today at 8:30 a.m. ET</w:t>
      </w: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GAITHERSBURG, Md., February 23, 2026 — </w:t>
      </w:r>
      <w:r>
        <w:rPr>
          <w:rFonts w:ascii="Times New Roman" w:cs="Times New Roman" w:eastAsia="Times New Roman" w:hAnsi="Times New Roman"/>
          <w:sz w:val="12"/>
          <w:szCs w:val="12"/>
          <w:color w:val="auto"/>
        </w:rPr>
        <w:t>GeneDx Holdings Corp. (Nasdaq: WGS), the leader in rare disease diagnosis and improving health through the power of genomic data, today reported its financial results for the fourth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 and full year of 2025.</w:t>
      </w:r>
    </w:p>
    <w:p>
      <w:pPr>
        <w:spacing w:after="0" w:line="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“The unmet need for early, accurate genomic diagnosis is enormous, and families are waiting far too long for answers. GeneDx is uniquely positioned to deliver for patients, clinicians, and partners — and our results demonstrate that. Our team is executing at the highest level, our platform continues to scale, and GeneDx Infinity</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gives us a compounding data advantage that strengthens with every test we run,” said Katherine Stueland, President and CEO of GeneDx. “The business has never been in a better position for continued growth and success. As we enter 2026, we will layer new growth drivers onto an already powerful foundation — expanding into large, underpenetrated markets where patients are waiting for a diagnosis that GeneDx can provide today.”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and Full Year 2025 Financial Results (Unaudited)</w:t>
      </w:r>
      <w:r>
        <w:rPr>
          <w:rFonts w:ascii="Times New Roman" w:cs="Times New Roman" w:eastAsia="Times New Roman" w:hAnsi="Times New Roman"/>
          <w:sz w:val="15"/>
          <w:szCs w:val="15"/>
          <w:b w:val="1"/>
          <w:bCs w:val="1"/>
          <w:color w:val="auto"/>
          <w:vertAlign w:val="superscript"/>
        </w:rPr>
        <w:t>(1)(2)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Fourth quarter 2025:</w:t>
      </w:r>
    </w:p>
    <w:p>
      <w:pPr>
        <w:spacing w:after="0" w:line="116"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grew to $121.0 million, an increase of 27% year-over-year (37% excluding a one-time 2024 benefit).</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revenue grew to $104.0 million, an increase of 32% year-over-year (42% excluding a one-time 2024 benefit).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Full year 2025:</w:t>
      </w:r>
    </w:p>
    <w:p>
      <w:pPr>
        <w:spacing w:after="0" w:line="116"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Revenues grew to $427.5 million, an increase of 41% year-over-year (45% excluding a one-time 2024 benefit).</w:t>
      </w:r>
    </w:p>
    <w:p>
      <w:pPr>
        <w:spacing w:after="0" w:line="1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Exome and genome test revenue grew to $360.3 million, an increase of 54% year-over-year (58% excluding a one-time 2024 benefit).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Fourth quarter 2025:</w:t>
      </w:r>
    </w:p>
    <w:p>
      <w:pPr>
        <w:spacing w:after="0" w:line="116"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 volume grew to 27,761, an increase of 34.3% year-over-year.</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represented 47% of all test results, up from 38% in the fourth quarter of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Full year 2025:</w:t>
      </w:r>
    </w:p>
    <w:p>
      <w:pPr>
        <w:spacing w:after="0" w:line="116"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Exome and genome test results volume grew to 97,271, an increase of 30.5% year-over-year.</w:t>
      </w:r>
    </w:p>
    <w:p>
      <w:pPr>
        <w:spacing w:after="0" w:line="1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Exome and genome represented 43% of all test results, up from 33% for the full year 2024.</w:t>
      </w:r>
    </w:p>
    <w:p>
      <w:pPr>
        <w:sectPr>
          <w:pgSz w:w="11900" w:h="16838" w:orient="portrait"/>
          <w:cols w:equalWidth="0" w:num="1">
            <w:col w:w="11300"/>
          </w:cols>
          <w:pgMar w:left="300" w:top="125"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Fourth quarter 2025:</w:t>
      </w:r>
    </w:p>
    <w:p>
      <w:pPr>
        <w:spacing w:after="0" w:line="116" w:lineRule="exact"/>
        <w:rPr>
          <w:sz w:val="20"/>
          <w:szCs w:val="20"/>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expanded to 71%, up from 70% in the fourth quarter of 2024.</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gross margin was 70%.</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Full year 2025:</w:t>
      </w:r>
    </w:p>
    <w:p>
      <w:pPr>
        <w:spacing w:after="0" w:line="116" w:lineRule="exact"/>
        <w:rPr>
          <w:sz w:val="20"/>
          <w:szCs w:val="20"/>
          <w:color w:val="auto"/>
        </w:rPr>
      </w:pPr>
    </w:p>
    <w:p>
      <w:pPr>
        <w:ind w:left="428" w:hanging="212"/>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expanded to 71%, up from 65% for full year 2024.</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gross margin was 70%.</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Fourth quarter 2025:</w:t>
      </w:r>
    </w:p>
    <w:p>
      <w:pPr>
        <w:spacing w:after="0" w:line="116" w:lineRule="exact"/>
        <w:rPr>
          <w:sz w:val="20"/>
          <w:szCs w:val="20"/>
          <w:color w:val="auto"/>
        </w:rPr>
      </w:pPr>
    </w:p>
    <w:p>
      <w:pPr>
        <w:ind w:left="428" w:hanging="212"/>
        <w:spacing w:after="0"/>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$81.8 million, representing 68% of revenue in the fourth quarter of 2025, compared to 52% of revenue in the fourth quarter of 2024.</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operating expenses were $98.5 million.</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Full year 2025:</w:t>
      </w:r>
    </w:p>
    <w:p>
      <w:pPr>
        <w:spacing w:after="0" w:line="116" w:lineRule="exact"/>
        <w:rPr>
          <w:sz w:val="20"/>
          <w:szCs w:val="20"/>
          <w:color w:val="auto"/>
        </w:rPr>
      </w:pPr>
    </w:p>
    <w:p>
      <w:pPr>
        <w:ind w:left="428" w:hanging="212"/>
        <w:spacing w:after="0"/>
        <w:tabs>
          <w:tab w:leader="none" w:pos="42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$263.0 million, an increase of 39% year-over-year.</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operating expenses were $311.3 million.</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Net income (loss)</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Fourth quarter 2025:</w:t>
      </w:r>
    </w:p>
    <w:p>
      <w:pPr>
        <w:spacing w:after="0" w:line="116" w:lineRule="exact"/>
        <w:rPr>
          <w:sz w:val="20"/>
          <w:szCs w:val="20"/>
          <w:color w:val="auto"/>
        </w:rPr>
      </w:pPr>
    </w:p>
    <w:p>
      <w:pPr>
        <w:ind w:left="428" w:hanging="212"/>
        <w:spacing w:after="0"/>
        <w:tabs>
          <w:tab w:leader="none" w:pos="4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was $4.4 million, compared to $17.5 million in the fourth quarter of 2024.</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loss was $17.7 million.</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Full year 2025:</w:t>
      </w:r>
    </w:p>
    <w:p>
      <w:pPr>
        <w:spacing w:after="0" w:line="116" w:lineRule="exact"/>
        <w:rPr>
          <w:sz w:val="20"/>
          <w:szCs w:val="20"/>
          <w:color w:val="auto"/>
        </w:rPr>
      </w:pPr>
    </w:p>
    <w:p>
      <w:pPr>
        <w:ind w:left="428" w:hanging="212"/>
        <w:spacing w:after="0"/>
        <w:tabs>
          <w:tab w:leader="none" w:pos="42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was $41.8 million, compared to $9.4 million for full year 2024.</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loss was $21.0 million.</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Full year and fourth quarter 2024 revenues, gross margin and net income, all on both a GAAP and adjusted basis, includes $6.8 million of discrete benefit in connection with a multi-year appeal recovery from a single third-party payor.</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fourth quarter 2024 benefit was composed of $5.8 million to exome genome revenues and $1.0 million to other test lines.</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Cash position</w:t>
      </w:r>
    </w:p>
    <w:p>
      <w:pPr>
        <w:spacing w:after="0" w:line="118" w:lineRule="exact"/>
        <w:rPr>
          <w:sz w:val="20"/>
          <w:szCs w:val="20"/>
          <w:color w:val="auto"/>
        </w:rPr>
      </w:pPr>
    </w:p>
    <w:p>
      <w:pPr>
        <w:ind w:left="428" w:hanging="212"/>
        <w:spacing w:after="0"/>
        <w:tabs>
          <w:tab w:leader="none" w:pos="4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marketable securities and restricted cash was $172.3 million as of December 31, 2025.</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for the fourth quarter 2025 included:</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2"/>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$5.1 million in net cash generated from ordinary operations; and</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2"/>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$21.1 million in proceeds, net of fees, from the issuance of 147,583 shares of Class A common stock in connection with sales pursuant to our “at-the-market” offering, offset by;</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2"/>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million in scheduled payments to service previously recorded settlement liabilities of Legacy Sema4.</w:t>
      </w:r>
    </w:p>
    <w:p>
      <w:pPr>
        <w:spacing w:after="0" w:line="26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Adjusted gross margin, adjusted total operating expenses and adjusted net income/(loss) are non-GAAP financial measures. See appendix for a reconciliation of GAAP to non-GAAP figures presented.</w:t>
      </w:r>
    </w:p>
    <w:p>
      <w:pPr>
        <w:spacing w:after="0" w:line="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Revenue and adjusted gross margin growth rates in the comparative 2024 period exclude revenue and costs of sales from the exited Legacy Sema4 diagnostic testing business.</w:t>
      </w:r>
    </w:p>
    <w:p>
      <w:pPr>
        <w:sectPr>
          <w:pgSz w:w="11900" w:h="16838" w:orient="portrait"/>
          <w:cols w:equalWidth="0" w:num="1">
            <w:col w:w="11288"/>
          </w:cols>
          <w:pgMar w:left="292" w:top="77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GeneDx Full Year 2026 Guidance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full year 2026 management expects GeneDx to deliver: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Metric</w:t>
            </w:r>
          </w:p>
        </w:tc>
        <w:tc>
          <w:tcPr>
            <w:tcW w:w="6280" w:type="dxa"/>
            <w:vAlign w:val="bottom"/>
            <w:tcBorders>
              <w:top w:val="single" w:sz="8" w:color="auto"/>
              <w:bottom w:val="single" w:sz="8" w:color="auto"/>
            </w:tcBorders>
          </w:tcPr>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Guidance</w:t>
            </w:r>
          </w:p>
        </w:tc>
      </w:tr>
      <w:tr>
        <w:trPr>
          <w:trHeight w:val="142"/>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Revenue</w:t>
            </w:r>
          </w:p>
        </w:tc>
        <w:tc>
          <w:tcPr>
            <w:tcW w:w="628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2"/>
                <w:szCs w:val="12"/>
                <w:color w:val="auto"/>
              </w:rPr>
              <w:t>$540 to $555 million</w:t>
            </w:r>
          </w:p>
        </w:tc>
      </w:tr>
      <w:tr>
        <w:trPr>
          <w:trHeight w:val="142"/>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Growth in exome and genome revenue</w:t>
            </w:r>
          </w:p>
        </w:tc>
        <w:tc>
          <w:tcPr>
            <w:tcW w:w="628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2"/>
                <w:szCs w:val="12"/>
                <w:color w:val="auto"/>
                <w:w w:val="97"/>
              </w:rPr>
              <w:t>33% to 35%</w:t>
            </w:r>
          </w:p>
        </w:tc>
      </w:tr>
      <w:tr>
        <w:trPr>
          <w:trHeight w:val="142"/>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Growth in exome and genome volume</w:t>
            </w:r>
          </w:p>
        </w:tc>
        <w:tc>
          <w:tcPr>
            <w:tcW w:w="628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2"/>
                <w:szCs w:val="12"/>
                <w:color w:val="auto"/>
                <w:w w:val="97"/>
              </w:rPr>
              <w:t>33% to 35%</w:t>
            </w:r>
          </w:p>
        </w:tc>
      </w:tr>
      <w:tr>
        <w:trPr>
          <w:trHeight w:val="142"/>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Adjusted gross margin</w:t>
            </w:r>
          </w:p>
        </w:tc>
        <w:tc>
          <w:tcPr>
            <w:tcW w:w="628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2"/>
                <w:szCs w:val="12"/>
                <w:color w:val="auto"/>
                <w:w w:val="99"/>
              </w:rPr>
              <w:t>At least 70%</w:t>
            </w:r>
          </w:p>
        </w:tc>
      </w:tr>
      <w:tr>
        <w:trPr>
          <w:trHeight w:val="142"/>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Adjusted net income</w:t>
            </w:r>
          </w:p>
        </w:tc>
        <w:tc>
          <w:tcPr>
            <w:tcW w:w="628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2"/>
                <w:szCs w:val="12"/>
                <w:color w:val="auto"/>
                <w:w w:val="98"/>
              </w:rPr>
              <w:t>Positive</w:t>
            </w:r>
          </w:p>
        </w:tc>
      </w:tr>
      <w:tr>
        <w:trPr>
          <w:trHeight w:val="304"/>
        </w:trPr>
        <w:tc>
          <w:tcPr>
            <w:tcW w:w="5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Business Highlights</w:t>
            </w:r>
          </w:p>
        </w:tc>
        <w:tc>
          <w:tcPr>
            <w:tcW w:w="6280" w:type="dxa"/>
            <w:vAlign w:val="bottom"/>
          </w:tcPr>
          <w:p>
            <w:pPr>
              <w:spacing w:after="0"/>
              <w:rPr>
                <w:sz w:val="24"/>
                <w:szCs w:val="24"/>
                <w:color w:val="auto"/>
              </w:rPr>
            </w:pPr>
          </w:p>
        </w:tc>
      </w:tr>
      <w:tr>
        <w:trPr>
          <w:trHeight w:val="252"/>
        </w:trPr>
        <w:tc>
          <w:tcPr>
            <w:tcW w:w="50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Strategic Expansion &amp; Market Leadership</w:t>
            </w:r>
          </w:p>
        </w:tc>
        <w:tc>
          <w:tcPr>
            <w:tcW w:w="6280" w:type="dxa"/>
            <w:vAlign w:val="bottom"/>
          </w:tcPr>
          <w:p>
            <w:pPr>
              <w:spacing w:after="0"/>
              <w:rPr>
                <w:sz w:val="21"/>
                <w:szCs w:val="21"/>
                <w:color w:val="auto"/>
              </w:rPr>
            </w:pPr>
          </w:p>
        </w:tc>
      </w:tr>
    </w:tbl>
    <w:p>
      <w:pPr>
        <w:spacing w:after="0" w:line="97" w:lineRule="exact"/>
        <w:rPr>
          <w:sz w:val="20"/>
          <w:szCs w:val="20"/>
          <w:color w:val="auto"/>
        </w:rPr>
      </w:pPr>
    </w:p>
    <w:p>
      <w:pPr>
        <w:ind w:left="420" w:right="20" w:hanging="212"/>
        <w:spacing w:after="0" w:line="25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Launched GeneDx Infinity™: Unveiled the world’s largest and most diverse rare disease dataset – including over 1 million exomes and genomes, more than 2.5 million genetic tests, and over 8 million phenotypic data points – that fuels the #1 genetic test.</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into general pediatrics: Unlocked GeneDx’s largest addressable opportunity to bring genomic testing to the front line of care for more families.</w:t>
      </w:r>
    </w:p>
    <w:p>
      <w:pPr>
        <w:spacing w:after="0" w:line="6" w:lineRule="exact"/>
        <w:rPr>
          <w:rFonts w:ascii="Times New Roman" w:cs="Times New Roman" w:eastAsia="Times New Roman" w:hAnsi="Times New Roman"/>
          <w:sz w:val="12"/>
          <w:szCs w:val="12"/>
          <w:color w:val="auto"/>
        </w:rPr>
      </w:pPr>
    </w:p>
    <w:p>
      <w:pPr>
        <w:ind w:left="860" w:hanging="220"/>
        <w:spacing w:after="0" w:line="250" w:lineRule="auto"/>
        <w:tabs>
          <w:tab w:leader="none" w:pos="866"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Commended the American Academy of Pediatrics for issuing updated guidance in June 2025, now recommending exome and genome sequencing as first-tier tests for children with global developmental delay or intellectual disability.</w:t>
      </w:r>
    </w:p>
    <w:p>
      <w:pPr>
        <w:ind w:left="420" w:hanging="212"/>
        <w:spacing w:after="0" w:line="250"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into prenatal diagnostics: Announced GenomeDx Prenatal™, a phenotype-informed, trio-based whole genome sequencing test for pregnancies with fetal anomalies identified via ultrasound, enabling clinicians and expecting families to access actionable genomic insights during one of the most critical moments in pregnancy care.</w:t>
      </w: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Launched ultraRapid genome sequencing: Offered accelerated, comprehensive and actionable genomic insights for neonatal and pediatric patients in the NICU and PICU in as soon as 48 hours.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payer coverage: Secured Medicaid coverage for exome and genome sequencing in 8 new states (including CA, CO, OH), bringing the total states covering exome or genome sequencing in the pediatric outpatient setting to 38 and the total states covering rapid genome sequencing in the neonatal intensive care unit (NICU) to 17.</w:t>
      </w: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Strengthened leadership: Positioned the company for the next phase of growth and scale to help more families with the power of our data, AI-driven technology, and clinical expertise.</w:t>
      </w:r>
    </w:p>
    <w:p>
      <w:pPr>
        <w:spacing w:after="0" w:line="6" w:lineRule="exact"/>
        <w:rPr>
          <w:rFonts w:ascii="Times New Roman" w:cs="Times New Roman" w:eastAsia="Times New Roman" w:hAnsi="Times New Roman"/>
          <w:sz w:val="12"/>
          <w:szCs w:val="12"/>
          <w:color w:val="auto"/>
        </w:rPr>
      </w:pPr>
    </w:p>
    <w:p>
      <w:pPr>
        <w:ind w:left="420" w:hanging="212"/>
        <w:spacing w:after="0" w:line="260"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Named to the 2026 TIME100 Health List: This recognition comes during Rare Disease Month and underscores the growing global acknowledgment of rare disease as a public health priority, as well as the critical role of genomics in accelerating diagnosis, advancing discovery, and improving outcomes for patients and families worldwide.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Innovation &amp; Clinical Leadership</w:t>
      </w:r>
    </w:p>
    <w:p>
      <w:pPr>
        <w:spacing w:after="0" w:line="118" w:lineRule="exact"/>
        <w:rPr>
          <w:sz w:val="20"/>
          <w:szCs w:val="20"/>
          <w:color w:val="auto"/>
        </w:rPr>
      </w:pPr>
    </w:p>
    <w:p>
      <w:pPr>
        <w:ind w:left="420" w:hanging="212"/>
        <w:spacing w:after="0" w:line="259"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Granted FDA Breakthrough Device designation: Received designation for GeneDx ExomeDx™ and GenomeDx™ associated with causes of life-threatening diseases or genetic disorders to aid in diagnosis of symptomatic patients, underscoring GeneDx’s leadership in genomic medicine and critical role in delivering fast, accurate answers for patients with rare diseases.</w:t>
      </w:r>
    </w:p>
    <w:p>
      <w:pPr>
        <w:spacing w:after="0" w:line="1" w:lineRule="exact"/>
        <w:rPr>
          <w:rFonts w:ascii="Times New Roman" w:cs="Times New Roman" w:eastAsia="Times New Roman" w:hAnsi="Times New Roman"/>
          <w:sz w:val="12"/>
          <w:szCs w:val="12"/>
          <w:color w:val="auto"/>
        </w:rPr>
      </w:pPr>
    </w:p>
    <w:p>
      <w:pPr>
        <w:ind w:left="420" w:hanging="212"/>
        <w:spacing w:after="0" w:line="201" w:lineRule="auto"/>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Acquired Fabric Genomics: Expanded delivery of genomic insights globally by enabling decentralized interpretation powered GeneDx Infinity</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w:t>
      </w: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Advanced genomic newborn screening (gNBS): Extended leadership in genomic newborn screening through participation in key programs, including:</w:t>
      </w:r>
    </w:p>
    <w:p>
      <w:pPr>
        <w:spacing w:after="0" w:line="4" w:lineRule="exact"/>
        <w:rPr>
          <w:rFonts w:ascii="Times New Roman" w:cs="Times New Roman" w:eastAsia="Times New Roman" w:hAnsi="Times New Roman"/>
          <w:sz w:val="12"/>
          <w:szCs w:val="12"/>
          <w:color w:val="auto"/>
        </w:rPr>
      </w:pPr>
    </w:p>
    <w:p>
      <w:pPr>
        <w:ind w:left="860" w:hanging="220"/>
        <w:spacing w:after="0" w:line="250" w:lineRule="auto"/>
        <w:tabs>
          <w:tab w:leader="none" w:pos="857"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participation in the nation’s first multi-state genomic newborn screening initiative, BEACONS (Building Evidence and Collaboration for GenOmics in Nationwide Newborn Screening), which launched with a $14.4 million award from the National Institutes of Health (NIH) to enroll up to 30,000 newborns in as many as 10 states over the next three years.</w:t>
      </w:r>
    </w:p>
    <w:p>
      <w:pPr>
        <w:ind w:left="860" w:hanging="220"/>
        <w:spacing w:after="0" w:line="250" w:lineRule="auto"/>
        <w:tabs>
          <w:tab w:leader="none" w:pos="857"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a partnership with Florida’s Sunshine Genetics Network, the nation’s first state-backed genomic newborn screening program, to offer whole genome sequencing for newborns at select academic medical centers and hospitals.</w:t>
      </w:r>
    </w:p>
    <w:p>
      <w:pPr>
        <w:ind w:left="860" w:hanging="220"/>
        <w:spacing w:after="0" w:line="260" w:lineRule="auto"/>
        <w:tabs>
          <w:tab w:leader="none" w:pos="857"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Sequenced more than 22,000 newborns through the GUARDIAN (Genomic Uniform-screening Against Rare Disease In All Newborns) study, which was recognized as part of JAMA’s annual Research of the Year Roundup.</w:t>
      </w:r>
    </w:p>
    <w:p>
      <w:pPr>
        <w:sectPr>
          <w:pgSz w:w="11900" w:h="16838" w:orient="portrait"/>
          <w:cols w:equalWidth="0" w:num="1">
            <w:col w:w="11300"/>
          </w:cols>
          <w:pgMar w:left="300" w:top="773" w:right="299" w:bottom="1440" w:gutter="0" w:footer="0" w:header="0"/>
        </w:sectPr>
      </w:pPr>
    </w:p>
    <w:bookmarkStart w:id="6" w:name="page7"/>
    <w:bookmarkEnd w:id="6"/>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partnership with Komodo Health: Enhanced GeneDx Infinity</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with real-world patient insights from Komodo’s Healthcare Map® to create the most comprehensive, longitudinal dataset for rare disease.</w:t>
      </w:r>
    </w:p>
    <w:p>
      <w:pPr>
        <w:ind w:left="420" w:hanging="212"/>
        <w:spacing w:after="0" w:line="221"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Unveiled Multiscore: Launched Multiscore, an advanced AI-powered decision support tool that aims to improve diagnostic efficiency, streamlines workflows, and enhances clinical insights by harnessing GeneDx Infinity</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publicly available data, and the power of artificial intelligence.</w:t>
      </w:r>
    </w:p>
    <w:p>
      <w:pPr>
        <w:ind w:left="420" w:hanging="212"/>
        <w:spacing w:after="0" w:line="250"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Surpassed 1,100 total peer-reviewed studies: Added key publications to the most prolific and clinically impactful research portfolio in rare disease genomics, including the Seqfirst-neo study, a pioneering study conducted in partnership with Seattle Children’s and the University of Washington revealing that widespread use of rapid genome sequencing (rGS) demonstrates that at least 60% of level IV NICU infants should be receiving rGS.</w:t>
      </w:r>
    </w:p>
    <w:p>
      <w:pPr>
        <w:ind w:left="420" w:hanging="212"/>
        <w:spacing w:after="0" w:line="260"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Published data supporting changes to testing protocols: Published data from the SeqFirst study showing that implementing rapid genome sequencing (rWGS) as a first-tier test in pediatric and cardiac intensive care units significantly increases diagnostic rates and reduces time to diagnosis by half.</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Webcast and Conference Call Details</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GeneDx will host a conference call today, February 23, 2026, at 8:30 a.m. Eastern Time. Investors interested in listening to the conference call are required to register online. A live and archived webcast of the event will be available on the “Events” section of the GeneDx investor relations website at https://ir.genedx.com/.</w:t>
      </w:r>
    </w:p>
    <w:p>
      <w:pPr>
        <w:sectPr>
          <w:pgSz w:w="11900" w:h="16838" w:orient="portrait"/>
          <w:cols w:equalWidth="0" w:num="1">
            <w:col w:w="11300"/>
          </w:cols>
          <w:pgMar w:left="300" w:top="7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GeneDx believes non-GAAP measures are useful in evaluating its operating performance. GeneDx uses this supplemental information to evaluate its ongoing operations and for internal planning and forecasting purposes. GeneDx believes that non-GAAP financial information, when taken collectively with its GAAP financial information,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Reconciliations of non-GAAP financial measures to the most directly comparable financial results as determined in accordance with GAAP are included at the end of this press release following the accompanying financial data. We define non-GAAP financial measures as GAAP measures, excluding certain items such as stock-based compensation expense, depreciation and amortization, restructuring costs, changes in the fair value of financial liabilities, and other expenses that the Company believes are not indicative of its ongoing operations. A reconciliation of non-GAAP guidance measures to corresponding GAAP measures is not available on a forward-looking basis without unreasonable effort due to the uncertainty of expenses that may be incurred in the future.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Section 21E of the Securities Exchange Act of 1934, as amended, and the U.S. Private Securities Litigation Reform Act of 1995, including statements regarding our future performance and our market opportunity, including our expectations for full year 2026 revenue, exome and genome revenue and test volumes, adjusted gross margin and adjusted net income.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and (iv) our ability to pursue our new strategic direction. The foregoing list of factors is not exhaustive. You should carefully consider the foregoing factors and the other risks and uncertainties described in the “Risk Factors” section of our Annual Report on Form 10-K for the fiscal year ended December 31, 2024, filed with the U.S. Securities and Exchange Commission (the “SEC”) on February 20, 2025, our Quarterly Reports on Form 10-Q for the fiscal quarters ended March 31, 2025, June 30, 2025, and September 30, 2025,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GeneDx’s (Nasdaq: WGS) mission is to empower everyone to live their healthiest life through genomics. GeneDx combines unmatched clinical expertise, advanced technology, and the power of GeneDx Infinity™ – the world’s largest rare disease genomic dataset. This unparalleled foundation powers GeneDx’s ExomeDx™ and GenomeDx™ tests – ranked #1 by expert geneticists and granted FDA Breakthrough Device designation – enabling clinicians to deliver precise, fast, and actionable diagnoses. GeneDx Infinity also fuels discovery for biopharma, with the most powerful AI-driven genomic intelligence. A genomics pioneer over the last 25 years, diagnosing more than 4,800 genetic diseases and publishing more than 1,000 research publications, GeneDx is building the network that will drive the future of genomic precision medicine. For more information, visit genedx.com and connect with us on LinkedIn, Facebook, and Instagram.</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0"/>
          </w:cols>
          <w:pgMar w:left="300" w:top="773" w:right="299" w:bottom="1440" w:gutter="0" w:footer="0" w:header="0"/>
        </w:sectPr>
      </w:pPr>
    </w:p>
    <w:bookmarkStart w:id="8" w:name="page9"/>
    <w:bookmarkEnd w:id="8"/>
    <w:tbl>
      <w:tblPr>
        <w:tblLayout w:type="fixed"/>
        <w:tblInd w:w="8" w:type="dxa"/>
        <w:tblCellMar>
          <w:top w:w="0" w:type="dxa"/>
          <w:left w:w="0" w:type="dxa"/>
          <w:bottom w:w="0" w:type="dxa"/>
          <w:right w:w="0" w:type="dxa"/>
        </w:tblCellMar>
      </w:tblP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Volume &amp; Revenue</w:t>
            </w:r>
            <w:r>
              <w:rPr>
                <w:rFonts w:ascii="Times New Roman" w:cs="Times New Roman" w:eastAsia="Times New Roman" w:hAnsi="Times New Roman"/>
                <w:sz w:val="15"/>
                <w:szCs w:val="15"/>
                <w:b w:val="1"/>
                <w:bCs w:val="1"/>
                <w:color w:val="auto"/>
                <w:vertAlign w:val="superscript"/>
              </w:rPr>
              <w:t>(1)</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4Q25</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3Q25</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2Q25</w:t>
            </w:r>
          </w:p>
        </w:tc>
        <w:tc>
          <w:tcPr>
            <w:tcW w:w="24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1Q25</w:t>
            </w:r>
          </w:p>
        </w:tc>
        <w:tc>
          <w:tcPr>
            <w:tcW w:w="240" w:type="dxa"/>
            <w:vAlign w:val="bottom"/>
          </w:tcPr>
          <w:p>
            <w:pPr>
              <w:spacing w:after="0"/>
              <w:rPr>
                <w:sz w:val="20"/>
                <w:szCs w:val="20"/>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4Q24</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2025 YTD</w:t>
            </w:r>
          </w:p>
        </w:tc>
        <w:tc>
          <w:tcPr>
            <w:tcW w:w="180" w:type="dxa"/>
            <w:vAlign w:val="bottom"/>
          </w:tcPr>
          <w:p>
            <w:pPr>
              <w:spacing w:after="0"/>
              <w:rPr>
                <w:sz w:val="20"/>
                <w:szCs w:val="20"/>
                <w:color w:val="auto"/>
              </w:rPr>
            </w:pP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2024 YTD</w:t>
            </w:r>
          </w:p>
        </w:tc>
      </w:tr>
      <w:tr>
        <w:trPr>
          <w:trHeight w:val="133"/>
        </w:trPr>
        <w:tc>
          <w:tcPr>
            <w:tcW w:w="3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Volumes</w:t>
            </w:r>
          </w:p>
        </w:tc>
        <w:tc>
          <w:tcPr>
            <w:tcW w:w="7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7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27,761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97,271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74,547</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2,725</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7,259</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20,508</w:t>
            </w:r>
          </w:p>
        </w:tc>
      </w:tr>
      <w:tr>
        <w:trPr>
          <w:trHeight w:val="153"/>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30,935</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33,003</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31,833</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28,228</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30,115</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123,999</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131,177</w:t>
            </w:r>
          </w:p>
        </w:tc>
      </w:tr>
      <w:tr>
        <w:trPr>
          <w:trHeight w:val="158"/>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59,042</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60,216</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57,756</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51,515</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54,277</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228,529</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226,232</w:t>
            </w:r>
          </w:p>
        </w:tc>
      </w:tr>
      <w:tr>
        <w:trPr>
          <w:trHeight w:val="162"/>
        </w:trPr>
        <w:tc>
          <w:tcPr>
            <w:tcW w:w="3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 ($ millions)</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8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6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w:t>
            </w:r>
          </w:p>
        </w:tc>
        <w:tc>
          <w:tcPr>
            <w:tcW w:w="6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6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6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360.3</w:t>
            </w:r>
          </w:p>
        </w:tc>
        <w:tc>
          <w:tcPr>
            <w:tcW w:w="6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233.5</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7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information</w:t>
            </w: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Software and interpretation services</w:t>
            </w:r>
          </w:p>
        </w:tc>
        <w:tc>
          <w:tcPr>
            <w:tcW w:w="7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2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302.3</w:t>
            </w:r>
          </w:p>
        </w:tc>
      </w:tr>
    </w:tbl>
    <w:p>
      <w:pPr>
        <w:spacing w:after="0" w:line="157" w:lineRule="exact"/>
        <w:rPr>
          <w:sz w:val="20"/>
          <w:szCs w:val="20"/>
          <w:color w:val="auto"/>
        </w:rPr>
      </w:pPr>
    </w:p>
    <w:p>
      <w:pPr>
        <w:ind w:left="208" w:hanging="208"/>
        <w:spacing w:after="0"/>
        <w:tabs>
          <w:tab w:leader="none" w:pos="208"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Excludes volume and revenue from the exited Legacy Sema4 diagnostic testing business for the fourth quarter and full year 2024.</w:t>
      </w:r>
    </w:p>
    <w:p>
      <w:pPr>
        <w:spacing w:after="0" w:line="3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Unaudited Select Financial Information (in thousands)</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Three months ended December 31, 2025</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December 31, 2024</w:t>
            </w:r>
          </w:p>
        </w:tc>
        <w:tc>
          <w:tcPr>
            <w:tcW w:w="1060" w:type="dxa"/>
            <w:vAlign w:val="bottom"/>
            <w:tcBorders>
              <w:bottom w:val="single" w:sz="8" w:color="auto"/>
            </w:tcBorders>
          </w:tcPr>
          <w:p>
            <w:pPr>
              <w:spacing w:after="0"/>
              <w:rPr>
                <w:sz w:val="13"/>
                <w:szCs w:val="13"/>
                <w:color w:val="auto"/>
              </w:rPr>
            </w:pPr>
          </w:p>
        </w:tc>
      </w:tr>
      <w:tr>
        <w:trPr>
          <w:trHeight w:val="142"/>
        </w:trPr>
        <w:tc>
          <w:tcPr>
            <w:tcW w:w="2460" w:type="dxa"/>
            <w:vAlign w:val="bottom"/>
          </w:tcPr>
          <w:p>
            <w:pPr>
              <w:spacing w:after="0"/>
              <w:rPr>
                <w:sz w:val="12"/>
                <w:szCs w:val="12"/>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3"/>
          </w:tcPr>
          <w:p>
            <w:pPr>
              <w:jc w:val="center"/>
              <w:ind w:right="440"/>
              <w:spacing w:after="0" w:line="142" w:lineRule="exact"/>
              <w:rPr>
                <w:sz w:val="20"/>
                <w:szCs w:val="20"/>
                <w:color w:val="auto"/>
              </w:rPr>
            </w:pPr>
            <w:r>
              <w:rPr>
                <w:rFonts w:ascii="Times New Roman" w:cs="Times New Roman" w:eastAsia="Times New Roman" w:hAnsi="Times New Roman"/>
                <w:sz w:val="12"/>
                <w:szCs w:val="12"/>
                <w:b w:val="1"/>
                <w:bCs w:val="1"/>
                <w:color w:val="auto"/>
                <w:w w:val="89"/>
              </w:rPr>
              <w:t>Other</w:t>
            </w:r>
            <w:r>
              <w:rPr>
                <w:rFonts w:ascii="Times New Roman" w:cs="Times New Roman" w:eastAsia="Times New Roman" w:hAnsi="Times New Roman"/>
                <w:sz w:val="15"/>
                <w:szCs w:val="15"/>
                <w:b w:val="1"/>
                <w:bCs w:val="1"/>
                <w:color w:val="auto"/>
                <w:w w:val="89"/>
                <w:vertAlign w:val="superscript"/>
              </w:rPr>
              <w:t>(1)</w:t>
            </w:r>
          </w:p>
        </w:tc>
        <w:tc>
          <w:tcPr>
            <w:tcW w:w="10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2"/>
                <w:szCs w:val="12"/>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center"/>
              <w:ind w:right="440"/>
              <w:spacing w:after="0" w:line="142" w:lineRule="exact"/>
              <w:rPr>
                <w:sz w:val="20"/>
                <w:szCs w:val="20"/>
                <w:color w:val="auto"/>
              </w:rPr>
            </w:pPr>
            <w:r>
              <w:rPr>
                <w:rFonts w:ascii="Times New Roman" w:cs="Times New Roman" w:eastAsia="Times New Roman" w:hAnsi="Times New Roman"/>
                <w:sz w:val="12"/>
                <w:szCs w:val="12"/>
                <w:b w:val="1"/>
                <w:bCs w:val="1"/>
                <w:color w:val="auto"/>
                <w:w w:val="94"/>
              </w:rPr>
              <w:t>Other</w:t>
            </w:r>
            <w:r>
              <w:rPr>
                <w:rFonts w:ascii="Times New Roman" w:cs="Times New Roman" w:eastAsia="Times New Roman" w:hAnsi="Times New Roman"/>
                <w:sz w:val="15"/>
                <w:szCs w:val="15"/>
                <w:b w:val="1"/>
                <w:bCs w:val="1"/>
                <w:color w:val="auto"/>
                <w:w w:val="94"/>
                <w:vertAlign w:val="superscript"/>
              </w:rPr>
              <w:t>(1)</w:t>
            </w:r>
          </w:p>
        </w:tc>
        <w:tc>
          <w:tcPr>
            <w:tcW w:w="10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60" w:type="dxa"/>
            <w:vAlign w:val="bottom"/>
            <w:tcBorders>
              <w:top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rPr>
              <w:t>$119,492</w:t>
            </w: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$1,497</w:t>
            </w: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rPr>
              <w:t>$120,989</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rPr>
              <w:t>$95,286</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$354</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7"/>
              </w:rPr>
              <w:t>$95,640</w:t>
            </w:r>
          </w:p>
        </w:tc>
      </w:tr>
      <w:tr>
        <w:trPr>
          <w:trHeight w:val="153"/>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106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34,494</w:t>
            </w:r>
          </w:p>
        </w:tc>
        <w:tc>
          <w:tcPr>
            <w:tcW w:w="1840" w:type="dxa"/>
            <w:vAlign w:val="bottom"/>
            <w:gridSpan w:val="3"/>
          </w:tcPr>
          <w:p>
            <w:pPr>
              <w:jc w:val="center"/>
              <w:ind w:left="360"/>
              <w:spacing w:after="0"/>
              <w:rPr>
                <w:sz w:val="20"/>
                <w:szCs w:val="20"/>
                <w:color w:val="auto"/>
              </w:rPr>
            </w:pPr>
            <w:r>
              <w:rPr>
                <w:rFonts w:ascii="Times New Roman" w:cs="Times New Roman" w:eastAsia="Times New Roman" w:hAnsi="Times New Roman"/>
                <w:sz w:val="12"/>
                <w:szCs w:val="12"/>
                <w:color w:val="auto"/>
                <w:w w:val="99"/>
              </w:rPr>
              <w:t>480</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rPr>
              <w:t>34,974</w:t>
            </w:r>
          </w:p>
        </w:tc>
        <w:tc>
          <w:tcPr>
            <w:tcW w:w="80" w:type="dxa"/>
            <w:vAlign w:val="bottom"/>
          </w:tcPr>
          <w:p>
            <w:pPr>
              <w:spacing w:after="0"/>
              <w:rPr>
                <w:sz w:val="13"/>
                <w:szCs w:val="13"/>
                <w:color w:val="auto"/>
              </w:rPr>
            </w:pPr>
          </w:p>
        </w:tc>
        <w:tc>
          <w:tcPr>
            <w:tcW w:w="10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6"/>
              </w:rPr>
              <w:t>28,384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3"/>
          </w:tcPr>
          <w:p>
            <w:pPr>
              <w:jc w:val="center"/>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rPr>
              <w:t>28,384</w:t>
            </w:r>
          </w:p>
        </w:tc>
      </w:tr>
      <w:tr>
        <w:trPr>
          <w:trHeight w:val="142"/>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w:t>
            </w:r>
          </w:p>
        </w:tc>
        <w:tc>
          <w:tcPr>
            <w:tcW w:w="1060" w:type="dxa"/>
            <w:vAlign w:val="bottom"/>
            <w:tcBorders>
              <w:top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w w:val="97"/>
              </w:rPr>
              <w:t>$84,998</w:t>
            </w: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$1,017</w:t>
            </w: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7"/>
              </w:rPr>
              <w:t>$86,015</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rPr>
              <w:t>$66,902</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$354</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7"/>
              </w:rPr>
              <w:t>$67,256</w:t>
            </w:r>
          </w:p>
        </w:tc>
      </w:tr>
      <w:tr>
        <w:trPr>
          <w:trHeight w:val="155"/>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106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6"/>
              </w:rPr>
              <w:t>71.1%</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6"/>
              </w:rPr>
              <w:t>71.1%</w:t>
            </w:r>
          </w:p>
        </w:tc>
        <w:tc>
          <w:tcPr>
            <w:tcW w:w="80" w:type="dxa"/>
            <w:vAlign w:val="bottom"/>
          </w:tcPr>
          <w:p>
            <w:pPr>
              <w:spacing w:after="0"/>
              <w:rPr>
                <w:sz w:val="13"/>
                <w:szCs w:val="13"/>
                <w:color w:val="auto"/>
              </w:rPr>
            </w:pPr>
          </w:p>
        </w:tc>
        <w:tc>
          <w:tcPr>
            <w:tcW w:w="10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70.2%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6"/>
              </w:rPr>
              <w:t>70.3%</w:t>
            </w:r>
          </w:p>
        </w:tc>
      </w:tr>
      <w:tr>
        <w:trPr>
          <w:trHeight w:val="340"/>
        </w:trPr>
        <w:tc>
          <w:tcPr>
            <w:tcW w:w="24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Year ended December 31, 2025</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Year ended December 31, 2024</w:t>
            </w:r>
          </w:p>
        </w:tc>
        <w:tc>
          <w:tcPr>
            <w:tcW w:w="1060" w:type="dxa"/>
            <w:vAlign w:val="bottom"/>
            <w:tcBorders>
              <w:bottom w:val="single" w:sz="8" w:color="auto"/>
            </w:tcBorders>
          </w:tcPr>
          <w:p>
            <w:pPr>
              <w:spacing w:after="0"/>
              <w:rPr>
                <w:sz w:val="24"/>
                <w:szCs w:val="24"/>
                <w:color w:val="auto"/>
              </w:rPr>
            </w:pPr>
          </w:p>
        </w:tc>
      </w:tr>
      <w:tr>
        <w:trPr>
          <w:trHeight w:val="142"/>
        </w:trPr>
        <w:tc>
          <w:tcPr>
            <w:tcW w:w="2460" w:type="dxa"/>
            <w:vAlign w:val="bottom"/>
          </w:tcPr>
          <w:p>
            <w:pPr>
              <w:spacing w:after="0"/>
              <w:rPr>
                <w:sz w:val="12"/>
                <w:szCs w:val="12"/>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3"/>
          </w:tcPr>
          <w:p>
            <w:pPr>
              <w:jc w:val="center"/>
              <w:ind w:right="440"/>
              <w:spacing w:after="0" w:line="142" w:lineRule="exact"/>
              <w:rPr>
                <w:sz w:val="20"/>
                <w:szCs w:val="20"/>
                <w:color w:val="auto"/>
              </w:rPr>
            </w:pPr>
            <w:r>
              <w:rPr>
                <w:rFonts w:ascii="Times New Roman" w:cs="Times New Roman" w:eastAsia="Times New Roman" w:hAnsi="Times New Roman"/>
                <w:sz w:val="12"/>
                <w:szCs w:val="12"/>
                <w:b w:val="1"/>
                <w:bCs w:val="1"/>
                <w:color w:val="auto"/>
                <w:w w:val="89"/>
              </w:rPr>
              <w:t>Other</w:t>
            </w:r>
            <w:r>
              <w:rPr>
                <w:rFonts w:ascii="Times New Roman" w:cs="Times New Roman" w:eastAsia="Times New Roman" w:hAnsi="Times New Roman"/>
                <w:sz w:val="15"/>
                <w:szCs w:val="15"/>
                <w:b w:val="1"/>
                <w:bCs w:val="1"/>
                <w:color w:val="auto"/>
                <w:w w:val="89"/>
                <w:vertAlign w:val="superscript"/>
              </w:rPr>
              <w:t>(1)</w:t>
            </w:r>
          </w:p>
        </w:tc>
        <w:tc>
          <w:tcPr>
            <w:tcW w:w="10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2"/>
                <w:szCs w:val="12"/>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center"/>
              <w:ind w:right="440"/>
              <w:spacing w:after="0" w:line="142" w:lineRule="exact"/>
              <w:rPr>
                <w:sz w:val="20"/>
                <w:szCs w:val="20"/>
                <w:color w:val="auto"/>
              </w:rPr>
            </w:pPr>
            <w:r>
              <w:rPr>
                <w:rFonts w:ascii="Times New Roman" w:cs="Times New Roman" w:eastAsia="Times New Roman" w:hAnsi="Times New Roman"/>
                <w:sz w:val="12"/>
                <w:szCs w:val="12"/>
                <w:b w:val="1"/>
                <w:bCs w:val="1"/>
                <w:color w:val="auto"/>
                <w:w w:val="94"/>
              </w:rPr>
              <w:t>Other</w:t>
            </w:r>
            <w:r>
              <w:rPr>
                <w:rFonts w:ascii="Times New Roman" w:cs="Times New Roman" w:eastAsia="Times New Roman" w:hAnsi="Times New Roman"/>
                <w:sz w:val="15"/>
                <w:szCs w:val="15"/>
                <w:b w:val="1"/>
                <w:bCs w:val="1"/>
                <w:color w:val="auto"/>
                <w:w w:val="94"/>
                <w:vertAlign w:val="superscript"/>
              </w:rPr>
              <w:t>(1)</w:t>
            </w:r>
          </w:p>
        </w:tc>
        <w:tc>
          <w:tcPr>
            <w:tcW w:w="10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060" w:type="dxa"/>
            <w:vAlign w:val="bottom"/>
            <w:tcBorders>
              <w:top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rPr>
              <w:t>$423,088</w:t>
            </w: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$4,451</w:t>
            </w: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rPr>
              <w:t>$427,539</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w w:val="97"/>
              </w:rPr>
              <w:t>$302,293</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$3,157</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rPr>
              <w:t>$305,450</w:t>
            </w:r>
          </w:p>
        </w:tc>
      </w:tr>
      <w:tr>
        <w:trPr>
          <w:trHeight w:val="153"/>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106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7"/>
              </w:rPr>
              <w:t>122,100</w:t>
            </w:r>
          </w:p>
        </w:tc>
        <w:tc>
          <w:tcPr>
            <w:tcW w:w="1840" w:type="dxa"/>
            <w:vAlign w:val="bottom"/>
            <w:gridSpan w:val="3"/>
          </w:tcPr>
          <w:p>
            <w:pPr>
              <w:jc w:val="center"/>
              <w:ind w:left="360"/>
              <w:spacing w:after="0"/>
              <w:rPr>
                <w:sz w:val="20"/>
                <w:szCs w:val="20"/>
                <w:color w:val="auto"/>
              </w:rPr>
            </w:pPr>
            <w:r>
              <w:rPr>
                <w:rFonts w:ascii="Times New Roman" w:cs="Times New Roman" w:eastAsia="Times New Roman" w:hAnsi="Times New Roman"/>
                <w:sz w:val="12"/>
                <w:szCs w:val="12"/>
                <w:color w:val="auto"/>
                <w:w w:val="96"/>
              </w:rPr>
              <w:t>1,101</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7"/>
              </w:rPr>
              <w:t>123,201</w:t>
            </w:r>
          </w:p>
        </w:tc>
        <w:tc>
          <w:tcPr>
            <w:tcW w:w="80" w:type="dxa"/>
            <w:vAlign w:val="bottom"/>
          </w:tcPr>
          <w:p>
            <w:pPr>
              <w:spacing w:after="0"/>
              <w:rPr>
                <w:sz w:val="13"/>
                <w:szCs w:val="13"/>
                <w:color w:val="auto"/>
              </w:rPr>
            </w:pPr>
          </w:p>
        </w:tc>
        <w:tc>
          <w:tcPr>
            <w:tcW w:w="10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106,376</w:t>
            </w:r>
          </w:p>
        </w:tc>
        <w:tc>
          <w:tcPr>
            <w:tcW w:w="1860" w:type="dxa"/>
            <w:vAlign w:val="bottom"/>
            <w:gridSpan w:val="3"/>
          </w:tcPr>
          <w:p>
            <w:pPr>
              <w:jc w:val="center"/>
              <w:ind w:left="380"/>
              <w:spacing w:after="0"/>
              <w:rPr>
                <w:sz w:val="20"/>
                <w:szCs w:val="20"/>
                <w:color w:val="auto"/>
              </w:rPr>
            </w:pPr>
            <w:r>
              <w:rPr>
                <w:rFonts w:ascii="Times New Roman" w:cs="Times New Roman" w:eastAsia="Times New Roman" w:hAnsi="Times New Roman"/>
                <w:sz w:val="12"/>
                <w:szCs w:val="12"/>
                <w:color w:val="auto"/>
                <w:w w:val="99"/>
              </w:rPr>
              <w:t>145</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7"/>
              </w:rPr>
              <w:t>106,521</w:t>
            </w:r>
          </w:p>
        </w:tc>
      </w:tr>
      <w:tr>
        <w:trPr>
          <w:trHeight w:val="142"/>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w:t>
            </w:r>
          </w:p>
        </w:tc>
        <w:tc>
          <w:tcPr>
            <w:tcW w:w="1060" w:type="dxa"/>
            <w:vAlign w:val="bottom"/>
            <w:tcBorders>
              <w:top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rPr>
              <w:t>$300,988</w:t>
            </w: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$3,350</w:t>
            </w: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rPr>
              <w:t>$304,338</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w w:val="97"/>
              </w:rPr>
              <w:t>$195,917</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$3,012</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rPr>
              <w:t>$198,929</w:t>
            </w:r>
          </w:p>
        </w:tc>
      </w:tr>
      <w:tr>
        <w:trPr>
          <w:trHeight w:val="155"/>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106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6"/>
              </w:rPr>
              <w:t>71.1%</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6"/>
              </w:rPr>
              <w:t>71.2%</w:t>
            </w:r>
          </w:p>
        </w:tc>
        <w:tc>
          <w:tcPr>
            <w:tcW w:w="80" w:type="dxa"/>
            <w:vAlign w:val="bottom"/>
          </w:tcPr>
          <w:p>
            <w:pPr>
              <w:spacing w:after="0"/>
              <w:rPr>
                <w:sz w:val="13"/>
                <w:szCs w:val="13"/>
                <w:color w:val="auto"/>
              </w:rPr>
            </w:pPr>
          </w:p>
        </w:tc>
        <w:tc>
          <w:tcPr>
            <w:tcW w:w="10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64.8%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6"/>
              </w:rPr>
              <w:t>65.1%</w:t>
            </w:r>
          </w:p>
        </w:tc>
      </w:tr>
    </w:tbl>
    <w:p>
      <w:pPr>
        <w:spacing w:after="0" w:line="155" w:lineRule="exact"/>
        <w:rPr>
          <w:sz w:val="20"/>
          <w:szCs w:val="20"/>
          <w:color w:val="auto"/>
        </w:rPr>
      </w:pPr>
    </w:p>
    <w:p>
      <w:pPr>
        <w:ind w:left="208" w:hanging="208"/>
        <w:spacing w:after="0"/>
        <w:tabs>
          <w:tab w:leader="none" w:pos="208" w:val="left"/>
        </w:tabs>
        <w:numPr>
          <w:ilvl w:val="0"/>
          <w:numId w:val="18"/>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For the three months and year ended December 31, 2025, Other includes revenue and cost of services from the Fabric Genomics operating segment. For the three months and year ended December 31, 2024, Other includes revenue from the Legacy Sema4 diagnostic testing business.</w:t>
      </w:r>
    </w:p>
    <w:p>
      <w:pPr>
        <w:sectPr>
          <w:pgSz w:w="11900" w:h="16838" w:orient="portrait"/>
          <w:cols w:equalWidth="0" w:num="1">
            <w:col w:w="11308"/>
          </w:cols>
          <w:pgMar w:left="292" w:top="771" w:right="299" w:bottom="1440" w:gutter="0" w:footer="0" w:header="0"/>
        </w:sectPr>
      </w:pPr>
    </w:p>
    <w:bookmarkStart w:id="9" w:name="page10"/>
    <w:bookmarkEnd w:id="9"/>
    <w:tbl>
      <w:tblPr>
        <w:tblLayout w:type="fixed"/>
        <w:tblInd w:w="8" w:type="dxa"/>
        <w:tblCellMar>
          <w:top w:w="0" w:type="dxa"/>
          <w:left w:w="0" w:type="dxa"/>
          <w:bottom w:w="0" w:type="dxa"/>
          <w:right w:w="0" w:type="dxa"/>
        </w:tblCellMar>
      </w:tblPr>
      <w:tr>
        <w:trPr>
          <w:trHeight w:val="134"/>
        </w:trPr>
        <w:tc>
          <w:tcPr>
            <w:tcW w:w="25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6"/>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 December 31, 2025</w:t>
            </w:r>
          </w:p>
        </w:tc>
        <w:tc>
          <w:tcPr>
            <w:tcW w:w="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89"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7"/>
                <w:szCs w:val="7"/>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1240" w:type="dxa"/>
            <w:vAlign w:val="bottom"/>
            <w:gridSpan w:val="3"/>
          </w:tcPr>
          <w:p>
            <w:pPr>
              <w:jc w:val="center"/>
              <w:ind w:right="60"/>
              <w:spacing w:after="0" w:line="89"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40" w:type="dxa"/>
            <w:vAlign w:val="bottom"/>
          </w:tcPr>
          <w:p>
            <w:pPr>
              <w:spacing w:after="0"/>
              <w:rPr>
                <w:sz w:val="7"/>
                <w:szCs w:val="7"/>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(2)</w:t>
            </w:r>
          </w:p>
        </w:tc>
        <w:tc>
          <w:tcPr>
            <w:tcW w:w="240" w:type="dxa"/>
            <w:vAlign w:val="bottom"/>
          </w:tcPr>
          <w:p>
            <w:pPr>
              <w:spacing w:after="0"/>
              <w:rPr>
                <w:sz w:val="7"/>
                <w:szCs w:val="7"/>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24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52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Diagnostic test revenue</w:t>
            </w: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86"/>
              </w:rPr>
              <w:t>117,286</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117,286</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3,703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3,703</w:t>
            </w:r>
          </w:p>
        </w:tc>
        <w:tc>
          <w:tcPr>
            <w:tcW w:w="0" w:type="dxa"/>
            <w:vAlign w:val="bottom"/>
          </w:tcPr>
          <w:p>
            <w:pPr>
              <w:spacing w:after="0"/>
              <w:rPr>
                <w:sz w:val="1"/>
                <w:szCs w:val="1"/>
                <w:color w:val="auto"/>
              </w:rPr>
            </w:pPr>
          </w:p>
        </w:tc>
      </w:tr>
      <w:tr>
        <w:trPr>
          <w:trHeight w:val="130"/>
        </w:trPr>
        <w:tc>
          <w:tcPr>
            <w:tcW w:w="25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124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120,989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120,989</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36,721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34,974</w:t>
            </w:r>
          </w:p>
        </w:tc>
        <w:tc>
          <w:tcPr>
            <w:tcW w:w="0" w:type="dxa"/>
            <w:vAlign w:val="bottom"/>
          </w:tcPr>
          <w:p>
            <w:pPr>
              <w:spacing w:after="0"/>
              <w:rPr>
                <w:sz w:val="1"/>
                <w:szCs w:val="1"/>
                <w:color w:val="auto"/>
              </w:rPr>
            </w:pPr>
          </w:p>
        </w:tc>
      </w:tr>
      <w:tr>
        <w:trPr>
          <w:trHeight w:val="130"/>
        </w:trPr>
        <w:tc>
          <w:tcPr>
            <w:tcW w:w="25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8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84,268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1,531</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86,015</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69.6 %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71.1 %</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24,541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22,256</w:t>
            </w:r>
          </w:p>
        </w:tc>
        <w:tc>
          <w:tcPr>
            <w:tcW w:w="0" w:type="dxa"/>
            <w:vAlign w:val="bottom"/>
          </w:tcPr>
          <w:p>
            <w:pPr>
              <w:spacing w:after="0"/>
              <w:rPr>
                <w:sz w:val="1"/>
                <w:szCs w:val="1"/>
                <w:color w:val="auto"/>
              </w:rPr>
            </w:pPr>
          </w:p>
        </w:tc>
      </w:tr>
      <w:tr>
        <w:trPr>
          <w:trHeight w:val="14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27,131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24,137</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46,831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(3,659)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(6,272)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35,383</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income from operations</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87"/>
              </w:rPr>
              <w:t>(14,235)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6,881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4,239</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(3,475)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(1,116)</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161</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87"/>
              </w:rPr>
              <w:t>(17,666)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6,881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9,780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4,400</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Basic (loss) earnings per share</w:t>
            </w:r>
            <w:r>
              <w:rPr>
                <w:rFonts w:ascii="Times New Roman" w:cs="Times New Roman" w:eastAsia="Times New Roman" w:hAnsi="Times New Roman"/>
                <w:sz w:val="12"/>
                <w:szCs w:val="12"/>
                <w:color w:val="auto"/>
                <w:vertAlign w:val="superscript"/>
              </w:rPr>
              <w:t>(1)</w:t>
            </w:r>
          </w:p>
        </w:tc>
        <w:tc>
          <w:tcPr>
            <w:tcW w:w="8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(0.61)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0.15</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r>
              <w:rPr>
                <w:rFonts w:ascii="Times New Roman" w:cs="Times New Roman" w:eastAsia="Times New Roman" w:hAnsi="Times New Roman"/>
                <w:sz w:val="12"/>
                <w:szCs w:val="12"/>
                <w:color w:val="auto"/>
                <w:vertAlign w:val="superscript"/>
              </w:rPr>
              <w:t>(1)</w:t>
            </w:r>
          </w:p>
        </w:tc>
        <w:tc>
          <w:tcPr>
            <w:tcW w:w="820" w:type="dxa"/>
            <w:vAlign w:val="bottom"/>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0.14</w:t>
            </w:r>
          </w:p>
        </w:tc>
        <w:tc>
          <w:tcPr>
            <w:tcW w:w="0" w:type="dxa"/>
            <w:vAlign w:val="bottom"/>
          </w:tcPr>
          <w:p>
            <w:pPr>
              <w:spacing w:after="0"/>
              <w:rPr>
                <w:sz w:val="1"/>
                <w:szCs w:val="1"/>
                <w:color w:val="auto"/>
              </w:rPr>
            </w:pPr>
          </w:p>
        </w:tc>
      </w:tr>
      <w:tr>
        <w:trPr>
          <w:trHeight w:val="558"/>
        </w:trPr>
        <w:tc>
          <w:tcPr>
            <w:tcW w:w="25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 December 31, 2024</w:t>
            </w: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tcPr>
          <w:p>
            <w:pPr>
              <w:jc w:val="center"/>
              <w:ind w:right="220"/>
              <w:spacing w:after="0" w:line="88"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7"/>
                <w:szCs w:val="7"/>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1240" w:type="dxa"/>
            <w:vAlign w:val="bottom"/>
            <w:gridSpan w:val="3"/>
          </w:tcPr>
          <w:p>
            <w:pPr>
              <w:jc w:val="center"/>
              <w:ind w:right="60"/>
              <w:spacing w:after="0" w:line="88"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40" w:type="dxa"/>
            <w:vAlign w:val="bottom"/>
          </w:tcPr>
          <w:p>
            <w:pPr>
              <w:spacing w:after="0"/>
              <w:rPr>
                <w:sz w:val="7"/>
                <w:szCs w:val="7"/>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(2)</w:t>
            </w:r>
          </w:p>
        </w:tc>
        <w:tc>
          <w:tcPr>
            <w:tcW w:w="240" w:type="dxa"/>
            <w:vAlign w:val="bottom"/>
          </w:tcPr>
          <w:p>
            <w:pPr>
              <w:spacing w:after="0"/>
              <w:rPr>
                <w:sz w:val="7"/>
                <w:szCs w:val="7"/>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24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52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Diagnostic test revenue</w:t>
            </w: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94,196</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94,196</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1,444</w:t>
            </w:r>
          </w:p>
        </w:tc>
        <w:tc>
          <w:tcPr>
            <w:tcW w:w="0" w:type="dxa"/>
            <w:vAlign w:val="bottom"/>
          </w:tcPr>
          <w:p>
            <w:pPr>
              <w:spacing w:after="0"/>
              <w:rPr>
                <w:sz w:val="1"/>
                <w:szCs w:val="1"/>
                <w:color w:val="auto"/>
              </w:rPr>
            </w:pPr>
          </w:p>
        </w:tc>
      </w:tr>
      <w:tr>
        <w:trPr>
          <w:trHeight w:val="130"/>
        </w:trPr>
        <w:tc>
          <w:tcPr>
            <w:tcW w:w="25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8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95,640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95,640</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29,435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28,384</w:t>
            </w:r>
          </w:p>
        </w:tc>
        <w:tc>
          <w:tcPr>
            <w:tcW w:w="0" w:type="dxa"/>
            <w:vAlign w:val="bottom"/>
          </w:tcPr>
          <w:p>
            <w:pPr>
              <w:spacing w:after="0"/>
              <w:rPr>
                <w:sz w:val="1"/>
                <w:szCs w:val="1"/>
                <w:color w:val="auto"/>
              </w:rPr>
            </w:pPr>
          </w:p>
        </w:tc>
      </w:tr>
      <w:tr>
        <w:trPr>
          <w:trHeight w:val="130"/>
        </w:trPr>
        <w:tc>
          <w:tcPr>
            <w:tcW w:w="25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8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66,205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67,256</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69.2 %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70.3 %</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10,786</w:t>
            </w:r>
          </w:p>
        </w:tc>
        <w:tc>
          <w:tcPr>
            <w:tcW w:w="0" w:type="dxa"/>
            <w:vAlign w:val="bottom"/>
          </w:tcPr>
          <w:p>
            <w:pPr>
              <w:spacing w:after="0"/>
              <w:rPr>
                <w:sz w:val="1"/>
                <w:szCs w:val="1"/>
                <w:color w:val="auto"/>
              </w:rPr>
            </w:pPr>
          </w:p>
        </w:tc>
      </w:tr>
      <w:tr>
        <w:trPr>
          <w:trHeight w:val="14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17,676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16,074</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28,135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22,895</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from operations</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8,806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5,558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17,501</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(2,694)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1,980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5,438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5,558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1,980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17,453</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Basic earnings per share</w:t>
            </w:r>
            <w:r>
              <w:rPr>
                <w:rFonts w:ascii="Times New Roman" w:cs="Times New Roman" w:eastAsia="Times New Roman" w:hAnsi="Times New Roman"/>
                <w:sz w:val="12"/>
                <w:szCs w:val="12"/>
                <w:color w:val="auto"/>
                <w:vertAlign w:val="superscript"/>
              </w:rPr>
              <w:t>(1)</w:t>
            </w:r>
          </w:p>
        </w:tc>
        <w:tc>
          <w:tcPr>
            <w:tcW w:w="8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0.20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0.63</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Diluted earnings per share</w:t>
            </w:r>
            <w:r>
              <w:rPr>
                <w:rFonts w:ascii="Times New Roman" w:cs="Times New Roman" w:eastAsia="Times New Roman" w:hAnsi="Times New Roman"/>
                <w:sz w:val="12"/>
                <w:szCs w:val="12"/>
                <w:color w:val="auto"/>
                <w:vertAlign w:val="superscript"/>
              </w:rPr>
              <w:t>(1)</w:t>
            </w:r>
          </w:p>
        </w:tc>
        <w:tc>
          <w:tcPr>
            <w:tcW w:w="820" w:type="dxa"/>
            <w:vAlign w:val="bottom"/>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0.59</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8" w:hanging="208"/>
        <w:spacing w:after="0" w:line="250" w:lineRule="auto"/>
        <w:tabs>
          <w:tab w:leader="none" w:pos="203"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Basic and diluted (loss) earnings per share are calculated based on 29,045,526 and 30,365,730 weighted-average shares outstanding for the three months ended December 31, 2025, respectively, and 27,776,757 and 29,595,716 weighted-average shares outstanding for the three months ended December 31, 2024, respectively.</w:t>
      </w:r>
    </w:p>
    <w:p>
      <w:pPr>
        <w:ind w:left="208" w:hanging="208"/>
        <w:spacing w:after="0" w:line="248" w:lineRule="auto"/>
        <w:tabs>
          <w:tab w:leader="none" w:pos="203"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represents interest expense, net, and income tax benefit for all periods presented. For the three months ended December 31, 2025, Other includes legal costs and a reserve for a certain litigation matter. For the three months ended December 31, 2024, Other includes legal costs related to a legal settlement.</w:t>
      </w:r>
    </w:p>
    <w:p>
      <w:pPr>
        <w:sectPr>
          <w:pgSz w:w="11900" w:h="16838" w:orient="portrait"/>
          <w:cols w:equalWidth="0" w:num="1">
            <w:col w:w="11308"/>
          </w:cols>
          <w:pgMar w:left="292" w:top="798" w:right="299" w:bottom="1440"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134"/>
        </w:trPr>
        <w:tc>
          <w:tcPr>
            <w:tcW w:w="25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6"/>
          </w:tcPr>
          <w:p>
            <w:pPr>
              <w:jc w:val="center"/>
              <w:ind w:left="632"/>
              <w:spacing w:after="0"/>
              <w:rPr>
                <w:sz w:val="20"/>
                <w:szCs w:val="20"/>
                <w:color w:val="auto"/>
              </w:rPr>
            </w:pPr>
            <w:r>
              <w:rPr>
                <w:rFonts w:ascii="Times New Roman" w:cs="Times New Roman" w:eastAsia="Times New Roman" w:hAnsi="Times New Roman"/>
                <w:sz w:val="10"/>
                <w:szCs w:val="10"/>
                <w:b w:val="1"/>
                <w:bCs w:val="1"/>
                <w:color w:val="auto"/>
                <w:w w:val="96"/>
              </w:rPr>
              <w:t>For the year ended December 31, 2025</w:t>
            </w:r>
          </w:p>
        </w:tc>
        <w:tc>
          <w:tcPr>
            <w:tcW w:w="9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140" w:type="dxa"/>
            <w:vAlign w:val="bottom"/>
          </w:tcPr>
          <w:p>
            <w:pPr>
              <w:spacing w:after="0"/>
              <w:rPr>
                <w:sz w:val="7"/>
                <w:szCs w:val="7"/>
                <w:color w:val="auto"/>
              </w:rPr>
            </w:pPr>
          </w:p>
        </w:tc>
        <w:tc>
          <w:tcPr>
            <w:tcW w:w="110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89"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7"/>
                <w:szCs w:val="7"/>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1240" w:type="dxa"/>
            <w:vAlign w:val="bottom"/>
            <w:gridSpan w:val="3"/>
          </w:tcPr>
          <w:p>
            <w:pPr>
              <w:jc w:val="center"/>
              <w:ind w:right="60"/>
              <w:spacing w:after="0" w:line="89"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40" w:type="dxa"/>
            <w:vAlign w:val="bottom"/>
          </w:tcPr>
          <w:p>
            <w:pPr>
              <w:spacing w:after="0"/>
              <w:rPr>
                <w:sz w:val="7"/>
                <w:szCs w:val="7"/>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(2)</w:t>
            </w:r>
          </w:p>
        </w:tc>
        <w:tc>
          <w:tcPr>
            <w:tcW w:w="240" w:type="dxa"/>
            <w:vAlign w:val="bottom"/>
          </w:tcPr>
          <w:p>
            <w:pPr>
              <w:spacing w:after="0"/>
              <w:rPr>
                <w:sz w:val="7"/>
                <w:szCs w:val="7"/>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24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52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Diagnostic test revenue</w:t>
            </w: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416,668</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416,668</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10,871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10,871</w:t>
            </w:r>
          </w:p>
        </w:tc>
        <w:tc>
          <w:tcPr>
            <w:tcW w:w="0" w:type="dxa"/>
            <w:vAlign w:val="bottom"/>
          </w:tcPr>
          <w:p>
            <w:pPr>
              <w:spacing w:after="0"/>
              <w:rPr>
                <w:sz w:val="1"/>
                <w:szCs w:val="1"/>
                <w:color w:val="auto"/>
              </w:rPr>
            </w:pPr>
          </w:p>
        </w:tc>
      </w:tr>
      <w:tr>
        <w:trPr>
          <w:trHeight w:val="130"/>
        </w:trPr>
        <w:tc>
          <w:tcPr>
            <w:tcW w:w="25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427,539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427,539</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129,366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(5,369)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123,201</w:t>
            </w:r>
          </w:p>
        </w:tc>
        <w:tc>
          <w:tcPr>
            <w:tcW w:w="0" w:type="dxa"/>
            <w:vAlign w:val="bottom"/>
          </w:tcPr>
          <w:p>
            <w:pPr>
              <w:spacing w:after="0"/>
              <w:rPr>
                <w:sz w:val="1"/>
                <w:szCs w:val="1"/>
                <w:color w:val="auto"/>
              </w:rPr>
            </w:pPr>
          </w:p>
        </w:tc>
      </w:tr>
      <w:tr>
        <w:trPr>
          <w:trHeight w:val="130"/>
        </w:trPr>
        <w:tc>
          <w:tcPr>
            <w:tcW w:w="25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298,173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5,369</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304,338</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71.2 %</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72,026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65,496</w:t>
            </w:r>
          </w:p>
        </w:tc>
        <w:tc>
          <w:tcPr>
            <w:tcW w:w="0" w:type="dxa"/>
            <w:vAlign w:val="bottom"/>
          </w:tcPr>
          <w:p>
            <w:pPr>
              <w:spacing w:after="0"/>
              <w:rPr>
                <w:sz w:val="1"/>
                <w:szCs w:val="1"/>
                <w:color w:val="auto"/>
              </w:rPr>
            </w:pPr>
          </w:p>
        </w:tc>
      </w:tr>
      <w:tr>
        <w:trPr>
          <w:trHeight w:val="14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88,405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77,914</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150,819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(13,484)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(20,996)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119,631</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income from operations</w:t>
            </w:r>
          </w:p>
        </w:tc>
        <w:tc>
          <w:tcPr>
            <w:tcW w:w="240" w:type="dxa"/>
            <w:vAlign w:val="bottom"/>
          </w:tcPr>
          <w:p>
            <w:pPr>
              <w:spacing w:after="0"/>
              <w:rPr>
                <w:sz w:val="11"/>
                <w:szCs w:val="1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25,224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41,297</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240" w:type="dxa"/>
            <w:vAlign w:val="bottom"/>
          </w:tcPr>
          <w:p>
            <w:pPr>
              <w:spacing w:after="0"/>
              <w:rPr>
                <w:sz w:val="11"/>
                <w:szCs w:val="1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(5,521)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1,204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4,829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512</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(21,021)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25,224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32,162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41,809</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Basic (loss) earnings per share</w:t>
            </w:r>
            <w:r>
              <w:rPr>
                <w:rFonts w:ascii="Times New Roman" w:cs="Times New Roman" w:eastAsia="Times New Roman" w:hAnsi="Times New Roman"/>
                <w:sz w:val="12"/>
                <w:szCs w:val="12"/>
                <w:color w:val="auto"/>
                <w:vertAlign w:val="superscript"/>
              </w:rPr>
              <w:t>(1)</w:t>
            </w: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(0.73)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1.46</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r>
              <w:rPr>
                <w:rFonts w:ascii="Times New Roman" w:cs="Times New Roman" w:eastAsia="Times New Roman" w:hAnsi="Times New Roman"/>
                <w:sz w:val="12"/>
                <w:szCs w:val="12"/>
                <w:color w:val="auto"/>
                <w:vertAlign w:val="superscript"/>
              </w:rPr>
              <w:t>(1)</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w:t>
            </w:r>
          </w:p>
        </w:tc>
        <w:tc>
          <w:tcPr>
            <w:tcW w:w="0" w:type="dxa"/>
            <w:vAlign w:val="bottom"/>
          </w:tcPr>
          <w:p>
            <w:pPr>
              <w:spacing w:after="0"/>
              <w:rPr>
                <w:sz w:val="1"/>
                <w:szCs w:val="1"/>
                <w:color w:val="auto"/>
              </w:rPr>
            </w:pPr>
          </w:p>
        </w:tc>
      </w:tr>
      <w:tr>
        <w:trPr>
          <w:trHeight w:val="558"/>
        </w:trPr>
        <w:tc>
          <w:tcPr>
            <w:tcW w:w="2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632"/>
              <w:spacing w:after="0"/>
              <w:rPr>
                <w:sz w:val="20"/>
                <w:szCs w:val="20"/>
                <w:color w:val="auto"/>
              </w:rPr>
            </w:pPr>
            <w:r>
              <w:rPr>
                <w:rFonts w:ascii="Times New Roman" w:cs="Times New Roman" w:eastAsia="Times New Roman" w:hAnsi="Times New Roman"/>
                <w:sz w:val="10"/>
                <w:szCs w:val="10"/>
                <w:b w:val="1"/>
                <w:bCs w:val="1"/>
                <w:color w:val="auto"/>
                <w:w w:val="96"/>
              </w:rPr>
              <w:t>For the year ended December 31, 2024</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140" w:type="dxa"/>
            <w:vAlign w:val="bottom"/>
          </w:tcPr>
          <w:p>
            <w:pPr>
              <w:spacing w:after="0"/>
              <w:rPr>
                <w:sz w:val="7"/>
                <w:szCs w:val="7"/>
                <w:color w:val="auto"/>
              </w:rPr>
            </w:pPr>
          </w:p>
        </w:tc>
        <w:tc>
          <w:tcPr>
            <w:tcW w:w="1100" w:type="dxa"/>
            <w:vAlign w:val="bottom"/>
            <w:gridSpan w:val="2"/>
          </w:tcPr>
          <w:p>
            <w:pPr>
              <w:jc w:val="center"/>
              <w:ind w:right="220"/>
              <w:spacing w:after="0" w:line="88"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7"/>
                <w:szCs w:val="7"/>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Restructuring costs</w:t>
            </w:r>
          </w:p>
        </w:tc>
        <w:tc>
          <w:tcPr>
            <w:tcW w:w="1240" w:type="dxa"/>
            <w:vAlign w:val="bottom"/>
            <w:gridSpan w:val="3"/>
          </w:tcPr>
          <w:p>
            <w:pPr>
              <w:jc w:val="center"/>
              <w:ind w:right="60"/>
              <w:spacing w:after="0" w:line="88"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40" w:type="dxa"/>
            <w:vAlign w:val="bottom"/>
          </w:tcPr>
          <w:p>
            <w:pPr>
              <w:spacing w:after="0"/>
              <w:rPr>
                <w:sz w:val="7"/>
                <w:szCs w:val="7"/>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(2)</w:t>
            </w:r>
          </w:p>
        </w:tc>
        <w:tc>
          <w:tcPr>
            <w:tcW w:w="240" w:type="dxa"/>
            <w:vAlign w:val="bottom"/>
          </w:tcPr>
          <w:p>
            <w:pPr>
              <w:spacing w:after="0"/>
              <w:rPr>
                <w:sz w:val="7"/>
                <w:szCs w:val="7"/>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24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52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Diagnostic test revenue</w:t>
            </w: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302,157</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302,157</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3,293</w:t>
            </w:r>
          </w:p>
        </w:tc>
        <w:tc>
          <w:tcPr>
            <w:tcW w:w="0" w:type="dxa"/>
            <w:vAlign w:val="bottom"/>
          </w:tcPr>
          <w:p>
            <w:pPr>
              <w:spacing w:after="0"/>
              <w:rPr>
                <w:sz w:val="1"/>
                <w:szCs w:val="1"/>
                <w:color w:val="auto"/>
              </w:rPr>
            </w:pPr>
          </w:p>
        </w:tc>
      </w:tr>
      <w:tr>
        <w:trPr>
          <w:trHeight w:val="130"/>
        </w:trPr>
        <w:tc>
          <w:tcPr>
            <w:tcW w:w="25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revenue</w:t>
            </w: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305,450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305,450</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111,053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106,521</w:t>
            </w:r>
          </w:p>
        </w:tc>
        <w:tc>
          <w:tcPr>
            <w:tcW w:w="0" w:type="dxa"/>
            <w:vAlign w:val="bottom"/>
          </w:tcPr>
          <w:p>
            <w:pPr>
              <w:spacing w:after="0"/>
              <w:rPr>
                <w:sz w:val="1"/>
                <w:szCs w:val="1"/>
                <w:color w:val="auto"/>
              </w:rPr>
            </w:pPr>
          </w:p>
        </w:tc>
      </w:tr>
      <w:tr>
        <w:trPr>
          <w:trHeight w:val="130"/>
        </w:trPr>
        <w:tc>
          <w:tcPr>
            <w:tcW w:w="252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Gross profit</w:t>
            </w: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194,397</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198,929</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63.6 %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65.1 %</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45,722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43,456</w:t>
            </w:r>
          </w:p>
        </w:tc>
        <w:tc>
          <w:tcPr>
            <w:tcW w:w="0" w:type="dxa"/>
            <w:vAlign w:val="bottom"/>
          </w:tcPr>
          <w:p>
            <w:pPr>
              <w:spacing w:after="0"/>
              <w:rPr>
                <w:sz w:val="1"/>
                <w:szCs w:val="1"/>
                <w:color w:val="auto"/>
              </w:rPr>
            </w:pPr>
          </w:p>
        </w:tc>
      </w:tr>
      <w:tr>
        <w:trPr>
          <w:trHeight w:val="14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67,371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60,834</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104,517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(12,083)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85,009</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income from operations</w:t>
            </w:r>
          </w:p>
        </w:tc>
        <w:tc>
          <w:tcPr>
            <w:tcW w:w="240" w:type="dxa"/>
            <w:vAlign w:val="bottom"/>
          </w:tcPr>
          <w:p>
            <w:pPr>
              <w:spacing w:after="0"/>
              <w:rPr>
                <w:sz w:val="11"/>
                <w:szCs w:val="1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21,953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9,630</w:t>
            </w:r>
          </w:p>
        </w:tc>
        <w:tc>
          <w:tcPr>
            <w:tcW w:w="0" w:type="dxa"/>
            <w:vAlign w:val="bottom"/>
          </w:tcPr>
          <w:p>
            <w:pPr>
              <w:spacing w:after="0"/>
              <w:rPr>
                <w:sz w:val="1"/>
                <w:szCs w:val="1"/>
                <w:color w:val="auto"/>
              </w:rPr>
            </w:pPr>
          </w:p>
        </w:tc>
      </w:tr>
      <w:tr>
        <w:trPr>
          <w:trHeight w:val="150"/>
        </w:trPr>
        <w:tc>
          <w:tcPr>
            <w:tcW w:w="2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240" w:type="dxa"/>
            <w:vAlign w:val="bottom"/>
          </w:tcPr>
          <w:p>
            <w:pPr>
              <w:spacing w:after="0"/>
              <w:rPr>
                <w:sz w:val="11"/>
                <w:szCs w:val="1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income, net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(26,384)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13,370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(225)</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income</w:t>
            </w: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(52,286)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21,953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9,138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13,370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15,478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9,405</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Basic (loss) earnings per share</w:t>
            </w:r>
            <w:r>
              <w:rPr>
                <w:rFonts w:ascii="Times New Roman" w:cs="Times New Roman" w:eastAsia="Times New Roman" w:hAnsi="Times New Roman"/>
                <w:sz w:val="12"/>
                <w:szCs w:val="12"/>
                <w:color w:val="auto"/>
                <w:vertAlign w:val="superscript"/>
              </w:rPr>
              <w:t>(1)</w:t>
            </w: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0.35</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earnings per share</w:t>
            </w:r>
            <w:r>
              <w:rPr>
                <w:rFonts w:ascii="Times New Roman" w:cs="Times New Roman" w:eastAsia="Times New Roman" w:hAnsi="Times New Roman"/>
                <w:sz w:val="12"/>
                <w:szCs w:val="12"/>
                <w:color w:val="auto"/>
                <w:vertAlign w:val="superscript"/>
              </w:rPr>
              <w:t>(1)</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0.34</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8" w:hanging="208"/>
        <w:spacing w:after="0" w:line="250" w:lineRule="auto"/>
        <w:tabs>
          <w:tab w:leader="none" w:pos="203"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Basic and diluted (loss) earnings per share are calculated based on 28,641,734 and 29,835,437 weighted-average shares outstanding for the year ended December 31, 2025, respectively, and 26,891,213 and 27,368,912 weighted-average shares outstanding for the year ended December 31, 2024, respectively.</w:t>
      </w:r>
    </w:p>
    <w:p>
      <w:pPr>
        <w:ind w:left="208" w:hanging="208"/>
        <w:spacing w:after="0" w:line="248" w:lineRule="auto"/>
        <w:tabs>
          <w:tab w:leader="none" w:pos="203"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represents interest expense, net, and income tax benefit for all periods presented. For the year ended December 31, 2025, Other includes transaction costs related to the acquisition of Fabric Genomics, legal costs and a reserve for a certain litigation matter, and a sales-and-use tax refund. For the year ended December 31, 2024, Other includes reserves net of insurance for a certain litigation matter.</w:t>
      </w:r>
    </w:p>
    <w:p>
      <w:pPr>
        <w:sectPr>
          <w:pgSz w:w="11900" w:h="16838" w:orient="portrait"/>
          <w:cols w:equalWidth="0" w:num="1">
            <w:col w:w="11308"/>
          </w:cols>
          <w:pgMar w:left="292" w:top="798" w:right="29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2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40" w:type="dxa"/>
            <w:vAlign w:val="bottom"/>
            <w:tcBorders>
              <w:bottom w:val="single" w:sz="8" w:color="auto"/>
            </w:tcBorders>
          </w:tcPr>
          <w:p>
            <w:pPr>
              <w:spacing w:after="0"/>
              <w:rPr>
                <w:sz w:val="13"/>
                <w:szCs w:val="13"/>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33"/>
        </w:trPr>
        <w:tc>
          <w:tcPr>
            <w:tcW w:w="8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90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104,997</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85,212</w:t>
            </w:r>
          </w:p>
        </w:tc>
      </w:tr>
      <w:tr>
        <w:trPr>
          <w:trHeight w:val="153"/>
        </w:trPr>
        <w:tc>
          <w:tcPr>
            <w:tcW w:w="8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Marketable securities</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66,285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55,973</w:t>
            </w:r>
          </w:p>
        </w:tc>
      </w:tr>
      <w:tr>
        <w:trPr>
          <w:trHeight w:val="153"/>
        </w:trPr>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Accounts receivable</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74,370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37,629</w:t>
            </w:r>
          </w:p>
        </w:tc>
      </w:tr>
      <w:tr>
        <w:trPr>
          <w:trHeight w:val="153"/>
        </w:trPr>
        <w:tc>
          <w:tcPr>
            <w:tcW w:w="8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Inventory, net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13,951</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10,650</w:t>
            </w:r>
          </w:p>
        </w:tc>
      </w:tr>
      <w:tr>
        <w:trPr>
          <w:trHeight w:val="153"/>
        </w:trPr>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8,685</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8,504</w:t>
            </w:r>
          </w:p>
        </w:tc>
      </w:tr>
      <w:tr>
        <w:trPr>
          <w:trHeight w:val="142"/>
        </w:trPr>
        <w:tc>
          <w:tcPr>
            <w:tcW w:w="8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current assets</w:t>
            </w:r>
          </w:p>
        </w:tc>
        <w:tc>
          <w:tcPr>
            <w:tcW w:w="9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268,288</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197,968</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23,412</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25,613</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45,693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32,893</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168,481</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158,600</w:t>
            </w:r>
          </w:p>
        </w:tc>
      </w:tr>
      <w:tr>
        <w:trPr>
          <w:trHeight w:val="153"/>
        </w:trPr>
        <w:tc>
          <w:tcPr>
            <w:tcW w:w="82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Other assets </w:t>
            </w:r>
            <w:r>
              <w:rPr>
                <w:rFonts w:ascii="Times New Roman" w:cs="Times New Roman" w:eastAsia="Times New Roman" w:hAnsi="Times New Roman"/>
                <w:sz w:val="15"/>
                <w:szCs w:val="15"/>
                <w:color w:val="auto"/>
                <w:vertAlign w:val="superscript"/>
              </w:rPr>
              <w:t>(1)</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4,316</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w:t>
            </w:r>
          </w:p>
        </w:tc>
      </w:tr>
      <w:tr>
        <w:trPr>
          <w:trHeight w:val="142"/>
        </w:trPr>
        <w:tc>
          <w:tcPr>
            <w:tcW w:w="8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Total assets</w:t>
            </w: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523,710</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419,380</w:t>
            </w:r>
          </w:p>
        </w:tc>
      </w:tr>
      <w:tr>
        <w:trPr>
          <w:trHeight w:val="133"/>
        </w:trPr>
        <w:tc>
          <w:tcPr>
            <w:tcW w:w="8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0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57,645</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30,983</w:t>
            </w:r>
          </w:p>
        </w:tc>
      </w:tr>
      <w:tr>
        <w:trPr>
          <w:trHeight w:val="153"/>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3,336</w:t>
            </w:r>
          </w:p>
        </w:tc>
      </w:tr>
      <w:tr>
        <w:trPr>
          <w:trHeight w:val="153"/>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46,859</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20,498</w:t>
            </w:r>
          </w:p>
        </w:tc>
      </w:tr>
      <w:tr>
        <w:trPr>
          <w:trHeight w:val="142"/>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9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108,908</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54,817</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48,176</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51,913</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56,046</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60,919</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5,519</w:t>
            </w:r>
          </w:p>
        </w:tc>
      </w:tr>
      <w:tr>
        <w:trPr>
          <w:trHeight w:val="153"/>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965</w:t>
            </w:r>
          </w:p>
        </w:tc>
      </w:tr>
      <w:tr>
        <w:trPr>
          <w:trHeight w:val="142"/>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liabilities</w:t>
            </w:r>
          </w:p>
        </w:tc>
        <w:tc>
          <w:tcPr>
            <w:tcW w:w="9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215,528</w:t>
            </w:r>
          </w:p>
        </w:tc>
        <w:tc>
          <w:tcPr>
            <w:tcW w:w="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174,133</w:t>
            </w:r>
          </w:p>
        </w:tc>
      </w:tr>
      <w:tr>
        <w:trPr>
          <w:trHeight w:val="133"/>
        </w:trPr>
        <w:tc>
          <w:tcPr>
            <w:tcW w:w="82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53"/>
        </w:trPr>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Preferred stock</w:t>
            </w:r>
          </w:p>
        </w:tc>
        <w:tc>
          <w:tcPr>
            <w:tcW w:w="9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Class A common stock</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1,680,738</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1,596,889</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(1,373,495)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(1,352,474)</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r>
      <w:tr>
        <w:trPr>
          <w:trHeight w:val="142"/>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308,182</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245,247</w:t>
            </w:r>
          </w:p>
        </w:tc>
      </w:tr>
      <w:tr>
        <w:trPr>
          <w:trHeight w:val="158"/>
        </w:trPr>
        <w:tc>
          <w:tcPr>
            <w:tcW w:w="8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523,710</w:t>
            </w: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419,380</w:t>
            </w:r>
          </w:p>
        </w:tc>
      </w:tr>
    </w:tbl>
    <w:p>
      <w:pPr>
        <w:spacing w:after="0" w:line="157" w:lineRule="exact"/>
        <w:rPr>
          <w:sz w:val="20"/>
          <w:szCs w:val="20"/>
          <w:color w:val="auto"/>
        </w:rPr>
      </w:pPr>
    </w:p>
    <w:p>
      <w:pPr>
        <w:ind w:left="208" w:hanging="208"/>
        <w:spacing w:after="0"/>
        <w:tabs>
          <w:tab w:leader="none" w:pos="208"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assets includes $1.0 million of restricted cash as of both December 31, 2025 and 2024.</w:t>
      </w:r>
    </w:p>
    <w:p>
      <w:pPr>
        <w:sectPr>
          <w:pgSz w:w="11900" w:h="16838" w:orient="portrait"/>
          <w:cols w:equalWidth="0" w:num="1">
            <w:col w:w="11308"/>
          </w:cols>
          <w:pgMar w:left="292" w:top="773"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880" w:type="dxa"/>
            <w:vAlign w:val="bottom"/>
            <w:tcBorders>
              <w:bottom w:val="single" w:sz="8" w:color="auto"/>
            </w:tcBorders>
          </w:tcPr>
          <w:p>
            <w:pPr>
              <w:spacing w:after="0"/>
              <w:rPr>
                <w:sz w:val="13"/>
                <w:szCs w:val="13"/>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1"/>
              </w:rPr>
              <w:t>2024</w:t>
            </w:r>
          </w:p>
        </w:tc>
      </w:tr>
      <w:tr>
        <w:trPr>
          <w:trHeight w:val="133"/>
        </w:trPr>
        <w:tc>
          <w:tcPr>
            <w:tcW w:w="8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3"/>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416,668</w:t>
            </w:r>
          </w:p>
        </w:tc>
        <w:tc>
          <w:tcPr>
            <w:tcW w:w="6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302,157</w:t>
            </w:r>
          </w:p>
        </w:tc>
      </w:tr>
      <w:tr>
        <w:trPr>
          <w:trHeight w:val="153"/>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10,871</w:t>
            </w: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3,293</w:t>
            </w:r>
          </w:p>
        </w:tc>
      </w:tr>
      <w:tr>
        <w:trPr>
          <w:trHeight w:val="142"/>
        </w:trPr>
        <w:tc>
          <w:tcPr>
            <w:tcW w:w="8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427,539</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305,450</w:t>
            </w:r>
          </w:p>
        </w:tc>
      </w:tr>
      <w:tr>
        <w:trPr>
          <w:trHeight w:val="142"/>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8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129,366</w:t>
            </w:r>
          </w:p>
        </w:tc>
        <w:tc>
          <w:tcPr>
            <w:tcW w:w="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111,053</w:t>
            </w:r>
          </w:p>
        </w:tc>
      </w:tr>
      <w:tr>
        <w:trPr>
          <w:trHeight w:val="142"/>
        </w:trPr>
        <w:tc>
          <w:tcPr>
            <w:tcW w:w="8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298,173</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194,397</w:t>
            </w:r>
          </w:p>
        </w:tc>
      </w:tr>
      <w:tr>
        <w:trPr>
          <w:trHeight w:val="142"/>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72,026</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45,722</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88,405</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67,371</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150,819</w:t>
            </w: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104,517</w:t>
            </w:r>
          </w:p>
        </w:tc>
      </w:tr>
      <w:tr>
        <w:trPr>
          <w:trHeight w:val="142"/>
        </w:trPr>
        <w:tc>
          <w:tcPr>
            <w:tcW w:w="8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Loss from operations</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(13,077)</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(23,213)</w:t>
            </w:r>
          </w:p>
        </w:tc>
      </w:tr>
      <w:tr>
        <w:trPr>
          <w:trHeight w:val="151"/>
        </w:trPr>
        <w:tc>
          <w:tcPr>
            <w:tcW w:w="8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(expenses) income, net</w:t>
            </w: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financial liabilities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(1,204)</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(13,370)</w:t>
            </w:r>
          </w:p>
        </w:tc>
      </w:tr>
      <w:tr>
        <w:trPr>
          <w:trHeight w:val="153"/>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(2,539)</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(3,032)</w:t>
            </w:r>
          </w:p>
        </w:tc>
      </w:tr>
      <w:tr>
        <w:trPr>
          <w:trHeight w:val="153"/>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(4,317)</w:t>
            </w: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(13,014)</w:t>
            </w:r>
          </w:p>
        </w:tc>
      </w:tr>
      <w:tr>
        <w:trPr>
          <w:trHeight w:val="142"/>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non-operating (expense) income, net</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(8,060)</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(29,416)</w:t>
            </w:r>
          </w:p>
        </w:tc>
      </w:tr>
      <w:tr>
        <w:trPr>
          <w:trHeight w:val="142"/>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(21,137)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(52,629)</w:t>
            </w:r>
          </w:p>
        </w:tc>
      </w:tr>
      <w:tr>
        <w:trPr>
          <w:trHeight w:val="153"/>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343</w:t>
            </w:r>
          </w:p>
        </w:tc>
      </w:tr>
      <w:tr>
        <w:trPr>
          <w:trHeight w:val="158"/>
        </w:trPr>
        <w:tc>
          <w:tcPr>
            <w:tcW w:w="8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(21,021)</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(52,286)</w:t>
            </w:r>
          </w:p>
        </w:tc>
      </w:tr>
      <w:tr>
        <w:trPr>
          <w:trHeight w:val="153"/>
        </w:trPr>
        <w:tc>
          <w:tcPr>
            <w:tcW w:w="8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weighted average shares outstanding of Class A common stock</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28,641,734</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26,891,213</w:t>
            </w:r>
          </w:p>
        </w:tc>
      </w:tr>
      <w:tr>
        <w:trPr>
          <w:trHeight w:val="155"/>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net loss per share, Class A common stock</w:t>
            </w: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6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r>
    </w:tbl>
    <w:p>
      <w:pPr>
        <w:sectPr>
          <w:pgSz w:w="11900" w:h="16838" w:orient="portrait"/>
          <w:cols w:equalWidth="0" w:num="1">
            <w:col w:w="11300"/>
          </w:cols>
          <w:pgMar w:left="300" w:top="773" w:right="299" w:bottom="1440" w:gutter="0" w:footer="0" w:header="0"/>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880" w:type="dxa"/>
            <w:vAlign w:val="bottom"/>
            <w:tcBorders>
              <w:bottom w:val="single" w:sz="8" w:color="auto"/>
            </w:tcBorders>
          </w:tcPr>
          <w:p>
            <w:pPr>
              <w:spacing w:after="0"/>
              <w:rPr>
                <w:sz w:val="13"/>
                <w:szCs w:val="13"/>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1"/>
              </w:rPr>
              <w:t>2024</w:t>
            </w:r>
          </w:p>
        </w:tc>
      </w:tr>
      <w:tr>
        <w:trPr>
          <w:trHeight w:val="133"/>
        </w:trPr>
        <w:tc>
          <w:tcPr>
            <w:tcW w:w="8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8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(21,021)</w:t>
            </w:r>
          </w:p>
        </w:tc>
        <w:tc>
          <w:tcPr>
            <w:tcW w:w="6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(52,286)</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25,224</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21,953</w:t>
            </w:r>
          </w:p>
        </w:tc>
      </w:tr>
      <w:tr>
        <w:trPr>
          <w:trHeight w:val="153"/>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32,162</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9,138</w:t>
            </w:r>
          </w:p>
        </w:tc>
      </w:tr>
      <w:tr>
        <w:trPr>
          <w:trHeight w:val="153"/>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fair value of financial liabilities</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1,204</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13,370</w:t>
            </w:r>
          </w:p>
        </w:tc>
      </w:tr>
      <w:tr>
        <w:trPr>
          <w:trHeight w:val="153"/>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Provision for excess and obsolete inventory</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r>
      <w:tr>
        <w:trPr>
          <w:trHeight w:val="153"/>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Legal reserves</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5,560</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 in third party payor reserves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r>
      <w:tr>
        <w:trPr>
          <w:trHeight w:val="153"/>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3,163</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3,287</w:t>
            </w:r>
          </w:p>
        </w:tc>
      </w:tr>
      <w:tr>
        <w:trPr>
          <w:trHeight w:val="153"/>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82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(36,231)</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(5,180)</w:t>
            </w:r>
          </w:p>
        </w:tc>
      </w:tr>
      <w:tr>
        <w:trPr>
          <w:trHeight w:val="153"/>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Inventory</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(3,436)</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w:t>
            </w:r>
          </w:p>
        </w:tc>
      </w:tr>
      <w:tr>
        <w:trPr>
          <w:trHeight w:val="153"/>
        </w:trPr>
        <w:tc>
          <w:tcPr>
            <w:tcW w:w="82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12,100</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(20,524)</w:t>
            </w:r>
          </w:p>
        </w:tc>
      </w:tr>
      <w:tr>
        <w:trPr>
          <w:trHeight w:val="153"/>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11,970</w:t>
            </w: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3,544</w:t>
            </w:r>
          </w:p>
        </w:tc>
      </w:tr>
      <w:tr>
        <w:trPr>
          <w:trHeight w:val="142"/>
        </w:trPr>
        <w:tc>
          <w:tcPr>
            <w:tcW w:w="82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8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33,279</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(28,496)</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(32,856)</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(55,676)</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(66,302)</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sales of marketable securities</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maturities of marketable securities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43,970</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41,060</w:t>
            </w:r>
          </w:p>
        </w:tc>
      </w:tr>
      <w:tr>
        <w:trPr>
          <w:trHeight w:val="153"/>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(19,017)</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(5,491)</w:t>
            </w:r>
          </w:p>
        </w:tc>
      </w:tr>
      <w:tr>
        <w:trPr>
          <w:trHeight w:val="142"/>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(61,517)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(30,132)</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offerings, net of issuance costs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46,704</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46,496</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stock pursuant to employee stock purchase plan</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2,961</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w:t>
            </w: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principal payments</w:t>
            </w:r>
          </w:p>
        </w:tc>
        <w:tc>
          <w:tcPr>
            <w:tcW w:w="8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payoff and principal payments</w:t>
            </w:r>
          </w:p>
        </w:tc>
        <w:tc>
          <w:tcPr>
            <w:tcW w:w="8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(2,451)</w:t>
            </w:r>
          </w:p>
        </w:tc>
        <w:tc>
          <w:tcPr>
            <w:tcW w:w="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(2,728)</w:t>
            </w:r>
          </w:p>
        </w:tc>
      </w:tr>
      <w:tr>
        <w:trPr>
          <w:trHeight w:val="142"/>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8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48,025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44,162</w:t>
            </w: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19,787</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(14,466)</w:t>
            </w:r>
          </w:p>
        </w:tc>
      </w:tr>
      <w:tr>
        <w:trPr>
          <w:trHeight w:val="153"/>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year</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86,202</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100,668</w:t>
            </w:r>
          </w:p>
        </w:tc>
      </w:tr>
      <w:tr>
        <w:trPr>
          <w:trHeight w:val="158"/>
        </w:trPr>
        <w:tc>
          <w:tcPr>
            <w:tcW w:w="8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 xml:space="preserve">Cash, cash equivalents and restricted cash, at end of year </w:t>
            </w:r>
            <w:r>
              <w:rPr>
                <w:rFonts w:ascii="Times New Roman" w:cs="Times New Roman" w:eastAsia="Times New Roman" w:hAnsi="Times New Roman"/>
                <w:sz w:val="15"/>
                <w:szCs w:val="15"/>
                <w:color w:val="auto"/>
                <w:vertAlign w:val="superscript"/>
              </w:rPr>
              <w:t>(1)</w:t>
            </w: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105,989</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86,202</w:t>
            </w:r>
          </w:p>
        </w:tc>
      </w:tr>
    </w:tbl>
    <w:p>
      <w:pPr>
        <w:spacing w:after="0" w:line="157" w:lineRule="exact"/>
        <w:rPr>
          <w:sz w:val="20"/>
          <w:szCs w:val="20"/>
          <w:color w:val="auto"/>
        </w:rPr>
      </w:pPr>
    </w:p>
    <w:p>
      <w:pPr>
        <w:ind w:left="208" w:hanging="208"/>
        <w:spacing w:after="0"/>
        <w:tabs>
          <w:tab w:leader="none" w:pos="208"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Cash, cash equivalents and restricted cash at December 31, 2025 excludes marketable securities of $66.3 million.</w:t>
      </w:r>
    </w:p>
    <w:p>
      <w:pPr>
        <w:sectPr>
          <w:pgSz w:w="11900" w:h="16838" w:orient="portrait"/>
          <w:cols w:equalWidth="0" w:num="1">
            <w:col w:w="11308"/>
          </w:cols>
          <w:pgMar w:left="292" w:top="773" w:right="299" w:bottom="1440" w:gutter="0" w:footer="0" w:header="0"/>
        </w:sectPr>
      </w:pPr>
    </w:p>
    <w:bookmarkStart w:id="14" w:name="page15"/>
    <w:bookmarkEnd w:id="1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lvl w:ilvl="1">
      <w:lvlJc w:val="left"/>
      <w:lvlText w:val="◦"/>
      <w:numFmt w:val="bullet"/>
      <w:start w:val="1"/>
    </w:lvl>
  </w:abstractNum>
  <w:abstractNum w:abstractNumId="7">
    <w:nsid w:val="1BEFD79F"/>
    <w:multiLevelType w:val="hybridMultilevel"/>
    <w:lvl w:ilvl="0">
      <w:lvlJc w:val="left"/>
      <w:lvlText w:val="•"/>
      <w:numFmt w:val="bullet"/>
      <w:start w:val="1"/>
    </w:lvl>
    <w:lvl w:ilvl="1">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
      <w:numFmt w:val="bullet"/>
      <w:start w:val="1"/>
    </w:lvl>
  </w:abstractNum>
  <w:abstractNum w:abstractNumId="9">
    <w:nsid w:val="6B68079A"/>
    <w:multiLevelType w:val="hybridMultilevel"/>
    <w:lvl w:ilvl="0">
      <w:lvlJc w:val="left"/>
      <w:lvlText w:val="•"/>
      <w:numFmt w:val="bullet"/>
      <w:start w:val="1"/>
    </w:lvl>
    <w:lvl w:ilvl="1">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
      <w:numFmt w:val="bullet"/>
      <w:start w:val="1"/>
    </w:lvl>
  </w:abstractNum>
  <w:abstractNum w:abstractNumId="11">
    <w:nsid w:val="25E45D32"/>
    <w:multiLevelType w:val="hybridMultilevel"/>
    <w:lvl w:ilvl="0">
      <w:lvlJc w:val="left"/>
      <w:lvlText w:val="•"/>
      <w:numFmt w:val="bullet"/>
      <w:start w:val="1"/>
    </w:lvl>
    <w:lvl w:ilvl="1">
      <w:lvlJc w:val="left"/>
      <w:lvlText w:val="◦"/>
      <w:numFmt w:val="bullet"/>
      <w:start w:val="1"/>
    </w:lvl>
  </w:abstractNum>
  <w:abstractNum w:abstractNumId="12">
    <w:nsid w:val="519B500D"/>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
      <w:numFmt w:val="bullet"/>
      <w:start w:val="1"/>
    </w:lvl>
  </w:abstractNum>
  <w:abstractNum w:abstractNumId="14">
    <w:nsid w:val="3F2DBA31"/>
    <w:multiLevelType w:val="hybridMultilevel"/>
    <w:lvl w:ilvl="0">
      <w:lvlJc w:val="left"/>
      <w:lvlText w:val="•"/>
      <w:numFmt w:val="bullet"/>
      <w:start w:val="1"/>
    </w:lvl>
    <w:lvl w:ilvl="1">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2026-02-23T07:21:12Z</dcterms:created>
  <dcterms:modified xsi:type="dcterms:W3CDTF">2026-02-23T07:21:12Z</dcterms:modified>
</cp:coreProperties>
</file>