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01/29/2025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0"/>
          <w:szCs w:val="20"/>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01/29/2025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3,874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5,594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01/29/2025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1,657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78.4828</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3,937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3,874</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01/29/2025</w:t>
            </w:r>
          </w:p>
        </w:tc>
        <w:tc>
          <w:tcPr>
            <w:tcW w:w="1100" w:type="dxa"/>
            <w:vAlign w:val="bottom"/>
          </w:tcPr>
          <w:p>
            <w:pPr>
              <w:spacing w:after="0"/>
              <w:rPr>
                <w:sz w:val="5"/>
                <w:szCs w:val="5"/>
                <w:color w:val="auto"/>
              </w:rPr>
            </w:pPr>
          </w:p>
        </w:tc>
        <w:tc>
          <w:tcPr>
            <w:tcW w:w="4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3,874</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19,370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$78.48 to $79.0497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32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underlying shares each vested on April 29, 2023 and April 29, 2024, and 6.25% vest in quarterly installments thereafter until fully vested, subject to the Reporting Person's continued service to the Issuer on each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01/31/2025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2025-01-31T16:48:58Z</dcterms:created>
  <dcterms:modified xsi:type="dcterms:W3CDTF">2025-01-31T16:48:58Z</dcterms:modified>
</cp:coreProperties>
</file>