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Clark Daniel Emmett</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0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04/28/2022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7"/>
          <w:szCs w:val="17"/>
          <w:color w:val="0000FF"/>
        </w:rPr>
        <w:t>Secretary and General Counsel</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04/28/2022</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1,212</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2.1804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309,547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restricted stock units. The sales were to satisfy tax withholding obligations to be funded by a "sell to cover" transaction.</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$2.18 to $2.20,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Daniel Clark</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05/02/2022</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44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2022-05-02T17:49:37Z</dcterms:created>
  <dcterms:modified xsi:type="dcterms:W3CDTF">2022-05-02T17:49:37Z</dcterms:modified>
</cp:coreProperties>
</file>