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333-264626</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28575</wp:posOffset>
            </wp:positionV>
            <wp:extent cx="19284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Sema4 Holdings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160,864,198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104140</wp:posOffset>
            </wp:positionV>
            <wp:extent cx="10712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May 11, 2022 (the “Prospectus”), which forms a part of our registration statement on Form S-1 (No. 333-264626). This prospectus supplement is being filed to update and supplement the information in the Prospectus with the information contained in Items 5.02 and 9.01 and the related exhibits from our Current Report on Form 8-K, filed with the Securities and Exchange Commission (the “SEC”) on June 14, 2022. Accordingly, we have attached Items 5.02 and 9.01 and the related exhibits from the Current Report on Form 8-K to this prospectus supplement.</w:t>
      </w:r>
    </w:p>
    <w:p>
      <w:pPr>
        <w:spacing w:after="0" w:line="372" w:lineRule="exact"/>
        <w:rPr>
          <w:sz w:val="24"/>
          <w:szCs w:val="24"/>
          <w:color w:val="auto"/>
        </w:rPr>
      </w:pPr>
    </w:p>
    <w:p>
      <w:pPr>
        <w:jc w:val="both"/>
        <w:ind w:firstLine="324"/>
        <w:spacing w:after="0" w:line="289"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offer and sale from time to time by the selling stockholders named in this prospectus (the “Selling Stockholders”) of up to 160,864,198 shares of our Class A common stock, par value $0.0001 per share (“Class A common stock”), consisting of</w:t>
      </w:r>
    </w:p>
    <w:p>
      <w:pPr>
        <w:spacing w:after="0" w:line="1" w:lineRule="exact"/>
        <w:rPr>
          <w:sz w:val="24"/>
          <w:szCs w:val="24"/>
          <w:color w:val="auto"/>
        </w:rPr>
      </w:pPr>
    </w:p>
    <w:p>
      <w:pPr>
        <w:ind w:left="240" w:hanging="232"/>
        <w:spacing w:after="0"/>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80,000,000 shares of our Class A common stock (the “Stock Consideration Shares”) issued to OPKO Health, Inc. (“OPKO”) as a portion of the</w:t>
      </w:r>
    </w:p>
    <w:p>
      <w:pPr>
        <w:spacing w:after="0" w:line="49" w:lineRule="exact"/>
        <w:rPr>
          <w:rFonts w:ascii="Times New Roman" w:cs="Times New Roman" w:eastAsia="Times New Roman" w:hAnsi="Times New Roman"/>
          <w:sz w:val="18"/>
          <w:szCs w:val="18"/>
          <w:color w:val="auto"/>
        </w:rPr>
      </w:pPr>
    </w:p>
    <w:p>
      <w:pPr>
        <w:jc w:val="both"/>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for the Acquisition (as defined below), (ii) up to 30,864,198 shares of our Class A common stock (the “Milestone Shares”) that may be issuable to OPKO in connection with the achievement of certain revenue-based milestones for each of the fiscal years ending December 31, 2022 and December 31, 2023 and (iii) up to 50,000,000 shares of our Class A common stock (the “PIPE Shares”) issued in a private placement pursuant to subscription agreements each entered into on January 14, 2022 (the “PIPE Investment”).</w:t>
      </w:r>
    </w:p>
    <w:p>
      <w:pPr>
        <w:spacing w:after="0" w:line="119" w:lineRule="exact"/>
        <w:rPr>
          <w:sz w:val="24"/>
          <w:szCs w:val="24"/>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On April 29, 2022, we consummated the transactions contemplated by that certain Agreement and Plan of Merger, dated as of January 14, 2022 (as amended, the “Merger Agreement”), by and among us and our wholly-owned subsidiaries, Orion Merger Sub I, Inc. (“Merger Sub I”) and Orion Merger Sub II, LLC (“Merger Sub II” and, together with Merger Sub I, “Merger Subs”), and GeneDx, Inc., a New Jersey corporation and wholly-owned subsidiary of OPKO (“GeneDx”), GeneDx Holding 2, Inc., which held 100% of GeneDx at the Effective Time (as defined below) (“Holdco2”), and OPKO. Pursuant to the terms of the Merger Agreement, we acquired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merged with and into Merger Sub II (the “Second Merger” and, together with the First Merger, the “Mergers”), with Merger Sub II as the surviving company. After giving effect to the Mergers and the other transactions contemplated by the Merger Agreement, GeneDx was converted into a Delaware limited liability company and became our wholly-owned indirect subsidiary. At the closing of the Acquisition, we paid OPKO $150 million of Cash Consideration (as defined herein) and issued to OPKO the Stock Consideration Shares. Concurrently with the closing, we also consummated the PIPE Investment, issuing the PIPE Shares for aggregate gross proceeds of $200 million. We have filed the registration statement to which this prospectus relates to satisfy certain registration rights obligations we have to the Selling Stockholders in respect of the Stock Consideration Shares, the Milestone Shares and the PIPE Shares.</w:t>
      </w:r>
    </w:p>
    <w:p>
      <w:pPr>
        <w:sectPr>
          <w:pgSz w:w="11900" w:h="16838" w:orient="portrait"/>
          <w:cols w:equalWidth="0" w:num="1">
            <w:col w:w="11240"/>
          </w:cols>
          <w:pgMar w:left="320" w:top="1440" w:right="339" w:bottom="1440" w:gutter="0" w:footer="0" w:header="0"/>
        </w:sectPr>
      </w:pPr>
    </w:p>
    <w:bookmarkStart w:id="1" w:name="page2"/>
    <w:bookmarkEnd w:id="1"/>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common stock and public warrants are listed on the Nasdaq Global Select Market (the “Nasdaq”) under the symbol “SMFR” and “SMFRW”, respectively. On June 13, 2022, the last reported sales price of our common stock was $1.45 per share and the last reported sales price of our public warrants was $0.36 per warrant.</w:t>
      </w:r>
    </w:p>
    <w:p>
      <w:pPr>
        <w:spacing w:after="0" w:line="12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36"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18" w:lineRule="exact"/>
        <w:rPr>
          <w:sz w:val="20"/>
          <w:szCs w:val="20"/>
          <w:color w:val="auto"/>
        </w:rPr>
      </w:pPr>
    </w:p>
    <w:p>
      <w:pPr>
        <w:jc w:val="both"/>
        <w:ind w:right="20" w:firstLine="324"/>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risks. See the section entitled “Risk Factors” beginning on page 8 of the Prospectus to read about factors you should consider before buying our securities.</w:t>
      </w:r>
    </w:p>
    <w:p>
      <w:pPr>
        <w:spacing w:after="0" w:line="113"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14, 2022</w:t>
      </w:r>
    </w:p>
    <w:p>
      <w:pPr>
        <w:sectPr>
          <w:pgSz w:w="11900" w:h="16838" w:orient="portrait"/>
          <w:cols w:equalWidth="0" w:num="1">
            <w:col w:w="11240"/>
          </w:cols>
          <w:pgMar w:left="320" w:top="143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June 14, 2022 (June 10, 2022)</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Sema4 Holdings Corp.</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001-39482</w:t>
            </w:r>
          </w:p>
        </w:tc>
        <w:tc>
          <w:tcPr>
            <w:tcW w:w="100" w:type="dxa"/>
            <w:vAlign w:val="bottom"/>
          </w:tcPr>
          <w:p>
            <w:pPr>
              <w:spacing w:after="0"/>
              <w:rPr>
                <w:sz w:val="21"/>
                <w:szCs w:val="21"/>
                <w:color w:val="auto"/>
              </w:rPr>
            </w:pPr>
          </w:p>
        </w:tc>
        <w:tc>
          <w:tcPr>
            <w:tcW w:w="418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69"/>
        </w:trPr>
        <w:tc>
          <w:tcPr>
            <w:tcW w:w="4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4"/>
                <w:szCs w:val="14"/>
                <w:color w:val="auto"/>
              </w:rPr>
            </w:pPr>
          </w:p>
        </w:tc>
        <w:tc>
          <w:tcPr>
            <w:tcW w:w="26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4"/>
                <w:szCs w:val="14"/>
                <w:color w:val="auto"/>
              </w:rPr>
            </w:pPr>
          </w:p>
        </w:tc>
        <w:tc>
          <w:tcPr>
            <w:tcW w:w="4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0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06902</w:t>
            </w:r>
          </w:p>
        </w:tc>
      </w:tr>
      <w:tr>
        <w:trPr>
          <w:trHeight w:val="228"/>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0"/>
          <w:szCs w:val="20"/>
          <w:color w:val="auto"/>
        </w:rPr>
      </w:pPr>
    </w:p>
    <w:p>
      <w:pPr>
        <w:ind w:left="260" w:hanging="21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76"/>
        </w:trPr>
        <w:tc>
          <w:tcPr>
            <w:tcW w:w="48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SMFRW</w:t>
            </w: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at an exercise price of $11.50 per share</w:t>
            </w:r>
          </w:p>
        </w:tc>
        <w:tc>
          <w:tcPr>
            <w:tcW w:w="2100" w:type="dxa"/>
            <w:vAlign w:val="bottom"/>
            <w:gridSpan w:val="2"/>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860" w:type="dxa"/>
            <w:vAlign w:val="bottom"/>
            <w:gridSpan w:val="2"/>
            <w:vMerge w:val="continue"/>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46"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240"/>
          </w:cols>
          <w:pgMar w:left="320" w:top="956" w:right="339" w:bottom="1440" w:gutter="0" w:footer="0" w:header="0"/>
        </w:sectPr>
      </w:pPr>
    </w:p>
    <w:bookmarkStart w:id="3" w:name="page4"/>
    <w:bookmarkEnd w:id="3"/>
    <w:p>
      <w:pPr>
        <w:ind w:right="300"/>
        <w:spacing w:after="0" w:line="315"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Departure of Directors or Certain Officers.</w:t>
      </w: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June 14, 2022, Sema4 Holdings Corp. (“Sema4 Holdings” or the “Company”) announced that, pursuant to a CFO transition plan adopted June 10, 2022 (the “Transition Plan”), its Chief Financial Officer, Isaac Ro, will leave the Company to pursue other career opportunities. Mr. Ro’s last day of employment will be August 9, 2022. Pursuant to his employment agreement with the Company, Mr. Ro will be entitled to nine months of salary continuation payments and twelve months of COBRA continuation benefits, subject to his execution of a release of claims. The Company also entered into a six-month consulting agreement with Mr. Ro (the “Consulting Agreement”), pursuant to which Mr. Ro will provide advisory services to the Company following his last day of employment in exchange for continued vesting of his equity-based incentive compensation awards, as well as an additional six-months of partial accelerated vesting at the conclusion of such six-month consulting period, subject to Mr. Ro’s reaffirmation of his release of claims. The foregoing description of the Consulting Agreement does not purport to be complete and is qualified in its entirety by reference to the full text of the Consulting Agreement, a copy of which is attached hereto as Exhibit 10.1 and is incorporated herein by reference.</w:t>
      </w:r>
    </w:p>
    <w:p>
      <w:pPr>
        <w:spacing w:after="0" w:line="210"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 of Certain Officers.</w:t>
      </w:r>
    </w:p>
    <w:p>
      <w:pPr>
        <w:spacing w:after="0" w:line="2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Pursuant to the Transition Plan, Richard Miao, the Company’s current Senior Vice President of Financial Planning &amp; Analysis and Treasurer, was promoted to Deputy Chief Financial Officer and appointed to serve as the Interim Chief Financial Officer, effective June 13, 2022. In this role, Mr. Miao will assume the responsibilities of Principal Financial Officer while the Company conducts a search to fill the Chief Financial Officer position on a permanent basis.</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Miao has served as Senior Vice President of Financial Planning &amp; Analysis and Treasurer of the Company since May 2021. Prior to joining the Company, Mr. Miao served as Senior Vice President of Corporate Finance and Treasurer at Endeavor Group Holdings, a global talent and media agency, from October 2017 to May 2021. Prior to that role, Mr. Miao served as Senior Vice President of Corporate Finance at William Morris Endeavor, a global talent and media agency, from December 2014 to October 2017. Mr. Miao received a B.A. in Economics from Northwestern University and an M.B.A from the NYU Stern School of Business.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appointment, the Compensation Committee of the Board of Directors of the Company approved (i) a salary increase for Mr. Miao for a total annual base salary of $360,000, (ii) target annual bonus of 50% of annual base salary, and (iii) a $100,000 cash retention bonus payable three months following the start date of the Company’s permanent Chief Financial Officer.</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Mr. Miao has no family relationships that require disclosure pursuant to Item 401(d) of Regulation S-K and has not been involved in any transactions that require disclosure pursuant to Item 404(a) of Regulation S-K. There is no arrangement or understanding between Mr. Miao and any other person pursuant to which Mr. Miao was named Interim Chief Financial Officer and Deputy Chief Financial Officer of the Company.</w:t>
      </w:r>
    </w:p>
    <w:p>
      <w:pPr>
        <w:spacing w:after="0" w:line="194"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Compensatory Arrangements with Certain Officers.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on April 29, 2022, the Company completed its acquisition of GeneDx, Inc. and Dr. Eric Schadt was appointed President and Chief Research &amp; Development Officer of the Company and ceased serving as the Chief Executive Officer of the Company (the “Appointment”).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14, 2022, the Company and Dr. Eric Schadt entered into an amendment (the “Amendment”) to Dr. Schadt’s amended and restated employment agreement, dated as of July 21, 2021 (the “Employment Agreement”), in order to extend the period during which Dr. Schadt may provide the Company with written notice of “Good Reason” (within the meaning of the Employment Agreement) as a result of the Appointment through April 28, 2023.</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a copy of which is attached as Exhibit 10.2 and is incorporated herein by reference.</w:t>
      </w:r>
    </w:p>
    <w:p>
      <w:pPr>
        <w:sectPr>
          <w:pgSz w:w="11900" w:h="16838" w:orient="portrait"/>
          <w:cols w:equalWidth="0" w:num="1">
            <w:col w:w="11240"/>
          </w:cols>
          <w:pgMar w:left="320" w:top="909" w:right="339" w:bottom="1440" w:gutter="0" w:footer="0" w:header="0"/>
        </w:sectPr>
      </w:pPr>
    </w:p>
    <w:bookmarkStart w:id="4" w:name="page5"/>
    <w:bookmarkEnd w:id="4"/>
    <w:p>
      <w:pPr>
        <w:spacing w:after="0" w:line="185" w:lineRule="auto"/>
        <w:framePr w:w="400" w:h="160" w:wrap="auto" w:vAnchor="page" w:hAnchor="page" w:x="760" w:y="3044"/>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w:t>
      </w:r>
    </w:p>
    <w:p>
      <w:pPr>
        <w:spacing w:after="0" w:line="185" w:lineRule="auto"/>
        <w:framePr w:w="400" w:h="160" w:wrap="auto" w:vAnchor="page" w:hAnchor="page" w:x="760" w:y="278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185" w:lineRule="auto"/>
        <w:framePr w:w="400" w:h="160" w:wrap="auto" w:vAnchor="page" w:hAnchor="page" w:x="760" w:y="253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p>
    <w:p>
      <w:pPr>
        <w:spacing w:after="0" w:line="193" w:lineRule="auto"/>
        <w:framePr w:w="880" w:h="176" w:wrap="auto" w:vAnchor="page" w:hAnchor="page" w:x="280" w:y="909"/>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Item 9.01</w:t>
      </w:r>
    </w:p>
    <w:p>
      <w:pPr>
        <w:spacing w:after="0" w:line="193" w:lineRule="auto"/>
        <w:framePr w:w="1080" w:h="176" w:wrap="auto" w:vAnchor="page" w:hAnchor="page" w:x="280" w:y="1368"/>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 Exhibits.</w:t>
      </w:r>
    </w:p>
    <w:p>
      <w:pPr>
        <w:spacing w:after="0" w:line="184" w:lineRule="auto"/>
        <w:framePr w:w="720" w:h="176" w:wrap="auto" w:vAnchor="page" w:hAnchor="page" w:x="600" w:y="1948"/>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Exhibit</w:t>
      </w:r>
    </w:p>
    <w:p>
      <w:pPr>
        <w:spacing w:after="0" w:line="193" w:lineRule="auto"/>
        <w:framePr w:w="780" w:h="176" w:wrap="auto" w:vAnchor="page" w:hAnchor="page" w:x="580" w:y="2218"/>
        <w:rPr>
          <w:rFonts w:ascii="Times New Roman" w:cs="Times New Roman" w:eastAsia="Times New Roman" w:hAnsi="Times New Roman"/>
          <w:sz w:val="19"/>
          <w:szCs w:val="19"/>
          <w:b w:val="1"/>
          <w:bCs w:val="1"/>
          <w:u w:val="single" w:color="auto"/>
          <w:color w:val="auto"/>
        </w:rPr>
      </w:pPr>
      <w:r>
        <w:rPr>
          <w:rFonts w:ascii="Times New Roman" w:cs="Times New Roman" w:eastAsia="Times New Roman" w:hAnsi="Times New Roman"/>
          <w:sz w:val="19"/>
          <w:szCs w:val="19"/>
          <w:b w:val="1"/>
          <w:bCs w:val="1"/>
          <w:u w:val="single" w:color="auto"/>
          <w:color w:val="auto"/>
        </w:rPr>
        <w:t>Number</w:t>
      </w:r>
    </w:p>
    <w:p>
      <w:pPr>
        <w:ind w:left="1340"/>
        <w:spacing w:after="0"/>
        <w:rPr>
          <w:sz w:val="20"/>
          <w:szCs w:val="20"/>
          <w:color w:val="auto"/>
        </w:rPr>
      </w:pPr>
      <w:r>
        <w:rPr>
          <w:rFonts w:ascii="Times New Roman" w:cs="Times New Roman" w:eastAsia="Times New Roman" w:hAnsi="Times New Roman"/>
          <w:sz w:val="20"/>
          <w:szCs w:val="20"/>
          <w:b w:val="1"/>
          <w:bCs w:val="1"/>
          <w:color w:val="auto"/>
        </w:rPr>
        <w:t>Financial Statements and Exhibits.</w:t>
      </w:r>
    </w:p>
    <w:p>
      <w:pPr>
        <w:spacing w:after="0" w:line="200" w:lineRule="exact"/>
        <w:rPr>
          <w:rFonts w:ascii="Times New Roman" w:cs="Times New Roman" w:eastAsia="Times New Roman" w:hAnsi="Times New Roman"/>
          <w:sz w:val="19"/>
          <w:szCs w:val="19"/>
          <w:b w:val="1"/>
          <w:bCs w:val="1"/>
          <w:u w:val="single" w:color="auto"/>
          <w:color w:val="auto"/>
        </w:rPr>
      </w:pPr>
    </w:p>
    <w:p>
      <w:pPr>
        <w:spacing w:after="0" w:line="200" w:lineRule="exact"/>
        <w:rPr>
          <w:rFonts w:ascii="Times New Roman" w:cs="Times New Roman" w:eastAsia="Times New Roman" w:hAnsi="Times New Roman"/>
          <w:sz w:val="19"/>
          <w:szCs w:val="19"/>
          <w:b w:val="1"/>
          <w:bCs w:val="1"/>
          <w:u w:val="single" w:color="auto"/>
          <w:color w:val="auto"/>
        </w:rPr>
      </w:pPr>
    </w:p>
    <w:p>
      <w:pPr>
        <w:spacing w:after="0" w:line="200" w:lineRule="exact"/>
        <w:rPr>
          <w:rFonts w:ascii="Times New Roman" w:cs="Times New Roman" w:eastAsia="Times New Roman" w:hAnsi="Times New Roman"/>
          <w:sz w:val="19"/>
          <w:szCs w:val="19"/>
          <w:b w:val="1"/>
          <w:bCs w:val="1"/>
          <w:u w:val="single" w:color="auto"/>
          <w:color w:val="auto"/>
        </w:rPr>
      </w:pPr>
    </w:p>
    <w:p>
      <w:pPr>
        <w:spacing w:after="0" w:line="200" w:lineRule="exact"/>
        <w:rPr>
          <w:rFonts w:ascii="Times New Roman" w:cs="Times New Roman" w:eastAsia="Times New Roman" w:hAnsi="Times New Roman"/>
          <w:sz w:val="19"/>
          <w:szCs w:val="19"/>
          <w:b w:val="1"/>
          <w:bCs w:val="1"/>
          <w:u w:val="single" w:color="auto"/>
          <w:color w:val="auto"/>
        </w:rPr>
      </w:pPr>
    </w:p>
    <w:p>
      <w:pPr>
        <w:spacing w:after="0" w:line="334" w:lineRule="exact"/>
        <w:rPr>
          <w:rFonts w:ascii="Times New Roman" w:cs="Times New Roman" w:eastAsia="Times New Roman" w:hAnsi="Times New Roman"/>
          <w:sz w:val="19"/>
          <w:szCs w:val="19"/>
          <w:b w:val="1"/>
          <w:bCs w:val="1"/>
          <w:u w:val="single" w:color="auto"/>
          <w:color w:val="auto"/>
        </w:rPr>
      </w:pPr>
    </w:p>
    <w:p>
      <w:pPr>
        <w:ind w:left="5600"/>
        <w:spacing w:after="0"/>
        <w:rPr>
          <w:sz w:val="20"/>
          <w:szCs w:val="20"/>
          <w:color w:val="auto"/>
        </w:rPr>
      </w:pPr>
      <w:r>
        <w:rPr>
          <w:rFonts w:ascii="Times New Roman" w:cs="Times New Roman" w:eastAsia="Times New Roman" w:hAnsi="Times New Roman"/>
          <w:sz w:val="20"/>
          <w:szCs w:val="20"/>
          <w:b w:val="1"/>
          <w:bCs w:val="1"/>
          <w:u w:val="single" w:color="auto"/>
          <w:color w:val="auto"/>
        </w:rPr>
        <w:t>Description</w:t>
      </w:r>
    </w:p>
    <w:p>
      <w:pPr>
        <w:spacing w:after="0" w:line="35" w:lineRule="exact"/>
        <w:rPr>
          <w:rFonts w:ascii="Times New Roman" w:cs="Times New Roman" w:eastAsia="Times New Roman" w:hAnsi="Times New Roman"/>
          <w:sz w:val="19"/>
          <w:szCs w:val="19"/>
          <w:b w:val="1"/>
          <w:bCs w:val="1"/>
          <w:u w:val="single" w:color="auto"/>
          <w:color w:val="auto"/>
        </w:rPr>
      </w:pPr>
    </w:p>
    <w:p>
      <w:pPr>
        <w:ind w:left="1300" w:right="1880"/>
        <w:spacing w:after="0" w:line="305" w:lineRule="auto"/>
        <w:rPr>
          <w:rFonts w:ascii="Times New Roman" w:cs="Times New Roman" w:eastAsia="Times New Roman" w:hAnsi="Times New Roman"/>
          <w:sz w:val="18"/>
          <w:szCs w:val="18"/>
          <w:u w:val="single" w:color="auto"/>
          <w:color w:val="0000FF"/>
        </w:rPr>
      </w:pPr>
      <w:hyperlink r:id="rId10">
        <w:r>
          <w:rPr>
            <w:rFonts w:ascii="Times New Roman" w:cs="Times New Roman" w:eastAsia="Times New Roman" w:hAnsi="Times New Roman"/>
            <w:sz w:val="18"/>
            <w:szCs w:val="18"/>
            <w:u w:val="single" w:color="auto"/>
            <w:color w:val="0000FF"/>
          </w:rPr>
          <w:t>Amendment No.1 to the Amended and Restated Employment of Agreement of Eric Schadt, dated June 14, 2022</w:t>
        </w:r>
      </w:hyperlink>
      <w:r>
        <w:rPr>
          <w:rFonts w:ascii="Times New Roman" w:cs="Times New Roman" w:eastAsia="Times New Roman" w:hAnsi="Times New Roman"/>
          <w:sz w:val="18"/>
          <w:szCs w:val="18"/>
          <w:u w:val="single" w:color="auto"/>
          <w:color w:val="0000FF"/>
        </w:rPr>
        <w:t xml:space="preserve"> </w:t>
      </w:r>
      <w:hyperlink r:id="rId11">
        <w:r>
          <w:rPr>
            <w:rFonts w:ascii="Times New Roman" w:cs="Times New Roman" w:eastAsia="Times New Roman" w:hAnsi="Times New Roman"/>
            <w:sz w:val="18"/>
            <w:szCs w:val="18"/>
            <w:u w:val="single" w:color="auto"/>
            <w:color w:val="0000FF"/>
          </w:rPr>
          <w:t>Consulting Agreement with Isaac Ro, dated as of June 14, 2022</w:t>
        </w:r>
      </w:hyperlink>
    </w:p>
    <w:p>
      <w:pPr>
        <w:ind w:left="1300"/>
        <w:spacing w:after="0"/>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Press Release, dated June 14, 2022, regarding the Registrant's Chief Financial Officer Transition Plan</w:t>
        </w:r>
      </w:hyperlink>
    </w:p>
    <w:p>
      <w:pPr>
        <w:spacing w:after="0" w:line="36"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87" w:lineRule="exact"/>
        <w:rPr>
          <w:sz w:val="20"/>
          <w:szCs w:val="20"/>
          <w:color w:val="auto"/>
        </w:rPr>
      </w:pPr>
    </w:p>
    <w:p>
      <w:pPr>
        <w:ind w:firstLine="324"/>
        <w:spacing w:after="0" w:line="31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262"/>
        </w:trPr>
        <w:tc>
          <w:tcPr>
            <w:tcW w:w="6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7080" w:type="dxa"/>
            <w:vAlign w:val="bottom"/>
            <w:gridSpan w:val="2"/>
          </w:tcPr>
          <w:p>
            <w:pPr>
              <w:ind w:left="1520"/>
              <w:spacing w:after="0"/>
              <w:rPr>
                <w:sz w:val="20"/>
                <w:szCs w:val="20"/>
                <w:color w:val="auto"/>
              </w:rPr>
            </w:pPr>
            <w:r>
              <w:rPr>
                <w:rFonts w:ascii="Times New Roman" w:cs="Times New Roman" w:eastAsia="Times New Roman" w:hAnsi="Times New Roman"/>
                <w:sz w:val="20"/>
                <w:szCs w:val="20"/>
                <w:b w:val="1"/>
                <w:bCs w:val="1"/>
                <w:color w:val="auto"/>
              </w:rPr>
              <w:t>Sema4 Holdings Corp.</w:t>
            </w:r>
          </w:p>
        </w:tc>
      </w:tr>
      <w:tr>
        <w:trPr>
          <w:trHeight w:val="420"/>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June 14, 2022</w:t>
            </w:r>
          </w:p>
        </w:tc>
        <w:tc>
          <w:tcPr>
            <w:tcW w:w="24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Katherine Stueland</w:t>
            </w:r>
          </w:p>
        </w:tc>
      </w:tr>
      <w:tr>
        <w:trPr>
          <w:trHeight w:val="261"/>
        </w:trPr>
        <w:tc>
          <w:tcPr>
            <w:tcW w:w="6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Katherine Stueland</w:t>
            </w:r>
          </w:p>
        </w:tc>
      </w:tr>
      <w:tr>
        <w:trPr>
          <w:trHeight w:val="258"/>
        </w:trPr>
        <w:tc>
          <w:tcPr>
            <w:tcW w:w="6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s://www.sec.gov/Archives/edgar/data/0001818331/000181833122000053/amendmentno1toeschadtaremp.htm" TargetMode="External"/><Relationship Id="rId11" Type="http://schemas.openxmlformats.org/officeDocument/2006/relationships/hyperlink" Target="https://www.sec.gov/Archives/edgar/data/0001818331/000181833122000053/iroconsultingagreement.htm" TargetMode="External"/><Relationship Id="rId12" Type="http://schemas.openxmlformats.org/officeDocument/2006/relationships/hyperlink" Target="https://www.sec.gov/Archives/edgar/data/0001818331/000181833122000053/cfotransitionpressrelea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2022-06-14T16:05:53Z</dcterms:created>
  <dcterms:modified xsi:type="dcterms:W3CDTF">2022-06-14T16:05:53Z</dcterms:modified>
</cp:coreProperties>
</file>