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 2022</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30480</wp:posOffset>
            </wp:positionV>
            <wp:extent cx="10198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46355</wp:posOffset>
            </wp:positionV>
            <wp:extent cx="10198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SEMA4 HOLDINGS CORP.</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76" w:lineRule="exact"/>
        <w:rPr>
          <w:sz w:val="24"/>
          <w:szCs w:val="24"/>
          <w:color w:val="auto"/>
        </w:rPr>
      </w:pPr>
    </w:p>
    <w:tbl>
      <w:tblPr>
        <w:tblLayout w:type="fixed"/>
        <w:tblInd w:w="1720" w:type="dxa"/>
        <w:tblCellMar>
          <w:top w:w="0" w:type="dxa"/>
          <w:left w:w="0" w:type="dxa"/>
          <w:bottom w:w="0" w:type="dxa"/>
          <w:right w:w="0" w:type="dxa"/>
        </w:tblCellMar>
      </w:tblPr>
      <w:tr>
        <w:trPr>
          <w:trHeight w:val="210"/>
        </w:trPr>
        <w:tc>
          <w:tcPr>
            <w:tcW w:w="4140" w:type="dxa"/>
            <w:vAlign w:val="bottom"/>
          </w:tcPr>
          <w:p>
            <w:pPr>
              <w:jc w:val="center"/>
              <w:ind w:right="1879"/>
              <w:spacing w:after="0"/>
              <w:rPr>
                <w:sz w:val="20"/>
                <w:szCs w:val="20"/>
                <w:color w:val="auto"/>
              </w:rPr>
            </w:pPr>
            <w:r>
              <w:rPr>
                <w:rFonts w:ascii="Arial" w:cs="Arial" w:eastAsia="Arial" w:hAnsi="Arial"/>
                <w:sz w:val="16"/>
                <w:szCs w:val="16"/>
                <w:b w:val="1"/>
                <w:bCs w:val="1"/>
                <w:color w:val="auto"/>
                <w:w w:val="93"/>
              </w:rPr>
              <w:t>Delaware</w:t>
            </w:r>
          </w:p>
        </w:tc>
        <w:tc>
          <w:tcPr>
            <w:tcW w:w="3160" w:type="dxa"/>
            <w:vAlign w:val="bottom"/>
          </w:tcPr>
          <w:p>
            <w:pPr>
              <w:jc w:val="center"/>
              <w:ind w:left="1899"/>
              <w:spacing w:after="0"/>
              <w:rPr>
                <w:sz w:val="20"/>
                <w:szCs w:val="20"/>
                <w:color w:val="auto"/>
              </w:rPr>
            </w:pPr>
            <w:r>
              <w:rPr>
                <w:rFonts w:ascii="Arial" w:cs="Arial" w:eastAsia="Arial" w:hAnsi="Arial"/>
                <w:sz w:val="16"/>
                <w:szCs w:val="16"/>
                <w:b w:val="1"/>
                <w:bCs w:val="1"/>
                <w:color w:val="auto"/>
                <w:w w:val="91"/>
              </w:rPr>
              <w:t>85-1966622</w:t>
            </w:r>
          </w:p>
        </w:tc>
      </w:tr>
      <w:tr>
        <w:trPr>
          <w:trHeight w:val="172"/>
        </w:trPr>
        <w:tc>
          <w:tcPr>
            <w:tcW w:w="4140" w:type="dxa"/>
            <w:vAlign w:val="bottom"/>
          </w:tcPr>
          <w:p>
            <w:pPr>
              <w:jc w:val="center"/>
              <w:ind w:right="1899"/>
              <w:spacing w:after="0" w:line="171" w:lineRule="exact"/>
              <w:rPr>
                <w:sz w:val="20"/>
                <w:szCs w:val="20"/>
                <w:color w:val="auto"/>
              </w:rPr>
            </w:pPr>
            <w:r>
              <w:rPr>
                <w:rFonts w:ascii="Arial" w:cs="Arial" w:eastAsia="Arial" w:hAnsi="Arial"/>
                <w:sz w:val="16"/>
                <w:szCs w:val="16"/>
                <w:color w:val="auto"/>
                <w:w w:val="92"/>
              </w:rPr>
              <w:t>(State or Other Jurisdiction</w:t>
            </w:r>
          </w:p>
        </w:tc>
        <w:tc>
          <w:tcPr>
            <w:tcW w:w="3160" w:type="dxa"/>
            <w:vAlign w:val="bottom"/>
          </w:tcPr>
          <w:p>
            <w:pPr>
              <w:jc w:val="center"/>
              <w:ind w:left="189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140" w:type="dxa"/>
            <w:vAlign w:val="bottom"/>
          </w:tcPr>
          <w:p>
            <w:pPr>
              <w:jc w:val="center"/>
              <w:ind w:right="1879"/>
              <w:spacing w:after="0"/>
              <w:rPr>
                <w:sz w:val="20"/>
                <w:szCs w:val="20"/>
                <w:color w:val="auto"/>
              </w:rPr>
            </w:pPr>
            <w:r>
              <w:rPr>
                <w:rFonts w:ascii="Arial" w:cs="Arial" w:eastAsia="Arial" w:hAnsi="Arial"/>
                <w:sz w:val="16"/>
                <w:szCs w:val="16"/>
                <w:color w:val="auto"/>
                <w:w w:val="94"/>
              </w:rPr>
              <w:t>of Incorporation or Organization)</w:t>
            </w:r>
          </w:p>
        </w:tc>
        <w:tc>
          <w:tcPr>
            <w:tcW w:w="3160" w:type="dxa"/>
            <w:vAlign w:val="bottom"/>
          </w:tcPr>
          <w:p>
            <w:pPr>
              <w:jc w:val="center"/>
              <w:ind w:left="1879"/>
              <w:spacing w:after="0"/>
              <w:rPr>
                <w:sz w:val="20"/>
                <w:szCs w:val="20"/>
                <w:color w:val="auto"/>
              </w:rPr>
            </w:pPr>
            <w:r>
              <w:rPr>
                <w:rFonts w:ascii="Arial" w:cs="Arial" w:eastAsia="Arial" w:hAnsi="Arial"/>
                <w:sz w:val="16"/>
                <w:szCs w:val="16"/>
                <w:color w:val="auto"/>
                <w:w w:val="96"/>
              </w:rPr>
              <w:t>Identification No.)</w:t>
            </w:r>
          </w:p>
        </w:tc>
      </w:tr>
    </w:tbl>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06" w:lineRule="auto"/>
        <w:rPr>
          <w:sz w:val="20"/>
          <w:szCs w:val="20"/>
          <w:color w:val="auto"/>
        </w:rPr>
      </w:pPr>
      <w:r>
        <w:rPr>
          <w:rFonts w:ascii="Arial" w:cs="Arial" w:eastAsia="Arial" w:hAnsi="Arial"/>
          <w:sz w:val="18"/>
          <w:szCs w:val="18"/>
          <w:b w:val="1"/>
          <w:bCs w:val="1"/>
          <w:color w:val="auto"/>
        </w:rPr>
        <w:t>Stamford, Connecticut 06902</w:t>
      </w: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NON-PLAN INDUCEMENT AWARDS</w:t>
      </w: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137795</wp:posOffset>
            </wp:positionV>
            <wp:extent cx="10198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Katherine Stueland</w:t>
      </w:r>
    </w:p>
    <w:p>
      <w:pPr>
        <w:ind w:left="4720"/>
        <w:spacing w:after="0" w:line="237" w:lineRule="auto"/>
        <w:rPr>
          <w:sz w:val="20"/>
          <w:szCs w:val="20"/>
          <w:color w:val="auto"/>
        </w:rPr>
      </w:pPr>
      <w:r>
        <w:rPr>
          <w:rFonts w:ascii="Arial" w:cs="Arial" w:eastAsia="Arial" w:hAnsi="Arial"/>
          <w:sz w:val="18"/>
          <w:szCs w:val="18"/>
          <w:b w:val="1"/>
          <w:bCs w:val="1"/>
          <w:color w:val="auto"/>
        </w:rPr>
        <w:t>Chief Executive Officer</w:t>
      </w: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298-6470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149225</wp:posOffset>
            </wp:positionV>
            <wp:extent cx="10198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5" w:lineRule="exact"/>
        <w:rPr>
          <w:sz w:val="24"/>
          <w:szCs w:val="24"/>
          <w:color w:val="auto"/>
        </w:rPr>
      </w:pPr>
    </w:p>
    <w:tbl>
      <w:tblPr>
        <w:tblLayout w:type="fixed"/>
        <w:tblInd w:w="1860" w:type="dxa"/>
        <w:tblCellMar>
          <w:top w:w="0" w:type="dxa"/>
          <w:left w:w="0" w:type="dxa"/>
          <w:bottom w:w="0" w:type="dxa"/>
          <w:right w:w="0" w:type="dxa"/>
        </w:tblCellMar>
      </w:tblPr>
      <w:tr>
        <w:trPr>
          <w:trHeight w:val="184"/>
        </w:trPr>
        <w:tc>
          <w:tcPr>
            <w:tcW w:w="3500" w:type="dxa"/>
            <w:vAlign w:val="bottom"/>
          </w:tcPr>
          <w:p>
            <w:pPr>
              <w:jc w:val="center"/>
              <w:ind w:right="1519"/>
              <w:spacing w:after="0"/>
              <w:rPr>
                <w:sz w:val="20"/>
                <w:szCs w:val="20"/>
                <w:color w:val="auto"/>
              </w:rPr>
            </w:pPr>
            <w:r>
              <w:rPr>
                <w:rFonts w:ascii="Arial" w:cs="Arial" w:eastAsia="Arial" w:hAnsi="Arial"/>
                <w:sz w:val="16"/>
                <w:szCs w:val="16"/>
                <w:b w:val="1"/>
                <w:bCs w:val="1"/>
                <w:color w:val="auto"/>
                <w:w w:val="95"/>
              </w:rPr>
              <w:t>Ethan Skerry</w:t>
            </w:r>
          </w:p>
        </w:tc>
        <w:tc>
          <w:tcPr>
            <w:tcW w:w="4540" w:type="dxa"/>
            <w:vAlign w:val="bottom"/>
            <w:vMerge w:val="restart"/>
          </w:tcPr>
          <w:p>
            <w:pPr>
              <w:jc w:val="center"/>
              <w:ind w:left="1499"/>
              <w:spacing w:after="0"/>
              <w:rPr>
                <w:sz w:val="20"/>
                <w:szCs w:val="20"/>
                <w:color w:val="auto"/>
              </w:rPr>
            </w:pPr>
            <w:r>
              <w:rPr>
                <w:rFonts w:ascii="Arial" w:cs="Arial" w:eastAsia="Arial" w:hAnsi="Arial"/>
                <w:sz w:val="16"/>
                <w:szCs w:val="16"/>
                <w:b w:val="1"/>
                <w:bCs w:val="1"/>
                <w:color w:val="auto"/>
                <w:w w:val="95"/>
              </w:rPr>
              <w:t>Daniel Clark</w:t>
            </w:r>
          </w:p>
        </w:tc>
        <w:tc>
          <w:tcPr>
            <w:tcW w:w="0" w:type="dxa"/>
            <w:vAlign w:val="bottom"/>
          </w:tcPr>
          <w:p>
            <w:pPr>
              <w:spacing w:after="0"/>
              <w:rPr>
                <w:sz w:val="1"/>
                <w:szCs w:val="1"/>
                <w:color w:val="auto"/>
              </w:rPr>
            </w:pPr>
          </w:p>
        </w:tc>
      </w:tr>
      <w:tr>
        <w:trPr>
          <w:trHeight w:val="162"/>
        </w:trPr>
        <w:tc>
          <w:tcPr>
            <w:tcW w:w="3500" w:type="dxa"/>
            <w:vAlign w:val="bottom"/>
          </w:tcPr>
          <w:p>
            <w:pPr>
              <w:jc w:val="center"/>
              <w:ind w:right="1499"/>
              <w:spacing w:after="0" w:line="162" w:lineRule="exact"/>
              <w:rPr>
                <w:sz w:val="20"/>
                <w:szCs w:val="20"/>
                <w:color w:val="auto"/>
              </w:rPr>
            </w:pPr>
            <w:r>
              <w:rPr>
                <w:rFonts w:ascii="Arial" w:cs="Arial" w:eastAsia="Arial" w:hAnsi="Arial"/>
                <w:sz w:val="16"/>
                <w:szCs w:val="16"/>
                <w:b w:val="1"/>
                <w:bCs w:val="1"/>
                <w:color w:val="auto"/>
                <w:w w:val="92"/>
              </w:rPr>
              <w:t>Per B. Chilstrom</w:t>
            </w: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jc w:val="center"/>
              <w:ind w:right="1519"/>
              <w:spacing w:after="0" w:line="162" w:lineRule="exact"/>
              <w:rPr>
                <w:sz w:val="20"/>
                <w:szCs w:val="20"/>
                <w:color w:val="auto"/>
              </w:rPr>
            </w:pPr>
            <w:r>
              <w:rPr>
                <w:rFonts w:ascii="Arial" w:cs="Arial" w:eastAsia="Arial" w:hAnsi="Arial"/>
                <w:sz w:val="16"/>
                <w:szCs w:val="16"/>
                <w:b w:val="1"/>
                <w:bCs w:val="1"/>
                <w:color w:val="auto"/>
                <w:w w:val="95"/>
              </w:rPr>
              <w:t>Fenwick &amp; West LLP</w:t>
            </w:r>
          </w:p>
        </w:tc>
        <w:tc>
          <w:tcPr>
            <w:tcW w:w="4540" w:type="dxa"/>
            <w:vAlign w:val="bottom"/>
          </w:tcPr>
          <w:p>
            <w:pPr>
              <w:jc w:val="center"/>
              <w:ind w:left="1499"/>
              <w:spacing w:after="0" w:line="162" w:lineRule="exact"/>
              <w:rPr>
                <w:sz w:val="20"/>
                <w:szCs w:val="20"/>
                <w:color w:val="auto"/>
              </w:rPr>
            </w:pPr>
            <w:r>
              <w:rPr>
                <w:rFonts w:ascii="Arial" w:cs="Arial" w:eastAsia="Arial" w:hAnsi="Arial"/>
                <w:sz w:val="16"/>
                <w:szCs w:val="16"/>
                <w:b w:val="1"/>
                <w:bCs w:val="1"/>
                <w:color w:val="auto"/>
                <w:w w:val="91"/>
              </w:rPr>
              <w:t>General Counsel</w:t>
            </w:r>
          </w:p>
        </w:tc>
        <w:tc>
          <w:tcPr>
            <w:tcW w:w="0" w:type="dxa"/>
            <w:vAlign w:val="bottom"/>
          </w:tcPr>
          <w:p>
            <w:pPr>
              <w:spacing w:after="0"/>
              <w:rPr>
                <w:sz w:val="1"/>
                <w:szCs w:val="1"/>
                <w:color w:val="auto"/>
              </w:rPr>
            </w:pPr>
          </w:p>
        </w:tc>
      </w:tr>
      <w:tr>
        <w:trPr>
          <w:trHeight w:val="162"/>
        </w:trPr>
        <w:tc>
          <w:tcPr>
            <w:tcW w:w="3500" w:type="dxa"/>
            <w:vAlign w:val="bottom"/>
          </w:tcPr>
          <w:p>
            <w:pPr>
              <w:jc w:val="center"/>
              <w:ind w:right="1499"/>
              <w:spacing w:after="0" w:line="162" w:lineRule="exact"/>
              <w:rPr>
                <w:sz w:val="20"/>
                <w:szCs w:val="20"/>
                <w:color w:val="auto"/>
              </w:rPr>
            </w:pPr>
            <w:r>
              <w:rPr>
                <w:rFonts w:ascii="Arial" w:cs="Arial" w:eastAsia="Arial" w:hAnsi="Arial"/>
                <w:sz w:val="16"/>
                <w:szCs w:val="16"/>
                <w:b w:val="1"/>
                <w:bCs w:val="1"/>
                <w:color w:val="auto"/>
                <w:w w:val="92"/>
              </w:rPr>
              <w:t>902 Broadway</w:t>
            </w:r>
          </w:p>
        </w:tc>
        <w:tc>
          <w:tcPr>
            <w:tcW w:w="4540" w:type="dxa"/>
            <w:vAlign w:val="bottom"/>
          </w:tcPr>
          <w:p>
            <w:pPr>
              <w:jc w:val="center"/>
              <w:ind w:left="1499"/>
              <w:spacing w:after="0" w:line="162" w:lineRule="exact"/>
              <w:rPr>
                <w:sz w:val="20"/>
                <w:szCs w:val="20"/>
                <w:color w:val="auto"/>
              </w:rPr>
            </w:pPr>
            <w:r>
              <w:rPr>
                <w:rFonts w:ascii="Arial" w:cs="Arial" w:eastAsia="Arial" w:hAnsi="Arial"/>
                <w:sz w:val="16"/>
                <w:szCs w:val="16"/>
                <w:b w:val="1"/>
                <w:bCs w:val="1"/>
                <w:color w:val="auto"/>
                <w:w w:val="91"/>
              </w:rPr>
              <w:t>Sema4 Holdings Corp.</w:t>
            </w:r>
          </w:p>
        </w:tc>
        <w:tc>
          <w:tcPr>
            <w:tcW w:w="0" w:type="dxa"/>
            <w:vAlign w:val="bottom"/>
          </w:tcPr>
          <w:p>
            <w:pPr>
              <w:spacing w:after="0"/>
              <w:rPr>
                <w:sz w:val="1"/>
                <w:szCs w:val="1"/>
                <w:color w:val="auto"/>
              </w:rPr>
            </w:pPr>
          </w:p>
        </w:tc>
      </w:tr>
      <w:tr>
        <w:trPr>
          <w:trHeight w:val="162"/>
        </w:trPr>
        <w:tc>
          <w:tcPr>
            <w:tcW w:w="3500" w:type="dxa"/>
            <w:vAlign w:val="bottom"/>
          </w:tcPr>
          <w:p>
            <w:pPr>
              <w:jc w:val="center"/>
              <w:ind w:right="1519"/>
              <w:spacing w:after="0" w:line="162" w:lineRule="exact"/>
              <w:rPr>
                <w:sz w:val="20"/>
                <w:szCs w:val="20"/>
                <w:color w:val="auto"/>
              </w:rPr>
            </w:pPr>
            <w:r>
              <w:rPr>
                <w:rFonts w:ascii="Arial" w:cs="Arial" w:eastAsia="Arial" w:hAnsi="Arial"/>
                <w:sz w:val="16"/>
                <w:szCs w:val="16"/>
                <w:b w:val="1"/>
                <w:bCs w:val="1"/>
                <w:color w:val="auto"/>
                <w:w w:val="93"/>
              </w:rPr>
              <w:t>New York, New York 10010</w:t>
            </w:r>
          </w:p>
        </w:tc>
        <w:tc>
          <w:tcPr>
            <w:tcW w:w="4540" w:type="dxa"/>
            <w:vAlign w:val="bottom"/>
          </w:tcPr>
          <w:p>
            <w:pPr>
              <w:jc w:val="center"/>
              <w:ind w:left="1499"/>
              <w:spacing w:after="0" w:line="162" w:lineRule="exact"/>
              <w:rPr>
                <w:sz w:val="20"/>
                <w:szCs w:val="20"/>
                <w:color w:val="auto"/>
              </w:rPr>
            </w:pPr>
            <w:r>
              <w:rPr>
                <w:rFonts w:ascii="Arial" w:cs="Arial" w:eastAsia="Arial" w:hAnsi="Arial"/>
                <w:sz w:val="16"/>
                <w:szCs w:val="16"/>
                <w:b w:val="1"/>
                <w:bCs w:val="1"/>
                <w:color w:val="auto"/>
                <w:w w:val="93"/>
              </w:rPr>
              <w:t>333 Ludlow Street, North Tower, 8th Floor</w:t>
            </w:r>
          </w:p>
        </w:tc>
        <w:tc>
          <w:tcPr>
            <w:tcW w:w="0" w:type="dxa"/>
            <w:vAlign w:val="bottom"/>
          </w:tcPr>
          <w:p>
            <w:pPr>
              <w:spacing w:after="0"/>
              <w:rPr>
                <w:sz w:val="1"/>
                <w:szCs w:val="1"/>
                <w:color w:val="auto"/>
              </w:rPr>
            </w:pPr>
          </w:p>
        </w:tc>
      </w:tr>
      <w:tr>
        <w:trPr>
          <w:trHeight w:val="139"/>
        </w:trPr>
        <w:tc>
          <w:tcPr>
            <w:tcW w:w="3500" w:type="dxa"/>
            <w:vAlign w:val="bottom"/>
          </w:tcPr>
          <w:p>
            <w:pPr>
              <w:jc w:val="center"/>
              <w:ind w:right="1499"/>
              <w:spacing w:after="0" w:line="139" w:lineRule="exact"/>
              <w:rPr>
                <w:sz w:val="20"/>
                <w:szCs w:val="20"/>
                <w:color w:val="auto"/>
              </w:rPr>
            </w:pPr>
            <w:r>
              <w:rPr>
                <w:rFonts w:ascii="Arial" w:cs="Arial" w:eastAsia="Arial" w:hAnsi="Arial"/>
                <w:sz w:val="16"/>
                <w:szCs w:val="16"/>
                <w:b w:val="1"/>
                <w:bCs w:val="1"/>
                <w:color w:val="auto"/>
              </w:rPr>
              <w:t>(212) 430-2600</w:t>
            </w:r>
          </w:p>
        </w:tc>
        <w:tc>
          <w:tcPr>
            <w:tcW w:w="4540" w:type="dxa"/>
            <w:vAlign w:val="bottom"/>
          </w:tcPr>
          <w:p>
            <w:pPr>
              <w:jc w:val="center"/>
              <w:ind w:left="1479"/>
              <w:spacing w:after="0" w:line="139" w:lineRule="exact"/>
              <w:rPr>
                <w:sz w:val="20"/>
                <w:szCs w:val="20"/>
                <w:color w:val="auto"/>
              </w:rPr>
            </w:pPr>
            <w:r>
              <w:rPr>
                <w:rFonts w:ascii="Arial" w:cs="Arial" w:eastAsia="Arial" w:hAnsi="Arial"/>
                <w:sz w:val="16"/>
                <w:szCs w:val="16"/>
                <w:b w:val="1"/>
                <w:bCs w:val="1"/>
                <w:color w:val="auto"/>
                <w:w w:val="91"/>
              </w:rPr>
              <w:t>Stamford, Connecticut 06902</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4540" w:type="dxa"/>
            <w:vAlign w:val="bottom"/>
          </w:tcPr>
          <w:p>
            <w:pPr>
              <w:jc w:val="center"/>
              <w:ind w:left="1499"/>
              <w:spacing w:after="0"/>
              <w:rPr>
                <w:sz w:val="20"/>
                <w:szCs w:val="20"/>
                <w:color w:val="auto"/>
              </w:rPr>
            </w:pPr>
            <w:r>
              <w:rPr>
                <w:rFonts w:ascii="Arial" w:cs="Arial" w:eastAsia="Arial" w:hAnsi="Arial"/>
                <w:sz w:val="16"/>
                <w:szCs w:val="16"/>
                <w:b w:val="1"/>
                <w:bCs w:val="1"/>
                <w:color w:val="auto"/>
                <w:w w:val="91"/>
              </w:rPr>
              <w:t>(800) 298-6470</w:t>
            </w:r>
          </w:p>
        </w:tc>
        <w:tc>
          <w:tcPr>
            <w:tcW w:w="0" w:type="dxa"/>
            <w:vAlign w:val="bottom"/>
          </w:tcPr>
          <w:p>
            <w:pPr>
              <w:spacing w:after="0"/>
              <w:rPr>
                <w:sz w:val="1"/>
                <w:szCs w:val="1"/>
                <w:color w:val="auto"/>
              </w:rPr>
            </w:pPr>
          </w:p>
        </w:tc>
      </w:tr>
    </w:tbl>
    <w:p>
      <w:pPr>
        <w:spacing w:after="0" w:line="221"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66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21" w:lineRule="exact"/>
        <w:rPr>
          <w:sz w:val="24"/>
          <w:szCs w:val="24"/>
          <w:color w:val="auto"/>
        </w:r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This Registration Statement on Form S-8 registers shares of Class A common stock, $0.0001 par value per share (the “Class A Common Stock”), of Sema4 Holdings Corp. (the “Registrant”) issuable pursuant to the inducement awards, as described below. To induce the individuals listed below to accept employment with the Registrant, the Registrant granted the following equity awards to such individuals (the “Non-Plan Inducement Awards”) on the dates detailed below:</w:t>
      </w:r>
    </w:p>
    <w:p>
      <w:pPr>
        <w:spacing w:after="0" w:line="109" w:lineRule="exact"/>
        <w:rPr>
          <w:sz w:val="20"/>
          <w:szCs w:val="20"/>
          <w:color w:val="auto"/>
        </w:rPr>
      </w:pPr>
    </w:p>
    <w:p>
      <w:pPr>
        <w:ind w:left="660" w:right="400" w:hanging="328"/>
        <w:spacing w:after="0" w:line="24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 options to purchase an aggregate of 4,932,132 shares of Class A Common Stock granted to three (3) newly-hired employees on May 2, 2022; and</w:t>
      </w:r>
    </w:p>
    <w:p>
      <w:pPr>
        <w:spacing w:after="0" w:line="115" w:lineRule="exact"/>
        <w:rPr>
          <w:rFonts w:ascii="Arial" w:cs="Arial" w:eastAsia="Arial" w:hAnsi="Arial"/>
          <w:sz w:val="18"/>
          <w:szCs w:val="18"/>
          <w:color w:val="auto"/>
        </w:rPr>
      </w:pPr>
    </w:p>
    <w:p>
      <w:pPr>
        <w:ind w:left="660" w:right="220" w:hanging="328"/>
        <w:spacing w:after="0" w:line="24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Restricted stock units to purchase an aggregate of 4,285,208 shares of Class A Common Stock granted to eighty (80) newly-hired employees on May 2, 2022.</w:t>
      </w:r>
    </w:p>
    <w:p>
      <w:pPr>
        <w:spacing w:after="0" w:line="11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Each Non-Plan Inducement Award was approved by the Registrant’s Compensation Committee or Board of Directors in compliance with and in reliance on Nasdaq Listing Rule 5635(c)(4). The Non-Plan Inducement Awards were granted outside of the Registrant’s 2021 Equity Incentive Plan (the "2021 Plan") and 2021 Employee Stock Purchase Plan. However, except as otherwise expressly stated in the forms of the Non-Plan Inducement Award agreements, the Non-Plan Inducement Awards are governed by terms and conditions identical to those of the 2021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information specified in Part I of Form S-8 is omitted from this filing in accordance with the provisions of Rule 428 under the Securities Act of 1933, as amended (the “Securities Act”), and the instructions to Form S-8. The documents containing the information specified in Part I will be delivered to persons to whom the Non-Plan Inducement Awards have been granted as required by Rule 428(b)(1) under the Securities Act, and such documents are not being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3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documents filed by the Registrant with the Commission pursuant to the Securities Act and the Securities Exchange Act of 1934, as amended (the “Exchange Act”), are incorporated herein by reference:</w:t>
      </w:r>
    </w:p>
    <w:p>
      <w:pPr>
        <w:spacing w:after="0" w:line="148" w:lineRule="exact"/>
        <w:rPr>
          <w:sz w:val="20"/>
          <w:szCs w:val="20"/>
          <w:color w:val="auto"/>
        </w:rPr>
      </w:pPr>
    </w:p>
    <w:p>
      <w:pPr>
        <w:ind w:left="980" w:right="160" w:hanging="324"/>
        <w:spacing w:after="0" w:line="246" w:lineRule="auto"/>
        <w:tabs>
          <w:tab w:leader="none" w:pos="977"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2021 (the “2021 Annual Report on Form 10-K”), filed with the Commission on </w:t>
      </w:r>
      <w:hyperlink r:id="rId12">
        <w:r>
          <w:rPr>
            <w:rFonts w:ascii="Arial" w:cs="Arial" w:eastAsia="Arial" w:hAnsi="Arial"/>
            <w:sz w:val="18"/>
            <w:szCs w:val="18"/>
            <w:u w:val="single" w:color="auto"/>
            <w:color w:val="0000FF"/>
          </w:rPr>
          <w:t>March 14, 2022</w:t>
        </w:r>
      </w:hyperlink>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left="980" w:hanging="324"/>
        <w:spacing w:after="0" w:line="231" w:lineRule="auto"/>
        <w:tabs>
          <w:tab w:leader="none" w:pos="974" w:val="left"/>
        </w:tabs>
        <w:numPr>
          <w:ilvl w:val="0"/>
          <w:numId w:val="2"/>
        </w:numPr>
        <w:rPr>
          <w:rFonts w:ascii="Arial" w:cs="Arial" w:eastAsia="Arial" w:hAnsi="Arial"/>
          <w:sz w:val="18"/>
          <w:szCs w:val="18"/>
          <w:color w:val="0000FF"/>
        </w:rPr>
      </w:pPr>
      <w:r>
        <w:rPr>
          <w:rFonts w:ascii="Arial" w:cs="Arial" w:eastAsia="Arial" w:hAnsi="Arial"/>
          <w:sz w:val="18"/>
          <w:szCs w:val="18"/>
          <w:color w:val="auto"/>
        </w:rPr>
        <w:t xml:space="preserve">the Registrant’s Current Reports on Form 8-K filed with the Commission on </w:t>
      </w:r>
      <w:hyperlink r:id="rId13">
        <w:r>
          <w:rPr>
            <w:rFonts w:ascii="Arial" w:cs="Arial" w:eastAsia="Arial" w:hAnsi="Arial"/>
            <w:sz w:val="18"/>
            <w:szCs w:val="18"/>
            <w:u w:val="single" w:color="auto"/>
            <w:color w:val="0000FF"/>
          </w:rPr>
          <w:t>January 18,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(but only with respect to Items 1.01, 3.02, 5.02 and Exhibits 2.1, 10.1, 10.2, 10.3 and 10.4 thereto), </w:t>
      </w:r>
      <w:hyperlink r:id="rId14">
        <w:r>
          <w:rPr>
            <w:rFonts w:ascii="Arial" w:cs="Arial" w:eastAsia="Arial" w:hAnsi="Arial"/>
            <w:sz w:val="18"/>
            <w:szCs w:val="18"/>
            <w:u w:val="single" w:color="auto"/>
            <w:color w:val="0000FF"/>
          </w:rPr>
          <w:t>January 31, 2022</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FF"/>
            <w:highlight w:val="white"/>
          </w:rPr>
          <w:t>March 14,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(but only with respect to Item 4.02 and 9.01 thereto), </w:t>
      </w:r>
      <w:hyperlink r:id="rId16">
        <w:r>
          <w:rPr>
            <w:rFonts w:ascii="Arial" w:cs="Arial" w:eastAsia="Arial" w:hAnsi="Arial"/>
            <w:sz w:val="18"/>
            <w:szCs w:val="18"/>
            <w:u w:val="single" w:color="auto"/>
            <w:color w:val="0000FF"/>
          </w:rPr>
          <w:t>April 27, 2022</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hyperlink r:id="rId17">
        <w:r>
          <w:rPr>
            <w:rFonts w:ascii="Arial" w:cs="Arial" w:eastAsia="Arial" w:hAnsi="Arial"/>
            <w:sz w:val="18"/>
            <w:szCs w:val="18"/>
            <w:u w:val="single" w:color="auto"/>
            <w:color w:val="0000FF"/>
          </w:rPr>
          <w:t xml:space="preserve">May 2, 2022 </w:t>
        </w:r>
      </w:hyperlink>
      <w:r>
        <w:rPr>
          <w:rFonts w:ascii="Arial" w:cs="Arial" w:eastAsia="Arial" w:hAnsi="Arial"/>
          <w:sz w:val="18"/>
          <w:szCs w:val="18"/>
          <w:color w:val="000000"/>
        </w:rPr>
        <w:t>(but</w:t>
      </w:r>
      <w:r>
        <w:rPr>
          <w:rFonts w:ascii="Arial" w:cs="Arial" w:eastAsia="Arial" w:hAnsi="Arial"/>
          <w:sz w:val="18"/>
          <w:szCs w:val="18"/>
          <w:color w:val="0000FF"/>
        </w:rPr>
        <w:t xml:space="preserve"> </w:t>
      </w:r>
      <w:r>
        <w:rPr>
          <w:rFonts w:ascii="Arial" w:cs="Arial" w:eastAsia="Arial" w:hAnsi="Arial"/>
          <w:sz w:val="18"/>
          <w:szCs w:val="18"/>
          <w:color w:val="000000"/>
        </w:rPr>
        <w:t>only with respect to Items 1.01, 2.01, 3.02, 5.02, 5.03, 8.01 and Exhibits 2.1, 3.1, 10.1, 10.2, 23.1, 99.2</w:t>
      </w:r>
      <w:r>
        <w:rPr>
          <w:rFonts w:ascii="Arial" w:cs="Arial" w:eastAsia="Arial" w:hAnsi="Arial"/>
          <w:sz w:val="18"/>
          <w:szCs w:val="18"/>
          <w:color w:val="0000FF"/>
        </w:rPr>
        <w:t xml:space="preserve"> </w:t>
      </w:r>
      <w:r>
        <w:rPr>
          <w:rFonts w:ascii="Arial" w:cs="Arial" w:eastAsia="Arial" w:hAnsi="Arial"/>
          <w:sz w:val="18"/>
          <w:szCs w:val="18"/>
          <w:color w:val="000000"/>
        </w:rPr>
        <w:t>and 99.3 thereto); and</w:t>
      </w:r>
    </w:p>
    <w:p>
      <w:pPr>
        <w:spacing w:after="0" w:line="121" w:lineRule="exact"/>
        <w:rPr>
          <w:rFonts w:ascii="Arial" w:cs="Arial" w:eastAsia="Arial" w:hAnsi="Arial"/>
          <w:sz w:val="18"/>
          <w:szCs w:val="18"/>
          <w:color w:val="0000FF"/>
        </w:rPr>
      </w:pPr>
    </w:p>
    <w:p>
      <w:pPr>
        <w:jc w:val="both"/>
        <w:ind w:left="980" w:hanging="324"/>
        <w:spacing w:after="0" w:line="276" w:lineRule="auto"/>
        <w:tabs>
          <w:tab w:leader="none" w:pos="97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Class A Common Stock contained in the Registrant’s Registration Statement on </w:t>
      </w:r>
      <w:hyperlink r:id="rId18">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Commission on August 31, 2020, as updated by the description of the Registrant’s Class A Common Stock contained in Exhibit 4.4 to the 2021 Annual Report on </w:t>
      </w:r>
      <w:hyperlink r:id="rId19">
        <w:r>
          <w:rPr>
            <w:rFonts w:ascii="Arial" w:cs="Arial" w:eastAsia="Arial" w:hAnsi="Arial"/>
            <w:sz w:val="16"/>
            <w:szCs w:val="16"/>
            <w:u w:val="single" w:color="auto"/>
            <w:color w:val="0000FF"/>
          </w:rPr>
          <w:t>Form 10-K</w:t>
        </w:r>
      </w:hyperlink>
      <w:r>
        <w:rPr>
          <w:rFonts w:ascii="Arial" w:cs="Arial" w:eastAsia="Arial" w:hAnsi="Arial"/>
          <w:sz w:val="16"/>
          <w:szCs w:val="16"/>
          <w:color w:val="auto"/>
        </w:rPr>
        <w:t>, including any subsequent amendments or reports filed for the purpose of updating such description.</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4625340</wp:posOffset>
            </wp:positionH>
            <wp:positionV relativeFrom="paragraph">
              <wp:posOffset>-975995</wp:posOffset>
            </wp:positionV>
            <wp:extent cx="2511425" cy="248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511425" cy="248285"/>
                    </a:xfrm>
                    <a:prstGeom prst="rect">
                      <a:avLst/>
                    </a:prstGeom>
                    <a:noFill/>
                  </pic:spPr>
                </pic:pic>
              </a:graphicData>
            </a:graphic>
          </wp:anchor>
        </w:drawing>
      </w:r>
    </w:p>
    <w:p>
      <w:pPr>
        <w:spacing w:after="0" w:line="74" w:lineRule="exact"/>
        <w:rPr>
          <w:rFonts w:ascii="Arial" w:cs="Arial" w:eastAsia="Arial" w:hAnsi="Arial"/>
          <w:sz w:val="16"/>
          <w:szCs w:val="16"/>
          <w:color w:val="auto"/>
        </w:rPr>
      </w:pPr>
    </w:p>
    <w:p>
      <w:pPr>
        <w:jc w:val="both"/>
        <w:ind w:firstLine="648"/>
        <w:spacing w:after="0" w:line="228" w:lineRule="auto"/>
        <w:rPr>
          <w:sz w:val="20"/>
          <w:szCs w:val="20"/>
          <w:color w:val="auto"/>
        </w:rPr>
      </w:pPr>
      <w:r>
        <w:rPr>
          <w:rFonts w:ascii="Arial" w:cs="Arial" w:eastAsia="Arial" w:hAnsi="Arial"/>
          <w:sz w:val="17"/>
          <w:szCs w:val="17"/>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11" w:lineRule="exact"/>
        <w:rPr>
          <w:rFonts w:ascii="Arial" w:cs="Arial" w:eastAsia="Arial" w:hAnsi="Arial"/>
          <w:sz w:val="16"/>
          <w:szCs w:val="16"/>
          <w:color w:val="auto"/>
        </w:rPr>
      </w:pPr>
    </w:p>
    <w:p>
      <w:pPr>
        <w:jc w:val="both"/>
        <w:ind w:firstLine="648"/>
        <w:spacing w:after="0" w:line="21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spacing w:after="0" w:line="10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3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3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35" w:lineRule="exact"/>
        <w:rPr>
          <w:rFonts w:ascii="Arial" w:cs="Arial" w:eastAsia="Arial" w:hAnsi="Arial"/>
          <w:sz w:val="16"/>
          <w:szCs w:val="16"/>
          <w:color w:val="auto"/>
        </w:rPr>
      </w:pPr>
    </w:p>
    <w:p>
      <w:pPr>
        <w:jc w:val="both"/>
        <w:spacing w:after="0" w:line="214" w:lineRule="auto"/>
        <w:rPr>
          <w:sz w:val="20"/>
          <w:szCs w:val="20"/>
          <w:color w:val="auto"/>
        </w:rPr>
      </w:pPr>
      <w:r>
        <w:rPr>
          <w:rFonts w:ascii="Arial" w:cs="Arial" w:eastAsia="Arial" w:hAnsi="Arial"/>
          <w:sz w:val="18"/>
          <w:szCs w:val="18"/>
          <w:color w:val="auto"/>
        </w:rPr>
        <w:t>The Registrant is incorporated under the laws of the State of Delaware.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(the "Certificate of Incorporation") permits indemnification of its directors to the fullest extent permitted by Delaware law, and the Registrant’s restated bylaws (the "Bylaws") provide that the Registrant will indemnify its directors and permit the Registrant to indemnify its officers and employees when determined appropriate by the Registrant's board of directors.</w:t>
      </w:r>
    </w:p>
    <w:p>
      <w:pPr>
        <w:spacing w:after="0" w:line="108" w:lineRule="exact"/>
        <w:rPr>
          <w:rFonts w:ascii="Arial" w:cs="Arial" w:eastAsia="Arial" w:hAnsi="Arial"/>
          <w:sz w:val="16"/>
          <w:szCs w:val="16"/>
          <w:color w:val="auto"/>
        </w:rPr>
      </w:pPr>
    </w:p>
    <w:p>
      <w:pPr>
        <w:jc w:val="both"/>
        <w:spacing w:after="0" w:line="232" w:lineRule="auto"/>
        <w:rPr>
          <w:sz w:val="20"/>
          <w:szCs w:val="20"/>
          <w:color w:val="auto"/>
        </w:rPr>
      </w:pPr>
      <w:r>
        <w:rPr>
          <w:rFonts w:ascii="Arial" w:cs="Arial" w:eastAsia="Arial" w:hAnsi="Arial"/>
          <w:sz w:val="17"/>
          <w:szCs w:val="17"/>
          <w:color w:val="auto"/>
        </w:rPr>
        <w:t>The Registrant has entered into indemnification agreements with each of its directors and executive officers and certain other key employees, whereby the Registrant has agreed to indemnify its directors, executive officers, and such other key employees against any and all expenses incurred by that director, executive officer, or other key employee because of his or her status as one of the Registrant's directors, executive officers, or other key employees, to the fullest extent permitted by Delaware law, the Certificate of Incorporation and Bylaws. In addition, the</w:t>
      </w:r>
    </w:p>
    <w:p>
      <w:pPr>
        <w:sectPr>
          <w:pgSz w:w="11900" w:h="16838" w:orient="portrait"/>
          <w:cols w:equalWidth="0" w:num="1">
            <w:col w:w="11240"/>
          </w:cols>
          <w:pgMar w:left="320" w:top="1431" w:right="339" w:bottom="1440" w:gutter="0" w:footer="0" w:header="0"/>
        </w:sectPr>
      </w:pPr>
    </w:p>
    <w:bookmarkStart w:id="3" w:name="page4"/>
    <w:bookmarkEnd w:id="3"/>
    <w:p>
      <w:pPr>
        <w:jc w:val="both"/>
        <w:spacing w:after="0" w:line="224" w:lineRule="auto"/>
        <w:rPr>
          <w:sz w:val="20"/>
          <w:szCs w:val="20"/>
          <w:color w:val="auto"/>
        </w:rPr>
      </w:pPr>
      <w:r>
        <w:rPr>
          <w:rFonts w:ascii="Arial" w:cs="Arial" w:eastAsia="Arial" w:hAnsi="Arial"/>
          <w:sz w:val="18"/>
          <w:szCs w:val="18"/>
          <w:color w:val="auto"/>
        </w:rPr>
        <w:t>indemnification agreements provide that, to the fullest extent permitted by Delaware law, the Registrant will advance all expenses incurred by its directors, executive officers, and other key employees in connection with a legal proceeding involving his or her status as a director, executive officer, or key employee.</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present, there is no pending litigation or proceeding involving a director or executive officer of the Registrant regarding which indemnification is sought, nor is the Registrant aware of any threatened litigation that may result in claims for indemnification.</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Registrant maintains insurance policies that indemnify its directors and executive officers against various liabilities arising under the Securities Act and the Exchange Act that might be incurred by any director or executive officer in his or her capacity as such.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3"/>
              </w:rPr>
              <w:t>Incorporated by Reference</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15"/>
            <w:vMerge w:val="restart"/>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vMerge w:val="restart"/>
          </w:tcPr>
          <w:p>
            <w:pPr>
              <w:spacing w:after="0"/>
              <w:rPr>
                <w:sz w:val="14"/>
                <w:szCs w:val="14"/>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70"/>
        </w:trPr>
        <w:tc>
          <w:tcPr>
            <w:tcW w:w="900" w:type="dxa"/>
            <w:vAlign w:val="bottom"/>
          </w:tcPr>
          <w:p>
            <w:pPr>
              <w:jc w:val="center"/>
              <w:spacing w:after="0" w:line="171" w:lineRule="exact"/>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20" w:type="dxa"/>
            <w:vAlign w:val="bottom"/>
            <w:gridSpan w:val="19"/>
          </w:tcPr>
          <w:p>
            <w:pPr>
              <w:spacing w:after="0" w:line="171" w:lineRule="exact"/>
              <w:rPr>
                <w:rFonts w:ascii="Arial" w:cs="Arial" w:eastAsia="Arial" w:hAnsi="Arial"/>
                <w:sz w:val="16"/>
                <w:szCs w:val="16"/>
                <w:color w:val="0000FF"/>
                <w:w w:val="97"/>
              </w:rPr>
            </w:pPr>
            <w:hyperlink r:id="rId21">
              <w:r>
                <w:rPr>
                  <w:rFonts w:ascii="Arial" w:cs="Arial" w:eastAsia="Arial" w:hAnsi="Arial"/>
                  <w:sz w:val="16"/>
                  <w:szCs w:val="16"/>
                  <w:color w:val="0000FF"/>
                  <w:w w:val="97"/>
                </w:rPr>
                <w:t>Third Amended and Restated Certificate of Incorporation of</w:t>
              </w:r>
            </w:hyperlink>
          </w:p>
        </w:tc>
        <w:tc>
          <w:tcPr>
            <w:tcW w:w="740" w:type="dxa"/>
            <w:vAlign w:val="bottom"/>
            <w:gridSpan w:val="2"/>
          </w:tcPr>
          <w:p>
            <w:pPr>
              <w:jc w:val="center"/>
              <w:ind w:right="100"/>
              <w:spacing w:after="0" w:line="171" w:lineRule="exact"/>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line="171" w:lineRule="exact"/>
              <w:rPr>
                <w:sz w:val="20"/>
                <w:szCs w:val="20"/>
                <w:color w:val="auto"/>
              </w:rPr>
            </w:pPr>
            <w:r>
              <w:rPr>
                <w:rFonts w:ascii="Arial" w:cs="Arial" w:eastAsia="Arial" w:hAnsi="Arial"/>
                <w:sz w:val="16"/>
                <w:szCs w:val="16"/>
                <w:color w:val="auto"/>
                <w:w w:val="91"/>
              </w:rPr>
              <w:t>001-39482</w:t>
            </w:r>
          </w:p>
        </w:tc>
        <w:tc>
          <w:tcPr>
            <w:tcW w:w="12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4"/>
                <w:szCs w:val="14"/>
                <w:color w:val="auto"/>
              </w:rPr>
            </w:pPr>
          </w:p>
        </w:tc>
        <w:tc>
          <w:tcPr>
            <w:tcW w:w="1700" w:type="dxa"/>
            <w:vAlign w:val="bottom"/>
            <w:gridSpan w:val="2"/>
          </w:tcPr>
          <w:p>
            <w:pPr>
              <w:jc w:val="center"/>
              <w:ind w:right="100"/>
              <w:spacing w:after="0" w:line="171" w:lineRule="exact"/>
              <w:rPr>
                <w:sz w:val="20"/>
                <w:szCs w:val="20"/>
                <w:color w:val="auto"/>
              </w:rPr>
            </w:pPr>
            <w:r>
              <w:rPr>
                <w:rFonts w:ascii="Arial" w:cs="Arial" w:eastAsia="Arial" w:hAnsi="Arial"/>
                <w:sz w:val="16"/>
                <w:szCs w:val="16"/>
                <w:color w:val="auto"/>
                <w:w w:val="92"/>
              </w:rPr>
              <w:t>July 28, 2021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88"/>
              </w:rPr>
            </w:pPr>
            <w:hyperlink r:id="rId21">
              <w:r>
                <w:rPr>
                  <w:rFonts w:ascii="Arial" w:cs="Arial" w:eastAsia="Arial" w:hAnsi="Arial"/>
                  <w:sz w:val="16"/>
                  <w:szCs w:val="16"/>
                  <w:color w:val="0000FF"/>
                  <w:w w:val="88"/>
                </w:rPr>
                <w:t>Sema4 Holdings Corp.</w:t>
              </w:r>
            </w:hyperlink>
          </w:p>
        </w:tc>
        <w:tc>
          <w:tcPr>
            <w:tcW w:w="242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r:id="rId22">
              <w:r>
                <w:rPr>
                  <w:rFonts w:ascii="Arial" w:cs="Arial" w:eastAsia="Arial" w:hAnsi="Arial"/>
                  <w:sz w:val="16"/>
                  <w:szCs w:val="16"/>
                  <w:color w:val="0000FF"/>
                </w:rPr>
                <w:t>Certificate of Amendment to the Third Amended and</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001-39482</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120" w:type="dxa"/>
            <w:vAlign w:val="bottom"/>
            <w:gridSpan w:val="19"/>
          </w:tcPr>
          <w:p>
            <w:pPr>
              <w:spacing w:after="0" w:line="155" w:lineRule="exact"/>
              <w:rPr>
                <w:rFonts w:ascii="Arial" w:cs="Arial" w:eastAsia="Arial" w:hAnsi="Arial"/>
                <w:sz w:val="16"/>
                <w:szCs w:val="16"/>
                <w:color w:val="0000FF"/>
              </w:rPr>
            </w:pPr>
            <w:hyperlink r:id="rId22">
              <w:r>
                <w:rPr>
                  <w:rFonts w:ascii="Arial" w:cs="Arial" w:eastAsia="Arial" w:hAnsi="Arial"/>
                  <w:sz w:val="16"/>
                  <w:szCs w:val="16"/>
                  <w:color w:val="0000FF"/>
                </w:rPr>
                <w:t>Restated Certificate of Incorporation of Sema4 Holdings</w:t>
              </w:r>
            </w:hyperlink>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tcBorders>
              <w:top w:val="single" w:sz="8" w:color="0000FF"/>
            </w:tcBorders>
            <w:gridSpan w:val="13"/>
          </w:tcPr>
          <w:p>
            <w:pPr>
              <w:spacing w:after="0" w:line="155" w:lineRule="exact"/>
              <w:rPr>
                <w:rFonts w:ascii="Arial" w:cs="Arial" w:eastAsia="Arial" w:hAnsi="Arial"/>
                <w:sz w:val="16"/>
                <w:szCs w:val="16"/>
                <w:color w:val="0000FF"/>
              </w:rPr>
            </w:pPr>
            <w:hyperlink r:id="rId22">
              <w:r>
                <w:rPr>
                  <w:rFonts w:ascii="Arial" w:cs="Arial" w:eastAsia="Arial" w:hAnsi="Arial"/>
                  <w:sz w:val="16"/>
                  <w:szCs w:val="16"/>
                  <w:color w:val="0000FF"/>
                </w:rPr>
                <w:t>Corp.</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Borders>
              <w:bottom w:val="single" w:sz="8" w:color="0000FF"/>
            </w:tcBorders>
            <w:gridSpan w:val="12"/>
          </w:tcPr>
          <w:p>
            <w:pPr>
              <w:spacing w:after="0"/>
              <w:rPr>
                <w:rFonts w:ascii="Arial" w:cs="Arial" w:eastAsia="Arial" w:hAnsi="Arial"/>
                <w:sz w:val="16"/>
                <w:szCs w:val="16"/>
                <w:color w:val="0000FF"/>
                <w:w w:val="91"/>
              </w:rPr>
            </w:pPr>
            <w:hyperlink r:id="rId23">
              <w:r>
                <w:rPr>
                  <w:rFonts w:ascii="Arial" w:cs="Arial" w:eastAsia="Arial" w:hAnsi="Arial"/>
                  <w:sz w:val="16"/>
                  <w:szCs w:val="16"/>
                  <w:color w:val="0000FF"/>
                  <w:w w:val="91"/>
                </w:rPr>
                <w:t>Bylaws of Sema4 Holdings Corp., as currently in effect.</w:t>
              </w:r>
            </w:hyperlink>
          </w:p>
        </w:tc>
        <w:tc>
          <w:tcPr>
            <w:tcW w:w="520" w:type="dxa"/>
            <w:vAlign w:val="bottom"/>
            <w:gridSpan w:val="7"/>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001-39482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28, 2021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Opinion of Fenwick &amp; West LLP.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line="20" w:lineRule="exact"/>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Consent of Ernst &amp; Young LLP, Independent Registered</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2"/>
              </w:rPr>
            </w:pPr>
            <w:hyperlink w:anchor="page11">
              <w:r>
                <w:rPr>
                  <w:rFonts w:ascii="Arial" w:cs="Arial" w:eastAsia="Arial" w:hAnsi="Arial"/>
                  <w:sz w:val="16"/>
                  <w:szCs w:val="16"/>
                  <w:color w:val="0000FF"/>
                  <w:w w:val="92"/>
                </w:rPr>
                <w:t>Public Accounting Firm for Sema4 Holdings Corp.</w:t>
              </w:r>
            </w:hyperlink>
          </w:p>
        </w:tc>
        <w:tc>
          <w:tcPr>
            <w:tcW w:w="320" w:type="dxa"/>
            <w:vAlign w:val="bottom"/>
            <w:tcBorders>
              <w:top w:val="single" w:sz="8" w:color="0000FF"/>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Consent of Ernst &amp; Young LLP, Independent Auditors for</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2">
              <w:r>
                <w:rPr>
                  <w:rFonts w:ascii="Arial" w:cs="Arial" w:eastAsia="Arial" w:hAnsi="Arial"/>
                  <w:sz w:val="16"/>
                  <w:szCs w:val="16"/>
                  <w:color w:val="0000FF"/>
                </w:rPr>
                <w:t>GeneDx, Inc.</w:t>
              </w:r>
            </w:hyperlink>
          </w:p>
        </w:tc>
        <w:tc>
          <w:tcPr>
            <w:tcW w:w="2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line="20" w:lineRule="exact"/>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23.3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w w:val="98"/>
              </w:rPr>
            </w:pPr>
            <w:hyperlink w:anchor="page9">
              <w:r>
                <w:rPr>
                  <w:rFonts w:ascii="Arial" w:cs="Arial" w:eastAsia="Arial" w:hAnsi="Arial"/>
                  <w:sz w:val="16"/>
                  <w:szCs w:val="16"/>
                  <w:color w:val="0000FF"/>
                  <w:w w:val="98"/>
                </w:rPr>
                <w:t>Consent of Fenwick &amp; West LLP (contained in Exhibit 5.1).</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line="20" w:lineRule="exact"/>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Power of Attorney (included on the signature page of this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8"/>
              </w:rPr>
            </w:pPr>
            <w:hyperlink w:anchor="page6">
              <w:r>
                <w:rPr>
                  <w:rFonts w:ascii="Arial" w:cs="Arial" w:eastAsia="Arial" w:hAnsi="Arial"/>
                  <w:sz w:val="16"/>
                  <w:szCs w:val="16"/>
                  <w:color w:val="0000FF"/>
                  <w:w w:val="88"/>
                </w:rPr>
                <w:t>Registration Statement).</w:t>
              </w:r>
            </w:hyperlink>
          </w:p>
        </w:tc>
        <w:tc>
          <w:tcPr>
            <w:tcW w:w="2140" w:type="dxa"/>
            <w:vAlign w:val="bottom"/>
            <w:tcBorders>
              <w:top w:val="single" w:sz="8" w:color="0000FF"/>
            </w:tcBorders>
            <w:gridSpan w:val="9"/>
          </w:tcPr>
          <w:p>
            <w:pPr>
              <w:spacing w:after="0"/>
              <w:rPr>
                <w:sz w:val="12"/>
                <w:szCs w:val="12"/>
                <w:color w:val="auto"/>
              </w:rPr>
            </w:pPr>
          </w:p>
        </w:tc>
        <w:tc>
          <w:tcPr>
            <w:tcW w:w="220" w:type="dxa"/>
            <w:vAlign w:val="bottom"/>
            <w:gridSpan w:val="3"/>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r:id="rId24">
              <w:r>
                <w:rPr>
                  <w:rFonts w:ascii="Arial" w:cs="Arial" w:eastAsia="Arial" w:hAnsi="Arial"/>
                  <w:sz w:val="16"/>
                  <w:szCs w:val="16"/>
                  <w:color w:val="0000FF"/>
                </w:rPr>
                <w:t>Sema4 Holdings Corp. 2021 Equity Incentive Plan.</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001-39482</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28,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line="20" w:lineRule="exact"/>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w w:val="97"/>
              </w:rPr>
            </w:pPr>
            <w:hyperlink w:anchor="page13">
              <w:r>
                <w:rPr>
                  <w:rFonts w:ascii="Arial" w:cs="Arial" w:eastAsia="Arial" w:hAnsi="Arial"/>
                  <w:sz w:val="16"/>
                  <w:szCs w:val="16"/>
                  <w:color w:val="0000FF"/>
                  <w:w w:val="97"/>
                </w:rPr>
                <w:t>Notice of Inducement Restricted Stock Unit Grant and Form</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1"/>
              </w:rPr>
            </w:pPr>
            <w:hyperlink w:anchor="page13">
              <w:r>
                <w:rPr>
                  <w:rFonts w:ascii="Arial" w:cs="Arial" w:eastAsia="Arial" w:hAnsi="Arial"/>
                  <w:sz w:val="16"/>
                  <w:szCs w:val="16"/>
                  <w:color w:val="0000FF"/>
                  <w:w w:val="91"/>
                </w:rPr>
                <w:t>of Inducement Restricted Stock Unit Agreement.</w:t>
              </w:r>
            </w:hyperlink>
          </w:p>
        </w:tc>
        <w:tc>
          <w:tcPr>
            <w:tcW w:w="760" w:type="dxa"/>
            <w:vAlign w:val="bottom"/>
            <w:tcBorders>
              <w:top w:val="single" w:sz="8" w:color="0000FF"/>
            </w:tcBorders>
            <w:gridSpan w:val="9"/>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99.3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gridSpan w:val="19"/>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Notice of Inducement Stock Option Grant and Form of</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19">
              <w:r>
                <w:rPr>
                  <w:rFonts w:ascii="Arial" w:cs="Arial" w:eastAsia="Arial" w:hAnsi="Arial"/>
                  <w:sz w:val="16"/>
                  <w:szCs w:val="16"/>
                  <w:color w:val="0000FF"/>
                </w:rPr>
                <w:t>Inducement Stock Option Agreement.</w:t>
              </w:r>
            </w:hyperlink>
          </w:p>
        </w:tc>
        <w:tc>
          <w:tcPr>
            <w:tcW w:w="600" w:type="dxa"/>
            <w:vAlign w:val="bottom"/>
            <w:gridSpan w:val="8"/>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87"/>
              </w:rPr>
            </w:pPr>
            <w:hyperlink w:anchor="page8">
              <w:r>
                <w:rPr>
                  <w:rFonts w:ascii="Arial" w:cs="Arial" w:eastAsia="Arial" w:hAnsi="Arial"/>
                  <w:sz w:val="16"/>
                  <w:szCs w:val="16"/>
                  <w:color w:val="0000FF"/>
                  <w:w w:val="87"/>
                </w:rPr>
                <w:t>Filing Fee Table.</w:t>
              </w:r>
            </w:hyperlink>
          </w:p>
        </w:tc>
        <w:tc>
          <w:tcPr>
            <w:tcW w:w="1360" w:type="dxa"/>
            <w:vAlign w:val="bottom"/>
            <w:tcBorders>
              <w:top w:val="single" w:sz="8" w:color="0000FF"/>
            </w:tcBorders>
            <w:gridSpan w:val="4"/>
          </w:tcPr>
          <w:p>
            <w:pPr>
              <w:spacing w:after="0"/>
              <w:rPr>
                <w:sz w:val="17"/>
                <w:szCs w:val="17"/>
                <w:color w:val="auto"/>
              </w:rPr>
            </w:pPr>
          </w:p>
        </w:tc>
        <w:tc>
          <w:tcPr>
            <w:tcW w:w="170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jc w:val="both"/>
        <w:ind w:left="1300" w:hanging="320"/>
        <w:spacing w:after="0" w:line="231" w:lineRule="auto"/>
        <w:tabs>
          <w:tab w:leader="none" w:pos="129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w:t>
      </w:r>
    </w:p>
    <w:p>
      <w:pPr>
        <w:sectPr>
          <w:pgSz w:w="11900" w:h="16838" w:orient="portrait"/>
          <w:cols w:equalWidth="0" w:num="1">
            <w:col w:w="11240"/>
          </w:cols>
          <w:pgMar w:left="320" w:top="1408" w:right="339" w:bottom="1440" w:gutter="0" w:footer="0" w:header="0"/>
        </w:sectPr>
      </w:pPr>
    </w:p>
    <w:bookmarkStart w:id="4" w:name="page5"/>
    <w:bookmarkEnd w:id="4"/>
    <w:p>
      <w:pPr>
        <w:jc w:val="both"/>
        <w:ind w:left="1300"/>
        <w:spacing w:after="0" w:line="276" w:lineRule="auto"/>
        <w:rPr>
          <w:sz w:val="20"/>
          <w:szCs w:val="20"/>
          <w:color w:val="auto"/>
        </w:rPr>
      </w:pPr>
      <w:r>
        <w:rPr>
          <w:rFonts w:ascii="Arial" w:cs="Arial" w:eastAsia="Arial" w:hAnsi="Arial"/>
          <w:sz w:val="16"/>
          <w:szCs w:val="16"/>
          <w:color w:val="auto"/>
        </w:rPr>
        <w:t>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sz w:val="20"/>
          <w:szCs w:val="20"/>
          <w:color w:val="auto"/>
        </w:rPr>
      </w:pPr>
    </w:p>
    <w:p>
      <w:pPr>
        <w:ind w:left="1300" w:hanging="320"/>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11" w:lineRule="exact"/>
        <w:rPr>
          <w:sz w:val="20"/>
          <w:szCs w:val="20"/>
          <w:color w:val="auto"/>
        </w:rPr>
      </w:pPr>
    </w:p>
    <w:p>
      <w:pPr>
        <w:jc w:val="both"/>
        <w:ind w:left="980" w:hanging="324"/>
        <w:spacing w:after="0" w:line="235"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0" w:lineRule="exact"/>
        <w:rPr>
          <w:rFonts w:ascii="Arial" w:cs="Arial" w:eastAsia="Arial" w:hAnsi="Arial"/>
          <w:sz w:val="18"/>
          <w:szCs w:val="18"/>
          <w:color w:val="auto"/>
        </w:rPr>
      </w:pPr>
    </w:p>
    <w:p>
      <w:pPr>
        <w:ind w:left="980" w:hanging="324"/>
        <w:spacing w:after="0" w:line="246"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5" w:lineRule="exact"/>
        <w:rPr>
          <w:rFonts w:ascii="Arial" w:cs="Arial" w:eastAsia="Arial" w:hAnsi="Arial"/>
          <w:sz w:val="18"/>
          <w:szCs w:val="18"/>
          <w:color w:val="auto"/>
        </w:rPr>
      </w:pPr>
    </w:p>
    <w:p>
      <w:pPr>
        <w:jc w:val="both"/>
        <w:ind w:left="660" w:hanging="328"/>
        <w:spacing w:after="0" w:line="228"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23" w:lineRule="exact"/>
        <w:rPr>
          <w:rFonts w:ascii="Arial" w:cs="Arial" w:eastAsia="Arial" w:hAnsi="Arial"/>
          <w:sz w:val="18"/>
          <w:szCs w:val="18"/>
          <w:color w:val="auto"/>
        </w:rPr>
      </w:pPr>
    </w:p>
    <w:p>
      <w:pPr>
        <w:jc w:val="both"/>
        <w:ind w:left="660" w:hanging="328"/>
        <w:spacing w:after="0" w:line="238" w:lineRule="auto"/>
        <w:tabs>
          <w:tab w:leader="none" w:pos="657"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2nd day of May, 2022.</w:t>
      </w:r>
    </w:p>
    <w:p>
      <w:pPr>
        <w:spacing w:after="0" w:line="172"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SEMA4 HOLDINGS CORP.</w:t>
      </w:r>
    </w:p>
    <w:p>
      <w:pPr>
        <w:spacing w:after="0" w:line="256" w:lineRule="exact"/>
        <w:rPr>
          <w:sz w:val="20"/>
          <w:szCs w:val="20"/>
          <w:color w:val="auto"/>
        </w:rPr>
      </w:pPr>
    </w:p>
    <w:tbl>
      <w:tblPr>
        <w:tblLayout w:type="fixed"/>
        <w:tblInd w:w="85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0"/>
              </w:rPr>
              <w:t>/s/ Katherine Stueland</w:t>
            </w:r>
          </w:p>
        </w:tc>
      </w:tr>
      <w:tr>
        <w:trPr>
          <w:trHeight w:val="222"/>
        </w:trPr>
        <w:tc>
          <w:tcPr>
            <w:tcW w:w="360" w:type="dxa"/>
            <w:vAlign w:val="bottom"/>
          </w:tcPr>
          <w:p>
            <w:pPr>
              <w:spacing w:after="0"/>
              <w:rPr>
                <w:sz w:val="19"/>
                <w:szCs w:val="19"/>
                <w:color w:val="auto"/>
              </w:rPr>
            </w:pPr>
          </w:p>
        </w:tc>
        <w:tc>
          <w:tcPr>
            <w:tcW w:w="2300" w:type="dxa"/>
            <w:vAlign w:val="bottom"/>
          </w:tcPr>
          <w:p>
            <w:pPr>
              <w:ind w:left="680"/>
              <w:spacing w:after="0"/>
              <w:rPr>
                <w:sz w:val="20"/>
                <w:szCs w:val="20"/>
                <w:color w:val="auto"/>
              </w:rPr>
            </w:pPr>
            <w:r>
              <w:rPr>
                <w:rFonts w:ascii="Arial" w:cs="Arial" w:eastAsia="Arial" w:hAnsi="Arial"/>
                <w:sz w:val="18"/>
                <w:szCs w:val="18"/>
                <w:color w:val="auto"/>
              </w:rPr>
              <w:t>Katherine Stueland</w:t>
            </w:r>
          </w:p>
        </w:tc>
      </w:tr>
      <w:tr>
        <w:trPr>
          <w:trHeight w:val="176"/>
        </w:trPr>
        <w:tc>
          <w:tcPr>
            <w:tcW w:w="360" w:type="dxa"/>
            <w:vAlign w:val="bottom"/>
          </w:tcPr>
          <w:p>
            <w:pPr>
              <w:spacing w:after="0"/>
              <w:rPr>
                <w:sz w:val="15"/>
                <w:szCs w:val="15"/>
                <w:color w:val="auto"/>
              </w:rPr>
            </w:pPr>
          </w:p>
        </w:tc>
        <w:tc>
          <w:tcPr>
            <w:tcW w:w="2300" w:type="dxa"/>
            <w:vAlign w:val="bottom"/>
          </w:tcPr>
          <w:p>
            <w:pPr>
              <w:ind w:left="680"/>
              <w:spacing w:after="0" w:line="176" w:lineRule="exact"/>
              <w:rPr>
                <w:sz w:val="20"/>
                <w:szCs w:val="20"/>
                <w:color w:val="auto"/>
              </w:rPr>
            </w:pPr>
            <w:r>
              <w:rPr>
                <w:rFonts w:ascii="Arial" w:cs="Arial" w:eastAsia="Arial" w:hAnsi="Arial"/>
                <w:sz w:val="18"/>
                <w:szCs w:val="18"/>
                <w:color w:val="auto"/>
              </w:rPr>
              <w:t>Chief Executive</w:t>
            </w:r>
          </w:p>
        </w:tc>
      </w:tr>
      <w:tr>
        <w:trPr>
          <w:trHeight w:val="230"/>
        </w:trPr>
        <w:tc>
          <w:tcPr>
            <w:tcW w:w="36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14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Katherine Stueland, Daniel Clark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404" w:right="339" w:bottom="1440" w:gutter="0" w:footer="0" w:header="0"/>
        </w:sectPr>
      </w:pPr>
    </w:p>
    <w:p>
      <w:pPr>
        <w:spacing w:after="0" w:line="159" w:lineRule="exact"/>
        <w:rPr>
          <w:sz w:val="20"/>
          <w:szCs w:val="20"/>
          <w:color w:val="auto"/>
        </w:rPr>
      </w:pPr>
    </w:p>
    <w:p>
      <w:pPr>
        <w:jc w:val="right"/>
        <w:ind w:right="11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5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Katherine Stueland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Isaac Ro</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Shawn 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Shawn Assad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Ryan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Dennis Charney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 D. Casdin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Emily Leproust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Joshua Ruch</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Meister</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Pellini</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Rachel Sherman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Pfenniger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Pfenniger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7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Schadt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3034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 and Director</w:t>
      </w: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Chief Financial Officer</w:t>
      </w: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Chief Accounting Officer</w:t>
      </w: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Research &amp; Development Officer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17145</wp:posOffset>
            </wp:positionV>
            <wp:extent cx="14319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55"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ectPr>
          <w:pgSz w:w="11900" w:h="16838" w:orient="portrait"/>
          <w:cols w:equalWidth="0" w:num="3">
            <w:col w:w="3500" w:space="720"/>
            <w:col w:w="4720" w:space="720"/>
            <w:col w:w="1580"/>
          </w:cols>
          <w:pgMar w:left="320" w:top="1404" w:right="339" w:bottom="1440" w:gutter="0" w:footer="0" w:header="0"/>
          <w:type w:val="continuous"/>
        </w:sectPr>
      </w:pPr>
    </w:p>
    <w:bookmarkStart w:id="7" w:name="page8"/>
    <w:bookmarkEnd w:id="7"/>
    <w:p>
      <w:pPr>
        <w:ind w:left="1036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Calculation of Filing Fee Table</w:t>
      </w:r>
    </w:p>
    <w:p>
      <w:pPr>
        <w:spacing w:after="0" w:line="17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Form S-8</w:t>
      </w:r>
    </w:p>
    <w:p>
      <w:pPr>
        <w:ind w:left="5160"/>
        <w:spacing w:after="0"/>
        <w:rPr>
          <w:sz w:val="20"/>
          <w:szCs w:val="20"/>
          <w:color w:val="auto"/>
        </w:rPr>
      </w:pPr>
      <w:r>
        <w:rPr>
          <w:rFonts w:ascii="Arial" w:cs="Arial" w:eastAsia="Arial" w:hAnsi="Arial"/>
          <w:sz w:val="18"/>
          <w:szCs w:val="18"/>
          <w:color w:val="auto"/>
        </w:rPr>
        <w:t>(Form Type)</w:t>
      </w:r>
    </w:p>
    <w:p>
      <w:pPr>
        <w:spacing w:after="0" w:line="15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Sema4 Holdings Corp.</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40575" cy="164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40575" cy="164592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Table 1 - Newly Registered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Fee Calculation</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480" w:type="dxa"/>
            <w:vAlign w:val="bottom"/>
            <w:tcBorders>
              <w:top w:val="single" w:sz="8" w:color="auto"/>
              <w:right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Proposed Maximum</w:t>
            </w:r>
          </w:p>
        </w:tc>
        <w:tc>
          <w:tcPr>
            <w:tcW w:w="1460" w:type="dxa"/>
            <w:vAlign w:val="bottom"/>
            <w:tcBorders>
              <w:top w:val="single" w:sz="8" w:color="auto"/>
              <w:right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7"/>
              </w:rPr>
              <w:t>Maximum</w:t>
            </w:r>
          </w:p>
        </w:tc>
        <w:tc>
          <w:tcPr>
            <w:tcW w:w="100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162"/>
        </w:trPr>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Offering Price Per</w:t>
            </w:r>
          </w:p>
        </w:tc>
        <w:tc>
          <w:tcPr>
            <w:tcW w:w="1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Aggregate Offering</w:t>
            </w:r>
          </w:p>
        </w:tc>
        <w:tc>
          <w:tcPr>
            <w:tcW w:w="1000" w:type="dxa"/>
            <w:vAlign w:val="bottom"/>
            <w:tcBorders>
              <w:right w:val="single" w:sz="8" w:color="auto"/>
            </w:tcBorders>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Security Type</w:t>
            </w:r>
          </w:p>
        </w:tc>
        <w:tc>
          <w:tcPr>
            <w:tcW w:w="1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w w:val="93"/>
              </w:rPr>
              <w:t>Security Class Title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Rule</w:t>
            </w:r>
          </w:p>
        </w:tc>
        <w:tc>
          <w:tcPr>
            <w:tcW w:w="14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21"/>
                <w:szCs w:val="21"/>
                <w:b w:val="1"/>
                <w:bCs w:val="1"/>
                <w:color w:val="auto"/>
                <w:w w:val="86"/>
                <w:vertAlign w:val="subscript"/>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Fee Rate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Registration Fee</w:t>
            </w:r>
          </w:p>
        </w:tc>
        <w:tc>
          <w:tcPr>
            <w:tcW w:w="0" w:type="dxa"/>
            <w:vAlign w:val="bottom"/>
          </w:tcPr>
          <w:p>
            <w:pPr>
              <w:spacing w:after="0"/>
              <w:rPr>
                <w:sz w:val="1"/>
                <w:szCs w:val="1"/>
                <w:color w:val="auto"/>
              </w:rPr>
            </w:pPr>
          </w:p>
        </w:tc>
      </w:tr>
      <w:tr>
        <w:trPr>
          <w:trHeight w:val="159"/>
        </w:trPr>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Class A common</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Rule 457(c) and Rule</w:t>
            </w:r>
          </w:p>
        </w:tc>
        <w:tc>
          <w:tcPr>
            <w:tcW w:w="14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stock, $0.0001 par</w:t>
            </w:r>
          </w:p>
        </w:tc>
        <w:tc>
          <w:tcPr>
            <w:tcW w:w="146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Equity</w:t>
            </w:r>
          </w:p>
        </w:tc>
        <w:tc>
          <w:tcPr>
            <w:tcW w:w="1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value per 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457(h)</w:t>
            </w:r>
          </w:p>
        </w:tc>
        <w:tc>
          <w:tcPr>
            <w:tcW w:w="146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6"/>
                <w:szCs w:val="16"/>
                <w:color w:val="auto"/>
                <w:w w:val="86"/>
              </w:rPr>
              <w:t>4,932,132</w:t>
            </w:r>
            <w:r>
              <w:rPr>
                <w:rFonts w:ascii="Arial" w:cs="Arial" w:eastAsia="Arial" w:hAnsi="Arial"/>
                <w:sz w:val="21"/>
                <w:szCs w:val="21"/>
                <w:color w:val="auto"/>
                <w:w w:val="86"/>
                <w:vertAlign w:val="subscript"/>
              </w:rPr>
              <w:t>(2)</w:t>
            </w:r>
          </w:p>
        </w:tc>
        <w:tc>
          <w:tcPr>
            <w:tcW w:w="148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6"/>
                <w:szCs w:val="16"/>
                <w:color w:val="auto"/>
                <w:w w:val="87"/>
              </w:rPr>
              <w:t>$2.17</w:t>
            </w:r>
            <w:r>
              <w:rPr>
                <w:rFonts w:ascii="Arial" w:cs="Arial" w:eastAsia="Arial" w:hAnsi="Arial"/>
                <w:sz w:val="21"/>
                <w:szCs w:val="21"/>
                <w:color w:val="auto"/>
                <w:w w:val="87"/>
                <w:vertAlign w:val="subscript"/>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$10,702,727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0.0000927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$993</w:t>
            </w:r>
          </w:p>
        </w:tc>
        <w:tc>
          <w:tcPr>
            <w:tcW w:w="0" w:type="dxa"/>
            <w:vAlign w:val="bottom"/>
          </w:tcPr>
          <w:p>
            <w:pPr>
              <w:spacing w:after="0"/>
              <w:rPr>
                <w:sz w:val="1"/>
                <w:szCs w:val="1"/>
                <w:color w:val="auto"/>
              </w:rPr>
            </w:pPr>
          </w:p>
        </w:tc>
      </w:tr>
      <w:tr>
        <w:trPr>
          <w:trHeight w:val="159"/>
        </w:trPr>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Class A common</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Rule 457(c) and Rule</w:t>
            </w:r>
          </w:p>
        </w:tc>
        <w:tc>
          <w:tcPr>
            <w:tcW w:w="14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stock, $0.0001 par</w:t>
            </w:r>
          </w:p>
        </w:tc>
        <w:tc>
          <w:tcPr>
            <w:tcW w:w="146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Equity</w:t>
            </w:r>
          </w:p>
        </w:tc>
        <w:tc>
          <w:tcPr>
            <w:tcW w:w="1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value per 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457(h)</w:t>
            </w:r>
          </w:p>
        </w:tc>
        <w:tc>
          <w:tcPr>
            <w:tcW w:w="146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6"/>
                <w:szCs w:val="16"/>
                <w:color w:val="auto"/>
                <w:w w:val="86"/>
              </w:rPr>
              <w:t>4,285,208</w:t>
            </w:r>
            <w:r>
              <w:rPr>
                <w:rFonts w:ascii="Arial" w:cs="Arial" w:eastAsia="Arial" w:hAnsi="Arial"/>
                <w:sz w:val="21"/>
                <w:szCs w:val="21"/>
                <w:color w:val="auto"/>
                <w:w w:val="86"/>
                <w:vertAlign w:val="subscript"/>
              </w:rPr>
              <w:t>(4)</w:t>
            </w:r>
          </w:p>
        </w:tc>
        <w:tc>
          <w:tcPr>
            <w:tcW w:w="148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6"/>
                <w:szCs w:val="16"/>
                <w:color w:val="auto"/>
                <w:w w:val="87"/>
              </w:rPr>
              <w:t>$2.17</w:t>
            </w:r>
            <w:r>
              <w:rPr>
                <w:rFonts w:ascii="Arial" w:cs="Arial" w:eastAsia="Arial" w:hAnsi="Arial"/>
                <w:sz w:val="21"/>
                <w:szCs w:val="21"/>
                <w:color w:val="auto"/>
                <w:w w:val="87"/>
                <w:vertAlign w:val="subscript"/>
              </w:rPr>
              <w:t>(5)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$9,298,902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0.0000927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$863</w:t>
            </w:r>
          </w:p>
        </w:tc>
        <w:tc>
          <w:tcPr>
            <w:tcW w:w="0" w:type="dxa"/>
            <w:vAlign w:val="bottom"/>
          </w:tcPr>
          <w:p>
            <w:pPr>
              <w:spacing w:after="0"/>
              <w:rPr>
                <w:sz w:val="1"/>
                <w:szCs w:val="1"/>
                <w:color w:val="auto"/>
              </w:rPr>
            </w:pPr>
          </w:p>
        </w:tc>
      </w:tr>
      <w:tr>
        <w:trPr>
          <w:trHeight w:val="207"/>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Total Offering Amounts</w:t>
            </w: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$20,001,629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$1,856</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Fee Offsets</w:t>
            </w: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Fee Due</w:t>
            </w: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$1,856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660" w:right="20" w:hanging="328"/>
        <w:spacing w:after="0" w:line="208"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Class A common stock of Sema4 Holdings Corp. (the “Registrant”) that become issuable by reason of any stock split, stock dividend, recapitalization or any other similar transaction effected which results in an increase in the number of Registrant’s outstanding shares of Class A common stock, as applicable.</w:t>
      </w:r>
    </w:p>
    <w:p>
      <w:pPr>
        <w:ind w:left="660" w:right="40" w:hanging="328"/>
        <w:spacing w:after="0" w:line="226"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of the Registrant’s Class A common stock issuable under new employment inducement stock option awards granted on May 2, 2022 in accordance with Nasdaq Listing Rule 5635(c)(4).</w:t>
      </w:r>
    </w:p>
    <w:p>
      <w:pPr>
        <w:spacing w:after="0" w:line="1" w:lineRule="exact"/>
        <w:rPr>
          <w:rFonts w:ascii="Arial" w:cs="Arial" w:eastAsia="Arial" w:hAnsi="Arial"/>
          <w:sz w:val="18"/>
          <w:szCs w:val="18"/>
          <w:color w:val="auto"/>
        </w:rPr>
      </w:pPr>
    </w:p>
    <w:p>
      <w:pPr>
        <w:jc w:val="both"/>
        <w:ind w:left="660" w:right="40" w:hanging="328"/>
        <w:spacing w:after="0" w:line="228"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in accordance with Rule 457(c) and Rule 457(h) solely for the purpose of calculating the registration fee on the basis of $2.17 per share, the average of the high and low prices of the Registrant’s Class A common stock on May 2, 2022 as reported on the Nasdaq Global Select Market.</w:t>
      </w:r>
    </w:p>
    <w:p>
      <w:pPr>
        <w:spacing w:after="0" w:line="1" w:lineRule="exact"/>
        <w:rPr>
          <w:rFonts w:ascii="Arial" w:cs="Arial" w:eastAsia="Arial" w:hAnsi="Arial"/>
          <w:sz w:val="16"/>
          <w:szCs w:val="16"/>
          <w:color w:val="auto"/>
        </w:rPr>
      </w:pPr>
    </w:p>
    <w:p>
      <w:pPr>
        <w:ind w:left="660" w:right="20" w:hanging="328"/>
        <w:spacing w:after="0" w:line="203"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of the Registrant’s Class A common stock issuable under new employment inducement restricted stock unit awards granted on May 2, 2022 in accordance with Nasdaq Listing Rule 5635(c)(4).</w:t>
      </w:r>
    </w:p>
    <w:p>
      <w:pPr>
        <w:jc w:val="both"/>
        <w:ind w:left="660" w:right="40" w:hanging="328"/>
        <w:spacing w:after="0" w:line="268"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in accordance with Rule 457(c) and Rule 457(h) solely for the purpose of calculating the registration fee on the basis of $2.17 per share, the average of the high and low prices of the Registrant’s Class A common stock on May 2, 2022 as reported on the Nasdaq Global Select Market.</w:t>
      </w:r>
    </w:p>
    <w:p>
      <w:pPr>
        <w:sectPr>
          <w:pgSz w:w="11900" w:h="16838" w:orient="portrait"/>
          <w:cols w:equalWidth="0" w:num="1">
            <w:col w:w="11260"/>
          </w:cols>
          <w:pgMar w:left="320" w:top="108" w:right="319" w:bottom="1440" w:gutter="0" w:footer="0" w:header="0"/>
        </w:sectPr>
      </w:pPr>
    </w:p>
    <w:bookmarkStart w:id="8" w:name="page9"/>
    <w:bookmarkEnd w:id="8"/>
    <w:p>
      <w:pPr>
        <w:ind w:left="1040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100965</wp:posOffset>
            </wp:positionV>
            <wp:extent cx="120015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1200150" cy="2743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154"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902 Broadway</w:t>
      </w:r>
    </w:p>
    <w:p>
      <w:pPr>
        <w:ind w:left="6420"/>
        <w:spacing w:after="0" w:line="211" w:lineRule="auto"/>
        <w:rPr>
          <w:sz w:val="20"/>
          <w:szCs w:val="20"/>
          <w:color w:val="auto"/>
        </w:rPr>
      </w:pPr>
      <w:r>
        <w:rPr>
          <w:rFonts w:ascii="Arial" w:cs="Arial" w:eastAsia="Arial" w:hAnsi="Arial"/>
          <w:sz w:val="16"/>
          <w:szCs w:val="16"/>
          <w:color w:val="auto"/>
        </w:rPr>
        <w:t>Suite 14</w:t>
      </w:r>
    </w:p>
    <w:p>
      <w:pPr>
        <w:ind w:left="6420"/>
        <w:spacing w:after="0"/>
        <w:rPr>
          <w:sz w:val="20"/>
          <w:szCs w:val="20"/>
          <w:color w:val="auto"/>
        </w:rPr>
      </w:pPr>
      <w:r>
        <w:rPr>
          <w:rFonts w:ascii="Arial" w:cs="Arial" w:eastAsia="Arial" w:hAnsi="Arial"/>
          <w:sz w:val="15"/>
          <w:szCs w:val="15"/>
          <w:color w:val="auto"/>
        </w:rPr>
        <w:t>New York, NY 10010-6035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212.430.2600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Fenwick.com</w:t>
      </w:r>
    </w:p>
    <w:p>
      <w:pPr>
        <w:spacing w:after="0" w:line="361" w:lineRule="exact"/>
        <w:rPr>
          <w:sz w:val="20"/>
          <w:szCs w:val="20"/>
          <w:color w:val="auto"/>
        </w:rPr>
      </w:pPr>
    </w:p>
    <w:p>
      <w:pPr>
        <w:sectPr>
          <w:pgSz w:w="11900" w:h="16838" w:orient="portrait"/>
          <w:cols w:equalWidth="0" w:num="2">
            <w:col w:w="8860" w:space="720"/>
            <w:col w:w="1660"/>
          </w:cols>
          <w:pgMar w:left="320" w:top="108"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3, 2022</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Sema4 Holdings Corp.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333 Ludlow Street, North Tower, 8th Floor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Stamford, Connecticut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At your request, as your counsel, we have examined the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be filed by Sema4 Holdings Corp.,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May 3, 2022 in connection with the registration under the Securities Act of 1933, as amended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of an aggregate of 9,217,340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Company’s Class A Common Stock, $0.0001 par value per share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subject to issuance by the Company upon the exercise or settlement of certain inducement stock option awards and inducement restricted stock units awards (collectively, the “</w:t>
      </w:r>
      <w:r>
        <w:rPr>
          <w:rFonts w:ascii="Arial" w:cs="Arial" w:eastAsia="Arial" w:hAnsi="Arial"/>
          <w:sz w:val="19"/>
          <w:szCs w:val="19"/>
          <w:b w:val="1"/>
          <w:bCs w:val="1"/>
          <w:i w:val="1"/>
          <w:iCs w:val="1"/>
          <w:color w:val="auto"/>
        </w:rPr>
        <w:t>Inducement Awards</w:t>
      </w:r>
      <w:r>
        <w:rPr>
          <w:rFonts w:ascii="Arial" w:cs="Arial" w:eastAsia="Arial" w:hAnsi="Arial"/>
          <w:sz w:val="19"/>
          <w:szCs w:val="19"/>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connection with our opinion, we have examined such matters of fact as we have deemed necessary, which included examination of originals or copies of: (a) the Company’s Amended and Restated Certificate of Incorporation, as amended, and Restated Bylaws (collectively, the “</w:t>
      </w:r>
      <w:r>
        <w:rPr>
          <w:rFonts w:ascii="Arial" w:cs="Arial" w:eastAsia="Arial" w:hAnsi="Arial"/>
          <w:sz w:val="20"/>
          <w:szCs w:val="20"/>
          <w:b w:val="1"/>
          <w:bCs w:val="1"/>
          <w:i w:val="1"/>
          <w:iCs w:val="1"/>
          <w:color w:val="auto"/>
        </w:rPr>
        <w:t>Charter Documents</w:t>
      </w:r>
      <w:r>
        <w:rPr>
          <w:rFonts w:ascii="Arial" w:cs="Arial" w:eastAsia="Arial" w:hAnsi="Arial"/>
          <w:sz w:val="20"/>
          <w:szCs w:val="20"/>
          <w:color w:val="auto"/>
        </w:rPr>
        <w:t>”), the forms of applicable equity award agreement for the Inducement Awards (the “</w:t>
      </w:r>
      <w:r>
        <w:rPr>
          <w:rFonts w:ascii="Arial" w:cs="Arial" w:eastAsia="Arial" w:hAnsi="Arial"/>
          <w:sz w:val="20"/>
          <w:szCs w:val="20"/>
          <w:b w:val="1"/>
          <w:bCs w:val="1"/>
          <w:i w:val="1"/>
          <w:iCs w:val="1"/>
          <w:color w:val="auto"/>
        </w:rPr>
        <w:t>Inducement Award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Agreements</w:t>
      </w:r>
      <w:r>
        <w:rPr>
          <w:rFonts w:ascii="Arial" w:cs="Arial" w:eastAsia="Arial" w:hAnsi="Arial"/>
          <w:sz w:val="20"/>
          <w:szCs w:val="20"/>
          <w:color w:val="auto"/>
        </w:rPr>
        <w:t>”), the Registration Statement and the exhibits thereto, (b) certain corporate proceedings of the Company’s board of directors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the Company’s stockholders relating to adoption or approval of the Company Charter Documents and the Inducement Award Agreements, and (c) such other documents as we have deemed advisable, and we have examined such questions of law as we have considered necessary.</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and by officers of the Company duly authorized to do so. In rendering our opinion, we have also relied upon a certificate of good standing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line="3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Based upon, and subject to, the foregoing, it is our opinion that the Shares have been duly authorized and, when the Shares that may be issued and sold upon the exercise or settlement of the Inducement Awards have been issued and sold by the Company against the Company’s receipt of payment therefor (in an amount and type of consideration not less than the par value per Share) in accordance with the terms (including, without limitation, payment and authorization provisions) of the applicable Inducement Award Agreements, and have been duly registered on the books of the transfer agent and registrar for the Shares in the name or on behalf of the holders thereof, such Shares will be validly issued, fully paid and non-assessable.</w:t>
      </w:r>
    </w:p>
    <w:p>
      <w:pPr>
        <w:spacing w:after="0" w:line="19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and any amendments or supplements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4"/>
          <w:szCs w:val="14"/>
          <w:color w:val="auto"/>
        </w:rPr>
        <w:t>.</w:t>
      </w:r>
      <w:r>
        <w:rPr>
          <w:rFonts w:ascii="Arial" w:cs="Arial" w:eastAsia="Arial" w:hAnsi="Arial"/>
          <w:sz w:val="16"/>
          <w:szCs w:val="16"/>
          <w:color w:val="auto"/>
        </w:rPr>
        <w:t xml:space="preserve"> 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7"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Very truly yours,</w:t>
      </w:r>
    </w:p>
    <w:p>
      <w:pPr>
        <w:spacing w:after="0" w:line="283" w:lineRule="exact"/>
        <w:rPr>
          <w:sz w:val="20"/>
          <w:szCs w:val="20"/>
          <w:color w:val="auto"/>
        </w:rPr>
      </w:pPr>
    </w:p>
    <w:p>
      <w:pPr>
        <w:ind w:left="5140"/>
        <w:spacing w:after="0"/>
        <w:rPr>
          <w:sz w:val="20"/>
          <w:szCs w:val="20"/>
          <w:color w:val="auto"/>
        </w:rPr>
      </w:pPr>
      <w:r>
        <w:rPr>
          <w:rFonts w:ascii="Arial" w:cs="Arial" w:eastAsia="Arial" w:hAnsi="Arial"/>
          <w:sz w:val="20"/>
          <w:szCs w:val="20"/>
          <w:i w:val="1"/>
          <w:iCs w:val="1"/>
          <w:color w:val="auto"/>
        </w:rPr>
        <w:t>/s/ Fenwick &amp; West LLP</w:t>
      </w:r>
    </w:p>
    <w:p>
      <w:pPr>
        <w:spacing w:after="0" w:line="27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FENWICK &amp; WEST LLP</w:t>
      </w:r>
    </w:p>
    <w:p>
      <w:pPr>
        <w:sectPr>
          <w:pgSz w:w="11900" w:h="16838" w:orient="portrait"/>
          <w:cols w:equalWidth="0" w:num="1">
            <w:col w:w="11240"/>
          </w:cols>
          <w:pgMar w:left="320" w:top="144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Non-Plan Inducement Award Plan of Sema4 Holding Corp. of our report dated March 14, 2022, with respect to the consolidated financial statements of Sema4 Holding Corp. included in its Annual Report (Form 10-K) for the year ended December 31, 2021, filed with the Securities and Exchange Commission.</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 2022</w:t>
      </w:r>
    </w:p>
    <w:p>
      <w:pPr>
        <w:sectPr>
          <w:pgSz w:w="11900" w:h="16838" w:orient="portrait"/>
          <w:cols w:equalWidth="0" w:num="1">
            <w:col w:w="11240"/>
          </w:cols>
          <w:pgMar w:left="320" w:top="108" w:right="339" w:bottom="1440" w:gutter="0" w:footer="0" w:header="0"/>
        </w:sectPr>
      </w:pPr>
    </w:p>
    <w:bookmarkStart w:id="11" w:name="page12"/>
    <w:bookmarkEnd w:id="11"/>
    <w:p>
      <w:pPr>
        <w:ind w:left="10320"/>
        <w:spacing w:after="0"/>
        <w:rPr>
          <w:sz w:val="20"/>
          <w:szCs w:val="20"/>
          <w:color w:val="auto"/>
        </w:rPr>
      </w:pPr>
      <w:r>
        <w:rPr>
          <w:rFonts w:ascii="Arial" w:cs="Arial" w:eastAsia="Arial" w:hAnsi="Arial"/>
          <w:sz w:val="16"/>
          <w:szCs w:val="16"/>
          <w:b w:val="1"/>
          <w:bCs w:val="1"/>
          <w:color w:val="333333"/>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Auditors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33333"/>
        </w:rPr>
        <w:t>We consent to the incorporation by reference in the Registration Statement (Form S-8) pertaining to the Non-Plan Inducement Awards of Sema4 Holdings Corp. of our report dated March 15, 2022, with respect to the combined carve-out financial statements of GeneDx, Inc. and subsidiary included in the Proxy Statement dated March 31, 2022 of Sema4 Holdings Corp.</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Ernst &amp; Young</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Miami,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2, 2022</w:t>
      </w:r>
    </w:p>
    <w:p>
      <w:pPr>
        <w:sectPr>
          <w:pgSz w:w="11900" w:h="16838" w:orient="portrait"/>
          <w:cols w:equalWidth="0" w:num="1">
            <w:col w:w="11240"/>
          </w:cols>
          <w:pgMar w:left="320" w:top="108" w:right="339" w:bottom="1440" w:gutter="0" w:footer="0" w:header="0"/>
        </w:sectPr>
      </w:pPr>
    </w:p>
    <w:bookmarkStart w:id="12" w:name="page13"/>
    <w:bookmarkEnd w:id="12"/>
    <w:p>
      <w:pPr>
        <w:ind w:left="10320"/>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jc w:val="center"/>
        <w:spacing w:after="0"/>
        <w:rPr>
          <w:sz w:val="20"/>
          <w:szCs w:val="20"/>
          <w:color w:val="auto"/>
        </w:rPr>
      </w:pPr>
      <w:r>
        <w:rPr>
          <w:rFonts w:ascii="Arial" w:cs="Arial" w:eastAsia="Arial" w:hAnsi="Arial"/>
          <w:sz w:val="20"/>
          <w:szCs w:val="20"/>
          <w:b w:val="1"/>
          <w:bCs w:val="1"/>
          <w:color w:val="auto"/>
        </w:rPr>
        <w:t>NOTICE OF INDUCEMENT RESTRICTED STOCK UNIT GRANT</w:t>
      </w:r>
    </w:p>
    <w:p>
      <w:pPr>
        <w:spacing w:after="0" w:line="15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material inducement to the employment of the Participant named below, the Participant has been granted an award of restricted stock units (the “</w:t>
      </w:r>
      <w:r>
        <w:rPr>
          <w:rFonts w:ascii="Arial" w:cs="Arial" w:eastAsia="Arial" w:hAnsi="Arial"/>
          <w:sz w:val="18"/>
          <w:szCs w:val="18"/>
          <w:b w:val="1"/>
          <w:bCs w:val="1"/>
          <w:color w:val="auto"/>
        </w:rPr>
        <w:t>RSUs</w:t>
      </w:r>
      <w:r>
        <w:rPr>
          <w:rFonts w:ascii="Arial" w:cs="Arial" w:eastAsia="Arial" w:hAnsi="Arial"/>
          <w:sz w:val="18"/>
          <w:szCs w:val="18"/>
          <w:color w:val="auto"/>
        </w:rPr>
        <w:t>”) by Sema4 Holdings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RSUs are granted separate and apart from, and outside of, the Company’s 2021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and shall not constitute an award granted under or pursuant to the Plan. However, except as otherwise expressly stated herein, the RSUs are governed by terms and conditions identical to those of the Plan, which are incorporated herein by reference. The RSUs are also subject to the terms and conditions of this Notice of Restricted Stock Unit Grant (this “</w:t>
      </w:r>
      <w:r>
        <w:rPr>
          <w:rFonts w:ascii="Arial" w:cs="Arial" w:eastAsia="Arial" w:hAnsi="Arial"/>
          <w:sz w:val="18"/>
          <w:szCs w:val="18"/>
          <w:b w:val="1"/>
          <w:bCs w:val="1"/>
          <w:color w:val="auto"/>
        </w:rPr>
        <w:t>Notice</w:t>
      </w:r>
      <w:r>
        <w:rPr>
          <w:rFonts w:ascii="Arial" w:cs="Arial" w:eastAsia="Arial" w:hAnsi="Arial"/>
          <w:sz w:val="18"/>
          <w:szCs w:val="18"/>
          <w:color w:val="auto"/>
        </w:rPr>
        <w:t xml:space="preserve">”), and the Inducement Restricted Stock Unit Agreement,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RSU Agreement</w:t>
      </w:r>
      <w:r>
        <w:rPr>
          <w:rFonts w:ascii="Arial" w:cs="Arial" w:eastAsia="Arial" w:hAnsi="Arial"/>
          <w:sz w:val="18"/>
          <w:szCs w:val="18"/>
          <w:color w:val="auto"/>
        </w:rPr>
        <w:t>”). Capitalized terms not expressly defined herein but defined in the Plan or the RSU Agreement will have the same definitions as in the Plan or the RSU Agreement.</w:t>
      </w:r>
    </w:p>
    <w:p>
      <w:pPr>
        <w:sectPr>
          <w:pgSz w:w="11900" w:h="16838" w:orient="portrait"/>
          <w:cols w:equalWidth="0" w:num="1">
            <w:col w:w="11240"/>
          </w:cols>
          <w:pgMar w:left="320" w:top="108" w:right="3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 Name: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[__]</w:t>
      </w:r>
    </w:p>
    <w:p>
      <w:pPr>
        <w:spacing w:after="0" w:line="20" w:lineRule="exact"/>
        <w:rPr>
          <w:sz w:val="20"/>
          <w:szCs w:val="20"/>
          <w:color w:val="auto"/>
        </w:rPr>
      </w:pPr>
    </w:p>
    <w:p>
      <w:pPr>
        <w:sectPr>
          <w:pgSz w:w="11900" w:h="16838" w:orient="portrait"/>
          <w:cols w:equalWidth="0" w:num="2">
            <w:col w:w="2840" w:space="720"/>
            <w:col w:w="768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[__]</w:t>
      </w:r>
    </w:p>
    <w:p>
      <w:pPr>
        <w:spacing w:after="0" w:line="13" w:lineRule="exact"/>
        <w:rPr>
          <w:sz w:val="20"/>
          <w:szCs w:val="20"/>
          <w:color w:val="auto"/>
        </w:rPr>
      </w:pPr>
    </w:p>
    <w:p>
      <w:pPr>
        <w:sectPr>
          <w:pgSz w:w="11900" w:h="16838" w:orient="portrait"/>
          <w:cols w:equalWidth="0" w:num="2">
            <w:col w:w="2840" w:space="720"/>
            <w:col w:w="768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[__]</w:t>
      </w:r>
    </w:p>
    <w:p>
      <w:pPr>
        <w:spacing w:after="0" w:line="13" w:lineRule="exact"/>
        <w:rPr>
          <w:sz w:val="20"/>
          <w:szCs w:val="20"/>
          <w:color w:val="auto"/>
        </w:rPr>
      </w:pPr>
    </w:p>
    <w:p>
      <w:pPr>
        <w:sectPr>
          <w:pgSz w:w="11900" w:h="16838" w:orient="portrait"/>
          <w:cols w:equalWidth="0" w:num="2">
            <w:col w:w="2840" w:space="720"/>
            <w:col w:w="768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[__]</w:t>
      </w:r>
    </w:p>
    <w:p>
      <w:pPr>
        <w:spacing w:after="0" w:line="200" w:lineRule="exact"/>
        <w:rPr>
          <w:sz w:val="20"/>
          <w:szCs w:val="20"/>
          <w:color w:val="auto"/>
        </w:rPr>
      </w:pPr>
    </w:p>
    <w:p>
      <w:pPr>
        <w:sectPr>
          <w:pgSz w:w="11900" w:h="16838" w:orient="portrait"/>
          <w:cols w:equalWidth="0" w:num="2">
            <w:col w:w="2840" w:space="720"/>
            <w:col w:w="7680"/>
          </w:cols>
          <w:pgMar w:left="320" w:top="108" w:right="339" w:bottom="1440" w:gutter="0" w:footer="0" w:header="0"/>
          <w:type w:val="continuous"/>
        </w:sectPr>
      </w:pPr>
    </w:p>
    <w:p>
      <w:pPr>
        <w:spacing w:after="0" w:line="326" w:lineRule="exact"/>
        <w:rPr>
          <w:sz w:val="20"/>
          <w:szCs w:val="20"/>
          <w:color w:val="auto"/>
        </w:rPr>
      </w:pPr>
    </w:p>
    <w:p>
      <w:pPr>
        <w:jc w:val="both"/>
        <w:ind w:left="1760" w:hanging="3239"/>
        <w:spacing w:after="0" w:line="203" w:lineRule="auto"/>
        <w:tabs>
          <w:tab w:leader="none" w:pos="17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20"/>
          <w:szCs w:val="20"/>
          <w:color w:val="auto"/>
        </w:rPr>
        <w:t>[Alternative 1: Subject to the limitations set forth in this Notice, the Plan, and the RSU Agreement, 25% of the RSUs will vest on the first anniversary of the Vesting Commencement Date, 25% of the RSUs will vest on the second anniversary of the Vesting Commencement Date, and 6.25% of the RSUs will vest on a quarterly basis thereafter through the fourth anniversary of the Vesting Commencement Date, subject to the Participant’s continued Service through the applicable vesting date. The RSUs shall vest in connection with a termination of Service solely to the extent set forth in an employment agreement or other individual agreement entered into between the Participant and the Company.] [Alternative 2: Subject to the limitations set forth in this Notice, the Plan, and the RSU Agreement, 25% of the RSUs will vest on the first anniversary of the Vesting Commencement Date and the remaining 75% of the RSUs will vest on a quarterly basis over the subsequent three years, subject to the Participant’s continued Service through the applicable vesting date.]</w:t>
      </w:r>
    </w:p>
    <w:p>
      <w:pPr>
        <w:spacing w:after="0" w:line="155" w:lineRule="exact"/>
        <w:rPr>
          <w:sz w:val="20"/>
          <w:szCs w:val="20"/>
          <w:color w:val="auto"/>
        </w:rPr>
      </w:pPr>
    </w:p>
    <w:p>
      <w:pPr>
        <w:jc w:val="both"/>
        <w:spacing w:after="0" w:line="226" w:lineRule="auto"/>
        <w:rPr>
          <w:sz w:val="20"/>
          <w:szCs w:val="20"/>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RSUs that vest will be settled no later than March 15 of the calendar year following the calendar year in which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occurs. Settlement means the delivery of the Shares underlying the vested portion of the RSU. Such settlement will occur whether or not Participant remains in continuous Service at the time of settlement, but there will be no settlement of unvested RSUs. No fractional RSUs or rights for fractional Shares will be created pursuant to this Notice or the RSU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RSUs, Participant acknowledges and agrees to the following:</w:t>
      </w:r>
    </w:p>
    <w:p>
      <w:pPr>
        <w:spacing w:after="0" w:line="175" w:lineRule="exact"/>
        <w:rPr>
          <w:sz w:val="20"/>
          <w:szCs w:val="20"/>
          <w:color w:val="auto"/>
        </w:rPr>
      </w:pPr>
    </w:p>
    <w:p>
      <w:pPr>
        <w:jc w:val="both"/>
        <w:ind w:firstLine="656"/>
        <w:spacing w:after="0" w:line="221" w:lineRule="auto"/>
        <w:tabs>
          <w:tab w:leader="none" w:pos="1143" w:val="left"/>
        </w:tabs>
        <w:numPr>
          <w:ilvl w:val="0"/>
          <w:numId w:val="8"/>
        </w:numPr>
        <w:rPr>
          <w:rFonts w:ascii="Arial" w:cs="Arial" w:eastAsia="Arial" w:hAnsi="Arial"/>
          <w:sz w:val="19"/>
          <w:szCs w:val="19"/>
          <w:color w:val="auto"/>
        </w:rPr>
      </w:pPr>
      <w:r>
        <w:rPr>
          <w:rFonts w:ascii="Arial" w:cs="Arial" w:eastAsia="Arial" w:hAnsi="Arial"/>
          <w:sz w:val="19"/>
          <w:szCs w:val="19"/>
          <w:color w:val="auto"/>
        </w:rPr>
        <w:t>Participant understands that Participant’s Service with the Company is for an unspecified duration, can be terminated at any time (i.e., is “at-will”) and that nothing in this Notice or the RSU Agreement changes the at-will nature of that relationship (provided that this sentence does not alter the terms of any written employment agreement Participant may have with the Company). Participant acknowledges that the vesting of the RSUs pursuant to this Notice is subject to Participant’s continuing Service. Participant agrees and acknowledges that the Vesting Schedule may change prospectively in the event that Participant’s</w:t>
      </w:r>
    </w:p>
    <w:p>
      <w:pPr>
        <w:sectPr>
          <w:pgSz w:w="11900" w:h="16838" w:orient="portrait"/>
          <w:cols w:equalWidth="0" w:num="1">
            <w:col w:w="11240"/>
          </w:cols>
          <w:pgMar w:left="320" w:top="108" w:right="339" w:bottom="1440" w:gutter="0" w:footer="0" w:header="0"/>
          <w:type w:val="continuous"/>
        </w:sectPr>
      </w:pPr>
    </w:p>
    <w:bookmarkStart w:id="13" w:name="page14"/>
    <w:bookmarkEnd w:id="13"/>
    <w:p>
      <w:pPr>
        <w:spacing w:after="0" w:line="229" w:lineRule="auto"/>
        <w:rPr>
          <w:sz w:val="20"/>
          <w:szCs w:val="20"/>
          <w:color w:val="auto"/>
        </w:rPr>
      </w:pPr>
      <w:r>
        <w:rPr>
          <w:rFonts w:ascii="Arial" w:cs="Arial" w:eastAsia="Arial" w:hAnsi="Arial"/>
          <w:sz w:val="20"/>
          <w:szCs w:val="20"/>
          <w:color w:val="auto"/>
        </w:rPr>
        <w:t>Service status changes between full- and part-time and/or in the event Participant is on a leave of absence, in accordance with Company policies relating to work schedules and vesting of Awards or as determined by the Committee</w:t>
      </w:r>
    </w:p>
    <w:p>
      <w:pPr>
        <w:spacing w:after="0" w:line="155" w:lineRule="exact"/>
        <w:rPr>
          <w:sz w:val="20"/>
          <w:szCs w:val="20"/>
          <w:color w:val="auto"/>
        </w:rPr>
      </w:pPr>
    </w:p>
    <w:p>
      <w:pPr>
        <w:jc w:val="both"/>
        <w:ind w:firstLine="656"/>
        <w:spacing w:after="0" w:line="218" w:lineRule="auto"/>
        <w:tabs>
          <w:tab w:leader="none" w:pos="1079"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RSUs are subject to the terms and conditions of the Plan, the RSU Agreement, and this Notice, and this Notice is subject to the terms and conditions of the RSU Agreement and the Plan, both of which are incorporated herein by reference. Participant has read this Notice, the RSU Agreement and the Plan.</w:t>
      </w:r>
    </w:p>
    <w:p>
      <w:pPr>
        <w:spacing w:after="0" w:line="156" w:lineRule="exact"/>
        <w:rPr>
          <w:rFonts w:ascii="Arial" w:cs="Arial" w:eastAsia="Arial" w:hAnsi="Arial"/>
          <w:sz w:val="20"/>
          <w:szCs w:val="20"/>
          <w:color w:val="auto"/>
        </w:rPr>
      </w:pPr>
    </w:p>
    <w:p>
      <w:pPr>
        <w:ind w:firstLine="656"/>
        <w:spacing w:after="0" w:line="229" w:lineRule="auto"/>
        <w:tabs>
          <w:tab w:leader="none" w:pos="1104" w:val="left"/>
        </w:tabs>
        <w:numPr>
          <w:ilvl w:val="0"/>
          <w:numId w:val="9"/>
        </w:numPr>
        <w:rPr>
          <w:rFonts w:ascii="Arial" w:cs="Arial" w:eastAsia="Arial" w:hAnsi="Arial"/>
          <w:sz w:val="20"/>
          <w:szCs w:val="20"/>
          <w:color w:val="auto"/>
        </w:rPr>
      </w:pPr>
      <w:r>
        <w:rPr>
          <w:rFonts w:ascii="Arial" w:cs="Arial" w:eastAsia="Arial" w:hAnsi="Arial"/>
          <w:sz w:val="20"/>
          <w:szCs w:val="20"/>
          <w:color w:val="auto"/>
        </w:rPr>
        <w:t>Participant has read the Company’s Insider Trading Policy, and agrees to comply with such policy, as it may be amended from time to time, whenever Participant acquires or disposes of the Company’s securities.</w:t>
      </w:r>
    </w:p>
    <w:p>
      <w:pPr>
        <w:spacing w:after="0" w:line="155" w:lineRule="exact"/>
        <w:rPr>
          <w:rFonts w:ascii="Arial" w:cs="Arial" w:eastAsia="Arial" w:hAnsi="Arial"/>
          <w:sz w:val="20"/>
          <w:szCs w:val="20"/>
          <w:color w:val="auto"/>
        </w:rPr>
      </w:pPr>
    </w:p>
    <w:p>
      <w:pPr>
        <w:jc w:val="both"/>
        <w:ind w:firstLine="656"/>
        <w:spacing w:after="0" w:line="236" w:lineRule="auto"/>
        <w:tabs>
          <w:tab w:leader="none" w:pos="112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lieu of receiving documents in paper format, Participant accepts the electronic delivery of any documents the Company, or any third party involved in administering the RSUs which the Company may designate, may deliver in connection with this grant (including the Notice, the RSU Agreement, account statements or other communications or information) whether via the Company’s intranet or the internet site of another third party or via email, or other means of electronic delivery specified by the Company.</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PARTICIPANT</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Signature: [__]</w:t>
      </w:r>
    </w:p>
    <w:p>
      <w:pPr>
        <w:spacing w:after="0" w:line="200" w:lineRule="exact"/>
        <w:rPr>
          <w:sz w:val="20"/>
          <w:szCs w:val="20"/>
          <w:color w:val="auto"/>
        </w:rPr>
      </w:pPr>
    </w:p>
    <w:p>
      <w:pPr>
        <w:spacing w:after="0" w:line="205" w:lineRule="exact"/>
        <w:rPr>
          <w:sz w:val="20"/>
          <w:szCs w:val="20"/>
          <w:color w:val="auto"/>
        </w:rPr>
      </w:pPr>
    </w:p>
    <w:p>
      <w:pPr>
        <w:ind w:left="80"/>
        <w:spacing w:after="0"/>
        <w:rPr>
          <w:sz w:val="20"/>
          <w:szCs w:val="20"/>
          <w:color w:val="auto"/>
        </w:rPr>
      </w:pPr>
      <w:r>
        <w:rPr>
          <w:rFonts w:ascii="Arial" w:cs="Arial" w:eastAsia="Arial" w:hAnsi="Arial"/>
          <w:sz w:val="20"/>
          <w:szCs w:val="20"/>
          <w:color w:val="auto"/>
        </w:rPr>
        <w:t>Print Name: [__]</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SEMA4 HOLDINGS CORP.</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Daniel E. Clark</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4" w:name="page15"/>
    <w:bookmarkEnd w:id="14"/>
    <w:p>
      <w:pPr>
        <w:spacing w:after="0" w:line="216"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ANNEX A</w:t>
      </w:r>
    </w:p>
    <w:p>
      <w:pPr>
        <w:spacing w:after="0" w:line="156"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SEMA4 HOLDINGS CORP.</w:t>
      </w:r>
    </w:p>
    <w:p>
      <w:pPr>
        <w:jc w:val="center"/>
        <w:spacing w:after="0"/>
        <w:rPr>
          <w:sz w:val="20"/>
          <w:szCs w:val="20"/>
          <w:color w:val="auto"/>
        </w:rPr>
      </w:pPr>
      <w:r>
        <w:rPr>
          <w:rFonts w:ascii="Arial" w:cs="Arial" w:eastAsia="Arial" w:hAnsi="Arial"/>
          <w:sz w:val="20"/>
          <w:szCs w:val="20"/>
          <w:b w:val="1"/>
          <w:bCs w:val="1"/>
          <w:color w:val="auto"/>
        </w:rPr>
        <w:t>INDUCEMENT RESTRICTED STOCK UNIT AGREEMENT</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Unless otherwise defined in this Inducement Restricted Stock Unit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any capitalized terms used and not otherwise defined in the Notice of Restricted Stock Unit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the meanings ascribed to them in the Sema4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57"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Participant has been granted the RSUs as a stand-alone award, separate and apart from, and outside of, the Plan, and the RSUs shall not constitute an award granted under or pursuant to the Plan. However, except as otherwise expressly stated herein, the RSUs are governed by terms and conditions identical to those of the Plan, which is incorporated herein by reference. In the event of any conflict between the terms and conditions of the Plan and the terms and conditions of the Notice or this Agreement, the terms and conditions of the Notice and this Agreement will prevail.</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RSUs are intended to constitute an employment inducement award pursuant to Nasdaq Stock Market Listing Rule 5635(c)(4), and consequently are intended to be exempt from the Nasdaq listing rules regarding stockholder approval of equity compensation plans. This Agreement and the terms and conditions of the RSUs shall be interpreted in accordance and consistent with such exemption.</w:t>
      </w:r>
    </w:p>
    <w:p>
      <w:pPr>
        <w:spacing w:after="0" w:line="146" w:lineRule="exact"/>
        <w:rPr>
          <w:sz w:val="20"/>
          <w:szCs w:val="20"/>
          <w:color w:val="auto"/>
        </w:rPr>
      </w:pPr>
    </w:p>
    <w:p>
      <w:pPr>
        <w:ind w:firstLine="8"/>
        <w:spacing w:after="0" w:line="232" w:lineRule="auto"/>
        <w:tabs>
          <w:tab w:leader="none" w:pos="481"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will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underlying the RSUs and will have no right to dividends or to vote such Shares.</w:t>
      </w:r>
    </w:p>
    <w:p>
      <w:pPr>
        <w:spacing w:after="0" w:line="149" w:lineRule="exact"/>
        <w:rPr>
          <w:rFonts w:ascii="Arial" w:cs="Arial" w:eastAsia="Arial" w:hAnsi="Arial"/>
          <w:sz w:val="20"/>
          <w:szCs w:val="20"/>
          <w:b w:val="1"/>
          <w:bCs w:val="1"/>
          <w:color w:val="auto"/>
        </w:rPr>
      </w:pPr>
    </w:p>
    <w:p>
      <w:pPr>
        <w:ind w:right="20" w:firstLine="8"/>
        <w:spacing w:after="0" w:line="232" w:lineRule="auto"/>
        <w:tabs>
          <w:tab w:leader="none" w:pos="46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(whether in cash or Shares), will not be credited to Participant in respect of</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RSUs.</w:t>
      </w:r>
    </w:p>
    <w:p>
      <w:pPr>
        <w:spacing w:after="0" w:line="149" w:lineRule="exact"/>
        <w:rPr>
          <w:rFonts w:ascii="Arial" w:cs="Arial" w:eastAsia="Arial" w:hAnsi="Arial"/>
          <w:sz w:val="20"/>
          <w:szCs w:val="20"/>
          <w:b w:val="1"/>
          <w:bCs w:val="1"/>
          <w:color w:val="auto"/>
        </w:rPr>
      </w:pPr>
    </w:p>
    <w:p>
      <w:pPr>
        <w:jc w:val="both"/>
        <w:ind w:firstLine="8"/>
        <w:spacing w:after="0" w:line="211" w:lineRule="auto"/>
        <w:tabs>
          <w:tab w:leader="none" w:pos="373"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and any interest therein will not be sold, assigned, transferred, pledged, hypothecated or otherwise disposed of</w:t>
      </w:r>
      <w:r>
        <w:rPr>
          <w:rFonts w:ascii="Arial" w:cs="Arial" w:eastAsia="Arial" w:hAnsi="Arial"/>
          <w:sz w:val="20"/>
          <w:szCs w:val="20"/>
          <w:b w:val="1"/>
          <w:bCs w:val="1"/>
          <w:color w:val="auto"/>
        </w:rPr>
        <w:t xml:space="preserve"> </w:t>
      </w:r>
      <w:r>
        <w:rPr>
          <w:rFonts w:ascii="Arial" w:cs="Arial" w:eastAsia="Arial" w:hAnsi="Arial"/>
          <w:sz w:val="20"/>
          <w:szCs w:val="20"/>
          <w:color w:val="auto"/>
        </w:rPr>
        <w:t>in any manner, other than by will or by the laws of descent and distribution or court order or unless otherwise permitted by the Committee on a case-by-case basis. By signing this Agreement,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50" w:lineRule="exact"/>
        <w:rPr>
          <w:rFonts w:ascii="Arial" w:cs="Arial" w:eastAsia="Arial" w:hAnsi="Arial"/>
          <w:sz w:val="20"/>
          <w:szCs w:val="20"/>
          <w:b w:val="1"/>
          <w:bCs w:val="1"/>
          <w:color w:val="auto"/>
        </w:rPr>
      </w:pPr>
    </w:p>
    <w:p>
      <w:pPr>
        <w:jc w:val="both"/>
        <w:ind w:firstLine="8"/>
        <w:spacing w:after="0" w:line="211" w:lineRule="auto"/>
        <w:tabs>
          <w:tab w:leader="none" w:pos="414"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Participant’s Service terminates for any reason, all unvested RSUs will be forfeited, and all of Participant’s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RSUs will immediately terminate without payment of any consideration to Participant.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50" w:lineRule="exact"/>
        <w:rPr>
          <w:rFonts w:ascii="Arial" w:cs="Arial" w:eastAsia="Arial" w:hAnsi="Arial"/>
          <w:sz w:val="20"/>
          <w:szCs w:val="20"/>
          <w:b w:val="1"/>
          <w:bCs w:val="1"/>
          <w:color w:val="auto"/>
        </w:rPr>
      </w:pPr>
    </w:p>
    <w:p>
      <w:pPr>
        <w:ind w:left="360" w:hanging="352"/>
        <w:spacing w:after="0"/>
        <w:tabs>
          <w:tab w:leader="none" w:pos="3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w:t>
      </w:r>
    </w:p>
    <w:p>
      <w:pPr>
        <w:spacing w:after="0" w:line="181" w:lineRule="exact"/>
        <w:rPr>
          <w:rFonts w:ascii="Arial" w:cs="Arial" w:eastAsia="Arial" w:hAnsi="Arial"/>
          <w:sz w:val="20"/>
          <w:szCs w:val="20"/>
          <w:b w:val="1"/>
          <w:bCs w:val="1"/>
          <w:color w:val="auto"/>
        </w:rPr>
      </w:pPr>
    </w:p>
    <w:p>
      <w:pPr>
        <w:jc w:val="both"/>
        <w:ind w:firstLine="656"/>
        <w:spacing w:after="0" w:line="213" w:lineRule="auto"/>
        <w:tabs>
          <w:tab w:leader="none" w:pos="1092" w:val="left"/>
        </w:tabs>
        <w:numPr>
          <w:ilvl w:val="1"/>
          <w:numId w:val="10"/>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SHOULD CONSULT A TAX ADVISER BEFORE ACQUIRING THE SHARES IN THE JURISDICTION IN WHICH PARTICIPANT IS SUBJECT TO TAX. Shares will not be issued under this Agreement unless Participant makes arrangements acceptable to the Company to pay any withholding taxes that may be due as a result of the acquisition or vesting of Shares.</w:t>
      </w:r>
    </w:p>
    <w:p>
      <w:pPr>
        <w:spacing w:after="0" w:line="149" w:lineRule="exact"/>
        <w:rPr>
          <w:rFonts w:ascii="Arial" w:cs="Arial" w:eastAsia="Arial" w:hAnsi="Arial"/>
          <w:sz w:val="20"/>
          <w:szCs w:val="20"/>
          <w:color w:val="auto"/>
        </w:rPr>
      </w:pPr>
    </w:p>
    <w:p>
      <w:pPr>
        <w:jc w:val="both"/>
        <w:ind w:firstLine="656"/>
        <w:spacing w:after="0" w:line="222" w:lineRule="auto"/>
        <w:tabs>
          <w:tab w:leader="none" w:pos="1090"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Regardless of any action the Company or, if different, Participant’s employer (the “</w:t>
      </w:r>
      <w:r>
        <w:rPr>
          <w:rFonts w:ascii="Arial" w:cs="Arial" w:eastAsia="Arial" w:hAnsi="Arial"/>
          <w:sz w:val="19"/>
          <w:szCs w:val="19"/>
          <w:b w:val="1"/>
          <w:bCs w:val="1"/>
          <w:color w:val="auto"/>
        </w:rPr>
        <w:t>Employer</w:t>
      </w:r>
      <w:r>
        <w:rPr>
          <w:rFonts w:ascii="Arial" w:cs="Arial" w:eastAsia="Arial" w:hAnsi="Arial"/>
          <w:sz w:val="19"/>
          <w:szCs w:val="19"/>
          <w:color w:val="auto"/>
        </w:rPr>
        <w:t>”) takes with respect to any or all income tax, social insurance, payroll tax, fringe benefits tax, payment on account and other tax-related items related to Participant’s RSUs and legally applicable to Participant (“</w:t>
      </w:r>
      <w:r>
        <w:rPr>
          <w:rFonts w:ascii="Arial" w:cs="Arial" w:eastAsia="Arial" w:hAnsi="Arial"/>
          <w:sz w:val="19"/>
          <w:szCs w:val="19"/>
          <w:b w:val="1"/>
          <w:bCs w:val="1"/>
          <w:color w:val="auto"/>
        </w:rPr>
        <w:t>Tax-Related Items</w:t>
      </w:r>
      <w:r>
        <w:rPr>
          <w:rFonts w:ascii="Arial" w:cs="Arial" w:eastAsia="Arial" w:hAnsi="Arial"/>
          <w:sz w:val="19"/>
          <w:szCs w:val="19"/>
          <w:color w:val="auto"/>
        </w:rPr>
        <w:t>”), Participant acknowledges that the ultimate liability for all Tax-Related Items is and remains Participant’s responsibility and may exceed the amount actually withheld by the Company or the Employer. Participant further acknowledges that the Company and the Employer</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38" w:lineRule="exact"/>
        <w:rPr>
          <w:sz w:val="20"/>
          <w:szCs w:val="20"/>
          <w:color w:val="auto"/>
        </w:rPr>
      </w:pPr>
    </w:p>
    <w:p>
      <w:pPr>
        <w:jc w:val="both"/>
        <w:ind w:firstLine="8"/>
        <w:spacing w:after="0" w:line="218" w:lineRule="auto"/>
        <w:tabs>
          <w:tab w:leader="none" w:pos="286" w:val="left"/>
        </w:tabs>
        <w:numPr>
          <w:ilvl w:val="0"/>
          <w:numId w:val="11"/>
        </w:numPr>
        <w:rPr>
          <w:rFonts w:ascii="Arial" w:cs="Arial" w:eastAsia="Arial" w:hAnsi="Arial"/>
          <w:sz w:val="19"/>
          <w:szCs w:val="19"/>
          <w:color w:val="auto"/>
        </w:rPr>
      </w:pPr>
      <w:r>
        <w:rPr>
          <w:rFonts w:ascii="Arial" w:cs="Arial" w:eastAsia="Arial" w:hAnsi="Arial"/>
          <w:sz w:val="19"/>
          <w:szCs w:val="19"/>
          <w:color w:val="auto"/>
        </w:rPr>
        <w:t>make no representations or undertakings regarding the treatment of any Tax-Related Items in connection with any aspect of the RSUs, including the grant of the RSUs, the issuance of the Shares subject to the RSUs, the vesting of such Shares, the subsequent sale of such Shares and the receipt of any dividends; and (b) do not commit to and are under no obligation to structure the terms of the RSUs to reduce or eliminate Participant’s liability for Tax-Related Items or to achieve any particular tax result. Participant acknowledges that if Participant is subject to Tax-Related Items in more than one jurisdiction, the Company and/or the Employer (or former employer, as applicable) may be required to withhold or account for Tax-Related Items in more than one jurisdiction.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 xml:space="preserve">The Company will only recognize Participant as a record holder of the Shares subject to the RSUs if Participant has paid or made, prior to any relevant taxable or tax withholding event, as applicable, adequate arrangements satisfactory to the Company and/or the Employer to satisfy any withholding obligation the Company and/or the Employer may have for Tax-Related Items. In this regard, Participant authorizes the Company and/or the Employer, and their respective agents, at their discretion, to withhold all applicable Tax-Related Items from Participant’s wages or other cash compensation paid to Participant by the Company and/or the Employer or by withholding from proceeds of the sale of the Shares subject to the RSUs either through a voluntary sale or through a mandatory sale arranged by the Company (on Participant’s behalf and Participant hereby authorizes such sale pursuant to this authorization). The Committee may also authorize one or a combination of the following methods to satisfy Tax-Related Items: (a) payment by Participant to the Company or the Employer of an amount equal to the Tax-Related Items in cash, (b) having the Company withhold Shares subject to the RSUs that would otherwise be issued to Participant when they vest having a value equal to the Tax-Related Items to be withheld, (c) delivering to the Company already-owned Shares having a value equal to the Tax-Related Items to be withheld, or (d) any other arrangement approved by the Company and permissible under applicable law; in all cases, under such rules as may be established by the Committee and in compliance with the Company’s insider trading policy and 10b5-1 trading plan policy,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Participant is a Section 16 officer of the Company under the Exchange Act, then the method of withholding will be a mandatory sale (unless the Committee will establish an alternate method prior to the taxable or withholding event). Participant will pay to the Company or the Employer any amount of Tax-Related Items that the Company or the Employer may be required to withhold as a result of Participant’s participation in the Plan or the issuance of Shares subject to the RSUs or vesting thereof that cannot be satisfied by the means previously described.</w:t>
      </w:r>
    </w:p>
    <w:p>
      <w:pPr>
        <w:spacing w:after="0" w:line="16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applicable rate in which case Participant may receive a refund of any over-withheld amount in cash and will have no entitlement to the Shares subject to the RSU that would otherwise be released when they vest. If the obligation for Tax-Related Items is satisfied by withholding in Shares that would otherwise be subject to release when they vest, for tax purposes, Participant is deemed to have been issued the full number of such Shares, notwithstanding that a number of the such Shares are held back solely for the purpose of paying the Tax-Related Items. Finally, Participant acknowledges that the Company has no obligation to deliver Shares subject to the RSUs to Participant until Participant has satisfied the obligations in connection with the Tax-Related Items as described in this Section.</w:t>
      </w:r>
    </w:p>
    <w:p>
      <w:pPr>
        <w:spacing w:after="0" w:line="155" w:lineRule="exact"/>
        <w:rPr>
          <w:sz w:val="20"/>
          <w:szCs w:val="20"/>
          <w:color w:val="auto"/>
        </w:rPr>
      </w:pPr>
    </w:p>
    <w:p>
      <w:pPr>
        <w:jc w:val="both"/>
        <w:ind w:firstLine="656"/>
        <w:spacing w:after="0" w:line="225" w:lineRule="auto"/>
        <w:tabs>
          <w:tab w:leader="none" w:pos="117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For purposes of this Agreement, a termination of employment will be determined consistent with the rules relating to 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the payment will not be made or commence until the earlier of (i) the expiration of the six-month period measured from Participant’s separation from service from the Company or (ii) the date of Participant’s death following a separation from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deferral will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3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50" w:lineRule="exact"/>
        <w:rPr>
          <w:sz w:val="20"/>
          <w:szCs w:val="20"/>
          <w:color w:val="auto"/>
        </w:rPr>
      </w:pPr>
    </w:p>
    <w:p>
      <w:pPr>
        <w:jc w:val="both"/>
        <w:ind w:firstLine="8"/>
        <w:spacing w:after="0" w:line="231" w:lineRule="auto"/>
        <w:tabs>
          <w:tab w:leader="none" w:pos="50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are governed by terms and conditions identical to those of the Plan, which is incorporated herein by reference. Participant</w:t>
      </w:r>
    </w:p>
    <w:p>
      <w:pPr>
        <w:spacing w:after="0" w:line="1" w:lineRule="exact"/>
        <w:rPr>
          <w:rFonts w:ascii="Arial" w:cs="Arial" w:eastAsia="Arial" w:hAnsi="Arial"/>
          <w:sz w:val="18"/>
          <w:szCs w:val="18"/>
          <w:b w:val="1"/>
          <w:bCs w:val="1"/>
          <w:color w:val="auto"/>
        </w:rPr>
      </w:pPr>
    </w:p>
    <w:p>
      <w:pPr>
        <w:jc w:val="both"/>
        <w:spacing w:after="0" w:line="213" w:lineRule="auto"/>
        <w:rPr>
          <w:rFonts w:ascii="Arial" w:cs="Arial" w:eastAsia="Arial" w:hAnsi="Arial"/>
          <w:sz w:val="18"/>
          <w:szCs w:val="18"/>
          <w:b w:val="1"/>
          <w:bCs w:val="1"/>
          <w:color w:val="auto"/>
        </w:rPr>
      </w:pPr>
      <w:r>
        <w:rPr>
          <w:rFonts w:ascii="Arial" w:cs="Arial" w:eastAsia="Arial" w:hAnsi="Arial"/>
          <w:sz w:val="20"/>
          <w:szCs w:val="20"/>
          <w:color w:val="auto"/>
        </w:rPr>
        <w:t>(i)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w:t>
      </w:r>
    </w:p>
    <w:p>
      <w:pPr>
        <w:spacing w:after="0" w:line="148" w:lineRule="exact"/>
        <w:rPr>
          <w:rFonts w:ascii="Arial" w:cs="Arial" w:eastAsia="Arial" w:hAnsi="Arial"/>
          <w:sz w:val="18"/>
          <w:szCs w:val="18"/>
          <w:b w:val="1"/>
          <w:bCs w:val="1"/>
          <w:color w:val="auto"/>
        </w:rPr>
      </w:pPr>
    </w:p>
    <w:p>
      <w:pPr>
        <w:jc w:val="both"/>
        <w:ind w:firstLine="8"/>
        <w:spacing w:after="0" w:line="230" w:lineRule="auto"/>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 Severability</w:t>
      </w:r>
      <w:r>
        <w:rPr>
          <w:rFonts w:ascii="Arial" w:cs="Arial" w:eastAsia="Arial" w:hAnsi="Arial"/>
          <w:sz w:val="18"/>
          <w:szCs w:val="18"/>
          <w:color w:val="auto"/>
        </w:rPr>
        <w:t>. This Agreement, the Plan and the Notice constitute the entire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 If any provision of this Agreement is determined by a court of law to be illegal or unenforceable, then such provision will be enforced to the maximum extent possible and the other provisions will remain fully effective and enforceable.</w:t>
      </w:r>
    </w:p>
    <w:p>
      <w:pPr>
        <w:spacing w:after="0" w:line="150" w:lineRule="exact"/>
        <w:rPr>
          <w:rFonts w:ascii="Arial" w:cs="Arial" w:eastAsia="Arial" w:hAnsi="Arial"/>
          <w:sz w:val="18"/>
          <w:szCs w:val="18"/>
          <w:b w:val="1"/>
          <w:bCs w:val="1"/>
          <w:color w:val="auto"/>
        </w:rPr>
      </w:pPr>
    </w:p>
    <w:p>
      <w:pPr>
        <w:ind w:left="360" w:hanging="352"/>
        <w:spacing w:after="0"/>
        <w:tabs>
          <w:tab w:leader="none" w:pos="3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Stop Transfer Orders</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jc w:val="both"/>
        <w:ind w:firstLine="656"/>
        <w:spacing w:after="0" w:line="218" w:lineRule="auto"/>
        <w:tabs>
          <w:tab w:leader="none" w:pos="1200"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Stop-Transfer Notices</w:t>
      </w:r>
      <w:r>
        <w:rPr>
          <w:rFonts w:ascii="Arial" w:cs="Arial" w:eastAsia="Arial" w:hAnsi="Arial"/>
          <w:sz w:val="20"/>
          <w:szCs w:val="20"/>
          <w:color w:val="auto"/>
        </w:rPr>
        <w:t>. Participant agrees that, in order to ensure compliance with the restrictions referred to herein, the Company may issue appropriate “stop transfer” restrictions to its transfer agent, if any, and that if the Company transfers its own securities, it may make appropriate notations to the same effect in its own records.</w:t>
      </w:r>
    </w:p>
    <w:p>
      <w:pPr>
        <w:spacing w:after="0" w:line="156" w:lineRule="exact"/>
        <w:rPr>
          <w:rFonts w:ascii="Arial" w:cs="Arial" w:eastAsia="Arial" w:hAnsi="Arial"/>
          <w:sz w:val="20"/>
          <w:szCs w:val="20"/>
          <w:color w:val="auto"/>
        </w:rPr>
      </w:pPr>
    </w:p>
    <w:p>
      <w:pPr>
        <w:jc w:val="both"/>
        <w:ind w:firstLine="656"/>
        <w:spacing w:after="0" w:line="218" w:lineRule="auto"/>
        <w:tabs>
          <w:tab w:leader="none" w:pos="1103"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Refusal to Transfer</w:t>
      </w:r>
      <w:r>
        <w:rPr>
          <w:rFonts w:ascii="Arial" w:cs="Arial" w:eastAsia="Arial" w:hAnsi="Arial"/>
          <w:sz w:val="20"/>
          <w:szCs w:val="20"/>
          <w:color w:val="auto"/>
        </w:rPr>
        <w:t>. The Company will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will have been so transferred.</w:t>
      </w:r>
    </w:p>
    <w:p>
      <w:pPr>
        <w:spacing w:after="0" w:line="150" w:lineRule="exact"/>
        <w:rPr>
          <w:rFonts w:ascii="Arial" w:cs="Arial" w:eastAsia="Arial" w:hAnsi="Arial"/>
          <w:sz w:val="20"/>
          <w:szCs w:val="20"/>
          <w:color w:val="auto"/>
        </w:rPr>
      </w:pPr>
    </w:p>
    <w:p>
      <w:pPr>
        <w:jc w:val="both"/>
        <w:ind w:firstLine="8"/>
        <w:spacing w:after="0" w:line="215" w:lineRule="auto"/>
        <w:tabs>
          <w:tab w:leader="none" w:pos="36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Shares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and sale of any Shares will relieve the Company of any liability in respect of the failure to issue or sell the Shares.</w:t>
      </w:r>
    </w:p>
    <w:p>
      <w:pPr>
        <w:spacing w:after="0" w:line="155" w:lineRule="exact"/>
        <w:rPr>
          <w:rFonts w:ascii="Arial" w:cs="Arial" w:eastAsia="Arial" w:hAnsi="Arial"/>
          <w:sz w:val="19"/>
          <w:szCs w:val="19"/>
          <w:b w:val="1"/>
          <w:bCs w:val="1"/>
          <w:color w:val="auto"/>
        </w:rPr>
      </w:pPr>
    </w:p>
    <w:p>
      <w:pPr>
        <w:ind w:right="20" w:firstLine="8"/>
        <w:spacing w:after="0" w:line="276" w:lineRule="auto"/>
        <w:tabs>
          <w:tab w:leader="none" w:pos="45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will affect in any manner whatsoever the right or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 Parent or Subsidiary of the Company, to terminate Participant’s Service, for any reason, with or without cause.</w:t>
      </w:r>
    </w:p>
    <w:p>
      <w:pPr>
        <w:spacing w:after="0" w:line="117" w:lineRule="exact"/>
        <w:rPr>
          <w:rFonts w:ascii="Arial" w:cs="Arial" w:eastAsia="Arial" w:hAnsi="Arial"/>
          <w:sz w:val="18"/>
          <w:szCs w:val="18"/>
          <w:b w:val="1"/>
          <w:bCs w:val="1"/>
          <w:color w:val="auto"/>
        </w:rPr>
      </w:pPr>
    </w:p>
    <w:p>
      <w:pPr>
        <w:ind w:firstLine="8"/>
        <w:spacing w:after="0" w:line="232" w:lineRule="auto"/>
        <w:tabs>
          <w:tab w:leader="none" w:pos="488"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will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giving effect to such state’s conflict of 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32" w:lineRule="exact"/>
        <w:rPr>
          <w:sz w:val="20"/>
          <w:szCs w:val="20"/>
          <w:color w:val="auto"/>
        </w:rPr>
      </w:pPr>
    </w:p>
    <w:p>
      <w:pPr>
        <w:jc w:val="both"/>
        <w:ind w:firstLine="8"/>
        <w:spacing w:after="0" w:line="234" w:lineRule="auto"/>
        <w:tabs>
          <w:tab w:leader="none" w:pos="45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given in writing and will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1" w:lineRule="exact"/>
        <w:rPr>
          <w:rFonts w:ascii="Arial" w:cs="Arial" w:eastAsia="Arial" w:hAnsi="Arial"/>
          <w:sz w:val="18"/>
          <w:szCs w:val="18"/>
          <w:b w:val="1"/>
          <w:bCs w:val="1"/>
          <w:color w:val="auto"/>
        </w:rPr>
      </w:pPr>
    </w:p>
    <w:p>
      <w:pPr>
        <w:jc w:val="both"/>
        <w:ind w:firstLine="8"/>
        <w:spacing w:after="0" w:line="211" w:lineRule="auto"/>
        <w:tabs>
          <w:tab w:leader="none" w:pos="445"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color w:val="auto"/>
        </w:rPr>
        <w:t>. To the extent permitted by applicable law, RSUs will be subject to clawback</w:t>
      </w:r>
      <w:r>
        <w:rPr>
          <w:rFonts w:ascii="Arial" w:cs="Arial" w:eastAsia="Arial" w:hAnsi="Arial"/>
          <w:sz w:val="20"/>
          <w:szCs w:val="20"/>
          <w:b w:val="1"/>
          <w:bCs w:val="1"/>
          <w:color w:val="auto"/>
        </w:rPr>
        <w:t xml:space="preserve"> </w:t>
      </w:r>
      <w:r>
        <w:rPr>
          <w:rFonts w:ascii="Arial" w:cs="Arial" w:eastAsia="Arial" w:hAnsi="Arial"/>
          <w:sz w:val="20"/>
          <w:szCs w:val="20"/>
          <w:color w:val="auto"/>
        </w:rPr>
        <w:t>or recoupment pursuant to any compensation clawback or recoupment policy adopted by the Board or the Committee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56"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BY ACCEPTING THIS AWARD OF RSUS, PARTICIPANT AGREES TO ALL OF THE TERMS AND CONDITIONS DESCRIBED ABOVE AND IN THE PLAN.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INDUCEMENT STOCK OPTION GRANT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a material inducement to your employment, you (the “</w:t>
      </w:r>
      <w:r>
        <w:rPr>
          <w:rFonts w:ascii="Arial" w:cs="Arial" w:eastAsia="Arial" w:hAnsi="Arial"/>
          <w:sz w:val="19"/>
          <w:szCs w:val="19"/>
          <w:b w:val="1"/>
          <w:bCs w:val="1"/>
          <w:i w:val="1"/>
          <w:iCs w:val="1"/>
          <w:color w:val="auto"/>
        </w:rPr>
        <w:t>Optionee</w:t>
      </w:r>
      <w:r>
        <w:rPr>
          <w:rFonts w:ascii="Arial" w:cs="Arial" w:eastAsia="Arial" w:hAnsi="Arial"/>
          <w:sz w:val="19"/>
          <w:szCs w:val="19"/>
          <w:color w:val="auto"/>
        </w:rPr>
        <w:t>”) have been granted an option to purchase shares of the Company’s common stock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by Sema4 Holdings Corp.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Option is granted separate and apart from, and outside of, the Company’s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shall not constitute an award granted under or pursuant to the Plan. However, except as otherwise expressly stated herein, the Option is governed by terms and conditions identical to those of the Plan, which are incorporated herein by reference. The Option is also subject to the terms and conditions of this Notice of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xml:space="preserve">”), and the Inducement Stock Option Agreement,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ectPr>
          <w:pgSz w:w="11900" w:h="16838" w:orient="portrait"/>
          <w:cols w:equalWidth="0" w:num="1">
            <w:col w:w="11240"/>
          </w:cols>
          <w:pgMar w:left="320" w:top="108"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 Name: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w:t>
      </w:r>
    </w:p>
    <w:p>
      <w:pPr>
        <w:spacing w:after="0" w:line="187"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Tax Status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2">
            <w:col w:w="3620" w:space="720"/>
            <w:col w:w="6900"/>
          </w:cols>
          <w:pgMar w:left="320" w:top="108" w:right="339" w:bottom="1440" w:gutter="0" w:footer="0" w:header="0"/>
          <w:type w:val="continuous"/>
        </w:sectPr>
      </w:pPr>
    </w:p>
    <w:p>
      <w:pPr>
        <w:spacing w:after="0" w:line="73" w:lineRule="exact"/>
        <w:rPr>
          <w:sz w:val="20"/>
          <w:szCs w:val="20"/>
          <w:color w:val="auto"/>
        </w:rPr>
      </w:pPr>
    </w:p>
    <w:p>
      <w:pPr>
        <w:ind w:left="1860" w:hanging="2753"/>
        <w:spacing w:after="0" w:line="242" w:lineRule="auto"/>
        <w:tabs>
          <w:tab w:leader="none" w:pos="184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Subject to the limitations set forth in this Notice, the Plan, and the Option Agreement, the Option will vest and become exercisable with respect to 25% of the underlying shares on the first anniversary the Vesting Commencement Date, 25% of the underlying shares on the second anniversary of the Vesting Commencement Date, and 6.25% of the underlying shares on a quarterly basis thereafter through the fourth anniversary of the Vesting Commencement Date, subject to your continued Service through the applicable vesting date. The Option will vest in connection with a termination of Service solely to the extent set forth in an employment agreement or other individual agreement entered into between you and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Option, Optionee acknowledges and agrees to the following:</w:t>
      </w:r>
    </w:p>
    <w:p>
      <w:pPr>
        <w:spacing w:after="0" w:line="162" w:lineRule="exact"/>
        <w:rPr>
          <w:sz w:val="20"/>
          <w:szCs w:val="20"/>
          <w:color w:val="auto"/>
        </w:rPr>
      </w:pPr>
    </w:p>
    <w:p>
      <w:pPr>
        <w:jc w:val="both"/>
        <w:ind w:left="660" w:hanging="328"/>
        <w:spacing w:after="0" w:line="276" w:lineRule="auto"/>
        <w:tabs>
          <w:tab w:leader="none" w:pos="7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Optionee understands that Optionee’s Service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except where otherwise prohibited by applicable law, and that nothing in this Notice, the Option Agreement, or the Plan changes the nature of that relationship. Optionee acknowledges that the vesting of the Option pursuant to this Notice is subject to Optionee’s continuing Service. Optionee agrees and acknowledges that the Vesting Schedule may change prospectively in the event that Optionee’s Service status changes between full- and part-time and/or in the event the Optionee is on a leave of absence, in accordance with Company policies relating to work schedules and vesting of Awards or as determined by the Committee.</w:t>
      </w:r>
    </w:p>
    <w:p>
      <w:pPr>
        <w:sectPr>
          <w:pgSz w:w="11900" w:h="16838" w:orient="portrait"/>
          <w:cols w:equalWidth="0" w:num="1">
            <w:col w:w="11240"/>
          </w:cols>
          <w:pgMar w:left="320" w:top="108" w:right="339" w:bottom="1440" w:gutter="0" w:footer="0" w:header="0"/>
          <w:type w:val="continuous"/>
        </w:sectPr>
      </w:pPr>
    </w:p>
    <w:bookmarkStart w:id="19" w:name="page20"/>
    <w:bookmarkEnd w:id="19"/>
    <w:p>
      <w:pPr>
        <w:jc w:val="both"/>
        <w:ind w:left="640" w:hanging="328"/>
        <w:spacing w:after="0" w:line="250" w:lineRule="auto"/>
        <w:tabs>
          <w:tab w:leader="none" w:pos="717"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This grant is made under and governed by the Plan, the Option Agreement, and this Notice, and this Notice is subject to the terms and conditions of the Option Agreement and the Plan, both of which are incorporated herein by reference. Optionee has read the Notice, the Option Agreement and the Plan.</w:t>
      </w:r>
    </w:p>
    <w:p>
      <w:pPr>
        <w:spacing w:after="0" w:line="131" w:lineRule="exact"/>
        <w:rPr>
          <w:rFonts w:ascii="Arial" w:cs="Arial" w:eastAsia="Arial" w:hAnsi="Arial"/>
          <w:sz w:val="20"/>
          <w:szCs w:val="20"/>
          <w:color w:val="auto"/>
        </w:rPr>
      </w:pPr>
    </w:p>
    <w:p>
      <w:pPr>
        <w:ind w:left="640" w:right="80" w:hanging="328"/>
        <w:spacing w:after="0" w:line="260" w:lineRule="auto"/>
        <w:tabs>
          <w:tab w:leader="none" w:pos="679" w:val="left"/>
        </w:tabs>
        <w:numPr>
          <w:ilvl w:val="0"/>
          <w:numId w:val="16"/>
        </w:numPr>
        <w:rPr>
          <w:rFonts w:ascii="Arial" w:cs="Arial" w:eastAsia="Arial" w:hAnsi="Arial"/>
          <w:sz w:val="20"/>
          <w:szCs w:val="20"/>
          <w:color w:val="auto"/>
        </w:rPr>
      </w:pPr>
      <w:r>
        <w:rPr>
          <w:rFonts w:ascii="Arial" w:cs="Arial" w:eastAsia="Arial" w:hAnsi="Arial"/>
          <w:sz w:val="20"/>
          <w:szCs w:val="20"/>
          <w:color w:val="auto"/>
        </w:rPr>
        <w:t>Optionee has read the Company’s Insider Trading Policy, and agrees to comply with such policy, as it may be amended from time to time, whenever Optionee acquires or disposes of the Company’s securities.</w:t>
      </w:r>
    </w:p>
    <w:p>
      <w:pPr>
        <w:spacing w:after="0" w:line="122" w:lineRule="exact"/>
        <w:rPr>
          <w:rFonts w:ascii="Arial" w:cs="Arial" w:eastAsia="Arial" w:hAnsi="Arial"/>
          <w:sz w:val="20"/>
          <w:szCs w:val="20"/>
          <w:color w:val="auto"/>
        </w:rPr>
      </w:pPr>
    </w:p>
    <w:p>
      <w:pPr>
        <w:ind w:left="680" w:hanging="368"/>
        <w:spacing w:after="0"/>
        <w:tabs>
          <w:tab w:leader="none" w:pos="6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accepting the Option, Optionee consents to electronic delivery and participation as set forth in the Option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OPTIONEE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 w:lineRule="exact"/>
        <w:rPr>
          <w:sz w:val="20"/>
          <w:szCs w:val="20"/>
          <w:color w:val="auto"/>
        </w:rPr>
      </w:pPr>
    </w:p>
    <w:p>
      <w:pPr>
        <w:ind w:left="1860" w:hanging="302"/>
        <w:spacing w:after="0"/>
        <w:tabs>
          <w:tab w:leader="none" w:pos="1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-19050</wp:posOffset>
            </wp:positionV>
            <wp:extent cx="158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57" w:lineRule="exact"/>
        <w:rPr>
          <w:sz w:val="20"/>
          <w:szCs w:val="20"/>
          <w:color w:val="auto"/>
        </w:rPr>
      </w:pPr>
    </w:p>
    <w:p>
      <w:pPr>
        <w:spacing w:after="0"/>
        <w:tabs>
          <w:tab w:leader="none" w:pos="1540" w:val="left"/>
          <w:tab w:leader="none" w:pos="18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1905</wp:posOffset>
            </wp:positionV>
            <wp:extent cx="158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SEMA4 HOLDINGS CORP.</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By: Daniel E. Clark</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Its: General Counsel</w:t>
      </w:r>
    </w:p>
    <w:p>
      <w:pPr>
        <w:sectPr>
          <w:pgSz w:w="11900" w:h="16838" w:orient="portrait"/>
          <w:cols w:equalWidth="0" w:num="1">
            <w:col w:w="11220"/>
          </w:cols>
          <w:pgMar w:left="340" w:top="1419"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385"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ANNEX A</w:t>
      </w:r>
    </w:p>
    <w:p>
      <w:pPr>
        <w:spacing w:after="0" w:line="156"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SEMA4 HOLDINGS CORP.</w:t>
      </w:r>
    </w:p>
    <w:p>
      <w:pPr>
        <w:jc w:val="center"/>
        <w:spacing w:after="0"/>
        <w:rPr>
          <w:sz w:val="20"/>
          <w:szCs w:val="20"/>
          <w:color w:val="auto"/>
        </w:rPr>
      </w:pPr>
      <w:r>
        <w:rPr>
          <w:rFonts w:ascii="Arial" w:cs="Arial" w:eastAsia="Arial" w:hAnsi="Arial"/>
          <w:sz w:val="20"/>
          <w:szCs w:val="20"/>
          <w:b w:val="1"/>
          <w:bCs w:val="1"/>
          <w:color w:val="auto"/>
        </w:rPr>
        <w:t>INDUCEMENT STOCK OPTION AGREEMENT</w:t>
      </w:r>
    </w:p>
    <w:p>
      <w:pPr>
        <w:spacing w:after="0" w:line="159"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Unless otherwise defined in this Inducement Stock Option Agreement (this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any capitalized terms used and not otherwise defined in the Notice of Stock Option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meanings ascribed to them in the Sema4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50"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color w:val="auto"/>
        </w:rPr>
        <w:t>Optionee has been granted an option to purchase Shares of the Company (the “</w:t>
      </w:r>
      <w:r>
        <w:rPr>
          <w:rFonts w:ascii="Arial" w:cs="Arial" w:eastAsia="Arial" w:hAnsi="Arial"/>
          <w:sz w:val="19"/>
          <w:szCs w:val="19"/>
          <w:b w:val="1"/>
          <w:bCs w:val="1"/>
          <w:color w:val="auto"/>
        </w:rPr>
        <w:t>Option</w:t>
      </w:r>
      <w:r>
        <w:rPr>
          <w:rFonts w:ascii="Arial" w:cs="Arial" w:eastAsia="Arial" w:hAnsi="Arial"/>
          <w:sz w:val="19"/>
          <w:szCs w:val="19"/>
          <w:color w:val="auto"/>
        </w:rPr>
        <w:t>”) as a stand-alone award, separate and apart from, and outside of, the Plan, and the Option shall not constitute an award granted under or pursuant to the Plan. However, except as otherwise expressly stated herein, the Option is governed by terms and conditions identical to those of the Plan, which is incorporated herein by reference. In the event of a conflict between the terms and conditions of the Plan and the terms and conditions of the Notice or this Option Agreement, the terms and conditions of the Notice and the Agreement will prevail.</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Option is intended to constitute an employment inducement award pursuant to Nasdaq Stock Market Listing Rule 5635(c)(4), and consequently is intended to be exempt from the Nasdaq listing rules regarding stockholder approval of equity compensation plans. This Agreement and the terms and conditions of the Option shall be interpreted in accordance and consistent with such exemption.</w:t>
      </w:r>
    </w:p>
    <w:p>
      <w:pPr>
        <w:spacing w:after="0" w:line="146" w:lineRule="exact"/>
        <w:rPr>
          <w:sz w:val="20"/>
          <w:szCs w:val="20"/>
          <w:color w:val="auto"/>
        </w:rPr>
      </w:pPr>
    </w:p>
    <w:p>
      <w:pPr>
        <w:jc w:val="both"/>
        <w:ind w:firstLine="656"/>
        <w:spacing w:after="0" w:line="208" w:lineRule="auto"/>
        <w:tabs>
          <w:tab w:leader="none" w:pos="994" w:val="left"/>
        </w:tabs>
        <w:numPr>
          <w:ilvl w:val="0"/>
          <w:numId w:val="1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applicable provisions of the Plan and this Option Agreement, the Option may be exercised, in whole or in</w:t>
      </w:r>
      <w:r>
        <w:rPr>
          <w:rFonts w:ascii="Arial" w:cs="Arial" w:eastAsia="Arial" w:hAnsi="Arial"/>
          <w:sz w:val="20"/>
          <w:szCs w:val="20"/>
          <w:b w:val="1"/>
          <w:bCs w:val="1"/>
          <w:color w:val="auto"/>
        </w:rPr>
        <w:t xml:space="preserve"> </w:t>
      </w:r>
      <w:r>
        <w:rPr>
          <w:rFonts w:ascii="Arial" w:cs="Arial" w:eastAsia="Arial" w:hAnsi="Arial"/>
          <w:sz w:val="20"/>
          <w:szCs w:val="20"/>
          <w:color w:val="auto"/>
        </w:rPr>
        <w:t>part, in accordance with the Vesting Schedule set forth in the Notice.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the Notice and this Option Agreement is subject to Optionee’s continuing Service.</w:t>
      </w:r>
    </w:p>
    <w:p>
      <w:pPr>
        <w:spacing w:after="0" w:line="154" w:lineRule="exact"/>
        <w:rPr>
          <w:rFonts w:ascii="Arial" w:cs="Arial" w:eastAsia="Arial" w:hAnsi="Arial"/>
          <w:sz w:val="20"/>
          <w:szCs w:val="20"/>
          <w:b w:val="1"/>
          <w:bCs w:val="1"/>
          <w:color w:val="010000"/>
        </w:rPr>
      </w:pPr>
    </w:p>
    <w:p>
      <w:pPr>
        <w:jc w:val="both"/>
        <w:ind w:firstLine="656"/>
        <w:spacing w:after="0" w:line="238" w:lineRule="auto"/>
        <w:tabs>
          <w:tab w:leader="none" w:pos="1008" w:val="left"/>
        </w:tabs>
        <w:numPr>
          <w:ilvl w:val="0"/>
          <w:numId w:val="1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has been granted an Option for the number of Shares set forth in the Notice at the exercise price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U.S. Dollars set forth in the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If designated in the Notice as an Incentive Stock Option (“</w:t>
      </w:r>
      <w:r>
        <w:rPr>
          <w:rFonts w:ascii="Arial" w:cs="Arial" w:eastAsia="Arial" w:hAnsi="Arial"/>
          <w:sz w:val="18"/>
          <w:szCs w:val="18"/>
          <w:b w:val="1"/>
          <w:bCs w:val="1"/>
          <w:i w:val="1"/>
          <w:iCs w:val="1"/>
          <w:color w:val="auto"/>
        </w:rPr>
        <w:t>ISO</w:t>
      </w:r>
      <w:r>
        <w:rPr>
          <w:rFonts w:ascii="Arial" w:cs="Arial" w:eastAsia="Arial" w:hAnsi="Arial"/>
          <w:sz w:val="18"/>
          <w:szCs w:val="18"/>
          <w:color w:val="auto"/>
        </w:rPr>
        <w:t>”), the Option is intended to qualify as an Incentive Stock Option under Section 422 of the Code. However, if the Option is intended to be an ISO, to the extent that it exceeds the U.S. $100,000 rule of Code Section 422(d) it will be treated as a Nonqualified Stock Option (“</w:t>
      </w:r>
      <w:r>
        <w:rPr>
          <w:rFonts w:ascii="Arial" w:cs="Arial" w:eastAsia="Arial" w:hAnsi="Arial"/>
          <w:sz w:val="18"/>
          <w:szCs w:val="18"/>
          <w:b w:val="1"/>
          <w:bCs w:val="1"/>
          <w:i w:val="1"/>
          <w:iCs w:val="1"/>
          <w:color w:val="auto"/>
        </w:rPr>
        <w:t>NSO</w:t>
      </w:r>
      <w:r>
        <w:rPr>
          <w:rFonts w:ascii="Arial" w:cs="Arial" w:eastAsia="Arial" w:hAnsi="Arial"/>
          <w:sz w:val="18"/>
          <w:szCs w:val="18"/>
          <w:color w:val="auto"/>
        </w:rPr>
        <w:t>”).</w:t>
      </w:r>
    </w:p>
    <w:p>
      <w:pPr>
        <w:spacing w:after="0" w:line="150" w:lineRule="exact"/>
        <w:rPr>
          <w:rFonts w:ascii="Arial" w:cs="Arial" w:eastAsia="Arial" w:hAnsi="Arial"/>
          <w:sz w:val="18"/>
          <w:szCs w:val="18"/>
          <w:b w:val="1"/>
          <w:bCs w:val="1"/>
          <w:color w:val="010000"/>
        </w:rPr>
      </w:pPr>
    </w:p>
    <w:p>
      <w:pPr>
        <w:ind w:left="1000" w:hanging="344"/>
        <w:spacing w:after="0"/>
        <w:tabs>
          <w:tab w:leader="none" w:pos="1000" w:val="left"/>
        </w:tabs>
        <w:numPr>
          <w:ilvl w:val="0"/>
          <w:numId w:val="1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Termination Period</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010000"/>
        </w:rPr>
      </w:pPr>
    </w:p>
    <w:p>
      <w:pPr>
        <w:jc w:val="both"/>
        <w:ind w:firstLine="1709"/>
        <w:spacing w:after="0" w:line="221" w:lineRule="auto"/>
        <w:tabs>
          <w:tab w:leader="none" w:pos="2118" w:val="left"/>
        </w:tabs>
        <w:numPr>
          <w:ilvl w:val="1"/>
          <w:numId w:val="1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If Optionee’s Service terminates for any reason except death or Disability, and other than for Cause, then the Option will expire at the close of business at Company headquarters on the date three (3) months after Optionee’s Termination Date (as defined below) (with any exercise beyond three (3) months after the date Optionee’s employment terminates deemed to be the exercise of an NSO), but in any event no later than the Expiration Date of the Option set forth in the Notice. The Company determines when Optionee’s Service terminates for all purposes under this Option Agreement.</w:t>
      </w:r>
    </w:p>
    <w:p>
      <w:pPr>
        <w:spacing w:after="0" w:line="155" w:lineRule="exact"/>
        <w:rPr>
          <w:rFonts w:ascii="Arial" w:cs="Arial" w:eastAsia="Arial" w:hAnsi="Arial"/>
          <w:sz w:val="19"/>
          <w:szCs w:val="19"/>
          <w:color w:val="010000"/>
        </w:rPr>
      </w:pPr>
    </w:p>
    <w:p>
      <w:pPr>
        <w:jc w:val="both"/>
        <w:ind w:firstLine="1709"/>
        <w:spacing w:after="0" w:line="207" w:lineRule="auto"/>
        <w:tabs>
          <w:tab w:leader="none" w:pos="2129" w:val="left"/>
        </w:tabs>
        <w:numPr>
          <w:ilvl w:val="1"/>
          <w:numId w:val="18"/>
        </w:numPr>
        <w:rPr>
          <w:rFonts w:ascii="Arial" w:cs="Arial" w:eastAsia="Arial" w:hAnsi="Arial"/>
          <w:sz w:val="20"/>
          <w:szCs w:val="20"/>
          <w:color w:val="010000"/>
        </w:rPr>
      </w:pPr>
      <w:r>
        <w:rPr>
          <w:rFonts w:ascii="Arial" w:cs="Arial" w:eastAsia="Arial" w:hAnsi="Arial"/>
          <w:sz w:val="20"/>
          <w:szCs w:val="20"/>
          <w:u w:val="single" w:color="auto"/>
          <w:color w:val="auto"/>
        </w:rPr>
        <w:t>Death; Disability</w:t>
      </w:r>
      <w:r>
        <w:rPr>
          <w:rFonts w:ascii="Arial" w:cs="Arial" w:eastAsia="Arial" w:hAnsi="Arial"/>
          <w:sz w:val="20"/>
          <w:szCs w:val="20"/>
          <w:color w:val="auto"/>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but in any event no later than the Expiration Date of the Option set forth in the Notice. If Optionee’s Service terminates because of Optionee’s Disability, then the Option will expire at the close of business at Company headquarters on the date twelve (12) months after Optionee’s Termination Date, but in any event no later than the Expiration Date of the Option set forth in the Notice.</w:t>
      </w:r>
    </w:p>
    <w:p>
      <w:pPr>
        <w:spacing w:after="0" w:line="159" w:lineRule="exact"/>
        <w:rPr>
          <w:rFonts w:ascii="Arial" w:cs="Arial" w:eastAsia="Arial" w:hAnsi="Arial"/>
          <w:sz w:val="20"/>
          <w:szCs w:val="20"/>
          <w:color w:val="010000"/>
        </w:rPr>
      </w:pPr>
    </w:p>
    <w:p>
      <w:pPr>
        <w:jc w:val="both"/>
        <w:ind w:firstLine="1709"/>
        <w:spacing w:after="0" w:line="236" w:lineRule="auto"/>
        <w:tabs>
          <w:tab w:leader="none" w:pos="2280" w:val="left"/>
        </w:tabs>
        <w:numPr>
          <w:ilvl w:val="1"/>
          <w:numId w:val="18"/>
        </w:numPr>
        <w:rPr>
          <w:rFonts w:ascii="Arial" w:cs="Arial" w:eastAsia="Arial" w:hAnsi="Arial"/>
          <w:sz w:val="18"/>
          <w:szCs w:val="18"/>
          <w:color w:val="010000"/>
        </w:rPr>
      </w:pPr>
      <w:r>
        <w:rPr>
          <w:rFonts w:ascii="Arial" w:cs="Arial" w:eastAsia="Arial" w:hAnsi="Arial"/>
          <w:sz w:val="18"/>
          <w:szCs w:val="18"/>
          <w:u w:val="single" w:color="auto"/>
          <w:color w:val="auto"/>
        </w:rPr>
        <w:t>Cause</w:t>
      </w:r>
      <w:r>
        <w:rPr>
          <w:rFonts w:ascii="Arial" w:cs="Arial" w:eastAsia="Arial" w:hAnsi="Arial"/>
          <w:sz w:val="18"/>
          <w:szCs w:val="18"/>
          <w:color w:val="auto"/>
        </w:rPr>
        <w:t>. Unless otherwise determined by the Committee, the Option (whether or not vested) will terminate immediately upon the Optionee’s cessation of Service if the Company reasonably determines in good faith that such cessation of Service has resulted in connection with an act or failure to act constituting Cause (or the Optionee’s Service could have been terminated for Cause (without regard to the lapsing of any required notice or cure periods in connection therewith) at the time the Optionee terminated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08" w:right="339" w:bottom="1440" w:gutter="0" w:footer="0" w:header="0"/>
        </w:sectPr>
      </w:pPr>
    </w:p>
    <w:bookmarkStart w:id="21" w:name="page22"/>
    <w:bookmarkEnd w:id="21"/>
    <w:p>
      <w:pPr>
        <w:ind w:left="-656" w:right="20" w:firstLine="1709"/>
        <w:spacing w:after="0" w:line="242" w:lineRule="auto"/>
        <w:tabs>
          <w:tab w:leader="none" w:pos="1487" w:val="left"/>
        </w:tabs>
        <w:numPr>
          <w:ilvl w:val="1"/>
          <w:numId w:val="19"/>
        </w:numPr>
        <w:rPr>
          <w:rFonts w:ascii="Arial" w:cs="Arial" w:eastAsia="Arial" w:hAnsi="Arial"/>
          <w:sz w:val="19"/>
          <w:szCs w:val="19"/>
          <w:color w:val="010000"/>
        </w:rPr>
      </w:pPr>
      <w:r>
        <w:rPr>
          <w:rFonts w:ascii="Arial" w:cs="Arial" w:eastAsia="Arial" w:hAnsi="Arial"/>
          <w:sz w:val="19"/>
          <w:szCs w:val="19"/>
          <w:u w:val="single" w:color="auto"/>
          <w:color w:val="auto"/>
        </w:rPr>
        <w:t>No Notification of Exercise Periods</w:t>
      </w:r>
      <w:r>
        <w:rPr>
          <w:rFonts w:ascii="Arial" w:cs="Arial" w:eastAsia="Arial" w:hAnsi="Arial"/>
          <w:sz w:val="19"/>
          <w:szCs w:val="19"/>
          <w:color w:val="auto"/>
        </w:rPr>
        <w:t>. Optionee is responsible for keeping track of these exercise periods following Optionee’s termination of Service for any reason. The Company will not provide further notice of such periods.</w:t>
      </w:r>
    </w:p>
    <w:p>
      <w:pPr>
        <w:spacing w:after="0" w:line="153" w:lineRule="exact"/>
        <w:rPr>
          <w:rFonts w:ascii="Arial" w:cs="Arial" w:eastAsia="Arial" w:hAnsi="Arial"/>
          <w:sz w:val="19"/>
          <w:szCs w:val="19"/>
          <w:color w:val="010000"/>
        </w:rPr>
      </w:pPr>
    </w:p>
    <w:p>
      <w:pPr>
        <w:jc w:val="both"/>
        <w:ind w:left="-656" w:firstLine="1709"/>
        <w:spacing w:after="0" w:line="223" w:lineRule="auto"/>
        <w:tabs>
          <w:tab w:leader="none" w:pos="1462" w:val="left"/>
        </w:tabs>
        <w:numPr>
          <w:ilvl w:val="1"/>
          <w:numId w:val="19"/>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 For purposes of this Option, Optionee’s Service will be considered terminated as of the date Optionee is no longer providing Service to the Company, its Parent or one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The Committee will have the exclusive discretion to determine when Optionee is no longer actively providing Service for purposes of Optionee’s Option (including whether Optionee may still be considered to be providing Service while on an approved leave of absence). Unless otherwise provided in this Option Agreement or determined by the Company, Optionee’s right to vest in this Option under the Plan, if any, will terminate as of the Termination Date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Following the Termination Date, Optionee may exercise the Option only as set forth in the Notice and this Section, provided that the period (if any) during which Optionee may exercise the Option after the Termination Date, if any, will commence on the date Optionee ceases to provide Service and will not be extended by any notice period mandated under employment laws in the jurisdiction where Optionee is employed or terms of Optionee’s employment agreement, if any. If Optionee does not exercise this Option within the termination period set forth in the Notice or the termination periods set forth above, the Option will terminate in its entirety. In no event may the Option be exercised after the Expiration Date of the Option as set forth in the Notice.</w:t>
      </w:r>
    </w:p>
    <w:p>
      <w:pPr>
        <w:spacing w:after="0" w:line="160" w:lineRule="exact"/>
        <w:rPr>
          <w:rFonts w:ascii="Arial" w:cs="Arial" w:eastAsia="Arial" w:hAnsi="Arial"/>
          <w:sz w:val="18"/>
          <w:szCs w:val="18"/>
          <w:color w:val="010000"/>
        </w:rPr>
      </w:pPr>
    </w:p>
    <w:p>
      <w:pPr>
        <w:ind w:left="344" w:hanging="344"/>
        <w:spacing w:after="0"/>
        <w:tabs>
          <w:tab w:leader="none" w:pos="344" w:val="left"/>
        </w:tabs>
        <w:numPr>
          <w:ilvl w:val="0"/>
          <w:numId w:val="2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010000"/>
        </w:rPr>
      </w:pPr>
    </w:p>
    <w:p>
      <w:pPr>
        <w:jc w:val="both"/>
        <w:ind w:left="-656" w:firstLine="1709"/>
        <w:spacing w:after="0" w:line="213" w:lineRule="auto"/>
        <w:tabs>
          <w:tab w:leader="none" w:pos="1503" w:val="left"/>
        </w:tabs>
        <w:numPr>
          <w:ilvl w:val="1"/>
          <w:numId w:val="20"/>
        </w:numPr>
        <w:rPr>
          <w:rFonts w:ascii="Arial" w:cs="Arial" w:eastAsia="Arial" w:hAnsi="Arial"/>
          <w:sz w:val="20"/>
          <w:szCs w:val="20"/>
          <w:color w:val="010000"/>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The Option is exercisable during its term in accordance with the Vesting Schedule set forth in the Notice and the applicable provisions of the Plan and this Option Agreement. In the event of Optionee’s death, Disability, termination for Cause, or other cessation of Service, the exercisability of the Option is governed by the applicable provisions of the Plan, the Notice, and this Option Agreement. The Option may not be exercised for a fraction of a Share.</w:t>
      </w:r>
    </w:p>
    <w:p>
      <w:pPr>
        <w:spacing w:after="0" w:line="155" w:lineRule="exact"/>
        <w:rPr>
          <w:rFonts w:ascii="Arial" w:cs="Arial" w:eastAsia="Arial" w:hAnsi="Arial"/>
          <w:sz w:val="20"/>
          <w:szCs w:val="20"/>
          <w:color w:val="010000"/>
        </w:rPr>
      </w:pPr>
    </w:p>
    <w:p>
      <w:pPr>
        <w:jc w:val="both"/>
        <w:ind w:left="-656" w:firstLine="1709"/>
        <w:spacing w:after="0" w:line="225" w:lineRule="auto"/>
        <w:tabs>
          <w:tab w:leader="none" w:pos="1595" w:val="left"/>
        </w:tabs>
        <w:numPr>
          <w:ilvl w:val="1"/>
          <w:numId w:val="20"/>
        </w:numPr>
        <w:rPr>
          <w:rFonts w:ascii="Arial" w:cs="Arial" w:eastAsia="Arial" w:hAnsi="Arial"/>
          <w:sz w:val="18"/>
          <w:szCs w:val="18"/>
          <w:color w:val="010000"/>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Option is exercisable by delivery of an exercise notice in a form specified by the Company (the “</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which will state the election to exercise the Option, the number of Shares in respect of which the Option is being exercised (the “</w:t>
      </w:r>
      <w:r>
        <w:rPr>
          <w:rFonts w:ascii="Arial" w:cs="Arial" w:eastAsia="Arial" w:hAnsi="Arial"/>
          <w:sz w:val="18"/>
          <w:szCs w:val="18"/>
          <w:b w:val="1"/>
          <w:bCs w:val="1"/>
          <w:i w:val="1"/>
          <w:iCs w:val="1"/>
          <w:color w:val="auto"/>
        </w:rPr>
        <w:t>Exercised Shares</w:t>
      </w:r>
      <w:r>
        <w:rPr>
          <w:rFonts w:ascii="Arial" w:cs="Arial" w:eastAsia="Arial" w:hAnsi="Arial"/>
          <w:sz w:val="18"/>
          <w:szCs w:val="18"/>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for United States income tax purposes the Exercised Shares will be considered transferred to Optionee on the date the Option is exercised with respect to such Exercised Shares.</w:t>
      </w:r>
    </w:p>
    <w:p>
      <w:pPr>
        <w:spacing w:after="0" w:line="160" w:lineRule="exact"/>
        <w:rPr>
          <w:rFonts w:ascii="Arial" w:cs="Arial" w:eastAsia="Arial" w:hAnsi="Arial"/>
          <w:sz w:val="18"/>
          <w:szCs w:val="18"/>
          <w:color w:val="010000"/>
        </w:rPr>
      </w:pPr>
    </w:p>
    <w:p>
      <w:pPr>
        <w:jc w:val="both"/>
        <w:ind w:left="-656" w:firstLine="1709"/>
        <w:spacing w:after="0" w:line="213" w:lineRule="auto"/>
        <w:tabs>
          <w:tab w:leader="none" w:pos="1489" w:val="left"/>
        </w:tabs>
        <w:numPr>
          <w:ilvl w:val="1"/>
          <w:numId w:val="20"/>
        </w:numPr>
        <w:rPr>
          <w:rFonts w:ascii="Arial" w:cs="Arial" w:eastAsia="Arial" w:hAnsi="Arial"/>
          <w:sz w:val="20"/>
          <w:szCs w:val="20"/>
          <w:color w:val="010000"/>
        </w:rPr>
      </w:pPr>
      <w:r>
        <w:rPr>
          <w:rFonts w:ascii="Arial" w:cs="Arial" w:eastAsia="Arial" w:hAnsi="Arial"/>
          <w:sz w:val="20"/>
          <w:szCs w:val="20"/>
          <w:u w:val="single" w:color="auto"/>
          <w:color w:val="auto"/>
        </w:rPr>
        <w:t>Exercise by Another</w:t>
      </w:r>
      <w:r>
        <w:rPr>
          <w:rFonts w:ascii="Arial" w:cs="Arial" w:eastAsia="Arial" w:hAnsi="Arial"/>
          <w:sz w:val="20"/>
          <w:szCs w:val="20"/>
          <w:color w:val="auto"/>
        </w:rPr>
        <w:t>. If another person wants to exercise the Option after it has been transferred to him or her in compliance with this Option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49" w:lineRule="exact"/>
        <w:rPr>
          <w:rFonts w:ascii="Arial" w:cs="Arial" w:eastAsia="Arial" w:hAnsi="Arial"/>
          <w:sz w:val="20"/>
          <w:szCs w:val="20"/>
          <w:color w:val="010000"/>
        </w:rPr>
      </w:pPr>
    </w:p>
    <w:p>
      <w:pPr>
        <w:ind w:left="-656" w:firstLine="656"/>
        <w:spacing w:after="0" w:line="232" w:lineRule="auto"/>
        <w:tabs>
          <w:tab w:leader="none" w:pos="365" w:val="left"/>
        </w:tabs>
        <w:numPr>
          <w:ilvl w:val="0"/>
          <w:numId w:val="2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Method of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aggregate Exercise Price will be by any of the following, or a combination thereof, at the</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of Optionee:</w:t>
      </w:r>
    </w:p>
    <w:p>
      <w:pPr>
        <w:spacing w:after="0" w:line="155" w:lineRule="exact"/>
        <w:rPr>
          <w:rFonts w:ascii="Arial" w:cs="Arial" w:eastAsia="Arial" w:hAnsi="Arial"/>
          <w:sz w:val="20"/>
          <w:szCs w:val="20"/>
          <w:b w:val="1"/>
          <w:bCs w:val="1"/>
          <w:color w:val="010000"/>
        </w:rPr>
      </w:pPr>
    </w:p>
    <w:p>
      <w:pPr>
        <w:ind w:left="1464" w:hanging="411"/>
        <w:spacing w:after="0"/>
        <w:tabs>
          <w:tab w:leader="none" w:pos="1464" w:val="left"/>
        </w:tabs>
        <w:numPr>
          <w:ilvl w:val="1"/>
          <w:numId w:val="20"/>
        </w:numPr>
        <w:rPr>
          <w:rFonts w:ascii="Arial" w:cs="Arial" w:eastAsia="Arial" w:hAnsi="Arial"/>
          <w:sz w:val="20"/>
          <w:szCs w:val="20"/>
          <w:color w:val="010000"/>
        </w:rPr>
      </w:pPr>
      <w:r>
        <w:rPr>
          <w:rFonts w:ascii="Arial" w:cs="Arial" w:eastAsia="Arial" w:hAnsi="Arial"/>
          <w:sz w:val="20"/>
          <w:szCs w:val="20"/>
          <w:color w:val="auto"/>
        </w:rPr>
        <w:t>Optionee’s personal check (or readily available funds), wire transfer, or a cashier’s check;</w:t>
      </w:r>
    </w:p>
    <w:p>
      <w:pPr>
        <w:sectPr>
          <w:pgSz w:w="11900" w:h="16838" w:orient="portrait"/>
          <w:cols w:equalWidth="0" w:num="1">
            <w:col w:w="10584"/>
          </w:cols>
          <w:pgMar w:left="976" w:top="906" w:right="339" w:bottom="1440" w:gutter="0" w:footer="0" w:header="0"/>
        </w:sectPr>
      </w:pPr>
    </w:p>
    <w:bookmarkStart w:id="22" w:name="page23"/>
    <w:bookmarkEnd w:id="22"/>
    <w:p>
      <w:pPr>
        <w:jc w:val="both"/>
        <w:ind w:firstLine="1709"/>
        <w:spacing w:after="0" w:line="206" w:lineRule="auto"/>
        <w:tabs>
          <w:tab w:leader="none" w:pos="2156"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this Option for financial reporting purposes;</w:t>
      </w:r>
    </w:p>
    <w:p>
      <w:pPr>
        <w:spacing w:after="0" w:line="157" w:lineRule="exact"/>
        <w:rPr>
          <w:rFonts w:ascii="Arial" w:cs="Arial" w:eastAsia="Arial" w:hAnsi="Arial"/>
          <w:sz w:val="20"/>
          <w:szCs w:val="20"/>
          <w:color w:val="010000"/>
        </w:rPr>
      </w:pPr>
    </w:p>
    <w:p>
      <w:pPr>
        <w:jc w:val="both"/>
        <w:ind w:firstLine="1709"/>
        <w:spacing w:after="0" w:line="213" w:lineRule="auto"/>
        <w:tabs>
          <w:tab w:leader="none" w:pos="2132"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Optionee. The directions must be given by signing a special notice of exercise form provided by the Company; or</w:t>
      </w:r>
    </w:p>
    <w:p>
      <w:pPr>
        <w:spacing w:after="0" w:line="155" w:lineRule="exact"/>
        <w:rPr>
          <w:rFonts w:ascii="Arial" w:cs="Arial" w:eastAsia="Arial" w:hAnsi="Arial"/>
          <w:sz w:val="20"/>
          <w:szCs w:val="20"/>
          <w:color w:val="010000"/>
        </w:rPr>
      </w:pPr>
    </w:p>
    <w:p>
      <w:pPr>
        <w:ind w:left="2140" w:hanging="431"/>
        <w:spacing w:after="0"/>
        <w:tabs>
          <w:tab w:leader="none" w:pos="2140"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any other method authorized by the Company;</w:t>
      </w:r>
    </w:p>
    <w:p>
      <w:pPr>
        <w:spacing w:after="0" w:line="17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provided, however, that the Company may restrict the available methods of payment to facilitate compliance with applicable law or administration of the Plan.</w:t>
      </w:r>
    </w:p>
    <w:p>
      <w:pPr>
        <w:spacing w:after="0" w:line="149" w:lineRule="exact"/>
        <w:rPr>
          <w:sz w:val="20"/>
          <w:szCs w:val="20"/>
          <w:color w:val="auto"/>
        </w:rPr>
      </w:pPr>
    </w:p>
    <w:p>
      <w:pPr>
        <w:jc w:val="both"/>
        <w:ind w:firstLine="656"/>
        <w:spacing w:after="0" w:line="223" w:lineRule="auto"/>
        <w:tabs>
          <w:tab w:leader="none" w:pos="1143" w:val="left"/>
        </w:tabs>
        <w:numPr>
          <w:ilvl w:val="0"/>
          <w:numId w:val="2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In general, except as provided below, only Optionee may exercise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death. Optionee may not transfer or assign this Option, except as provided below. For instance, Optionee may not sell this Option or use it as security for a loan. If Optionee attempts to do any of these things, this Option will immediately become invalid. However, if Optionee is a U.S. taxpayer, Optionee may dispose of this Option in Optionee’s will. If Optionee is a U.S. taxpayer and this Option is designated as a NSO in the Notice of Grant, then the Committee may, in its sole discretion, allow Optionee to transfer this Option as a gift to one or more family members. For purposes of this Option Agreement, “family member” means a child, stepchild, grandchild, parent, stepparent, grandparent, spouse, former spouse, sibling, niece, nephew, mother-in- law, father-in-law, son-in-law, daughter-in-law, brother-in-law or sister-in-law (including adoptive relationships), any individual sharing Optionee’s household (other than a tenant or employee), a trust in which one or more of these individuals have more than 50% of the beneficial interest, a foundation in which Optionee or one or more of these persons control the management of assets, and any entity in which Optionee or one or more of these persons own more than 50% of the voting interest. In addition, if Optionee is a U.S. taxpayer and this Option is designated as a NSO in the Notice of Grant, then the Committee may, in its sole discretion, allow Optionee to transfer this Option to Optionee’s spouse or former spouse pursuant to a domestic relations order in settlement of marital property rights. The Committee will allow Optionee to transfer this Option only if both Optionee and the transferee(s) execute the forms prescribed by the Committee, which include the consent of the transferee(s) to be bound by this Option Agreement. This Option may not be transferred in any manner other than by will or by the laws of descent or distribution or court order and may be exercised during Optionee’s lifetime only by Optionee, Optionee’s guardian, or legal representative, as permitted in the Plan and applicable local laws. The terms of the Plan and this Option Agreement shall be binding upon the executors, administrators, heirs, successors and assigns of Optionee.</w:t>
      </w:r>
    </w:p>
    <w:p>
      <w:pPr>
        <w:spacing w:after="0" w:line="156" w:lineRule="exact"/>
        <w:rPr>
          <w:rFonts w:ascii="Arial" w:cs="Arial" w:eastAsia="Arial" w:hAnsi="Arial"/>
          <w:sz w:val="18"/>
          <w:szCs w:val="18"/>
          <w:b w:val="1"/>
          <w:bCs w:val="1"/>
          <w:color w:val="010000"/>
        </w:rPr>
      </w:pPr>
    </w:p>
    <w:p>
      <w:pPr>
        <w:jc w:val="both"/>
        <w:ind w:firstLine="656"/>
        <w:spacing w:after="0" w:line="220" w:lineRule="auto"/>
        <w:tabs>
          <w:tab w:leader="none" w:pos="1021" w:val="left"/>
        </w:tabs>
        <w:numPr>
          <w:ilvl w:val="0"/>
          <w:numId w:val="2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will in any event expire on the expiration date set forth in the Notice, which date is no more than</w:t>
      </w:r>
      <w:r>
        <w:rPr>
          <w:rFonts w:ascii="Arial" w:cs="Arial" w:eastAsia="Arial" w:hAnsi="Arial"/>
          <w:sz w:val="20"/>
          <w:szCs w:val="20"/>
          <w:b w:val="1"/>
          <w:bCs w:val="1"/>
          <w:color w:val="auto"/>
        </w:rPr>
        <w:t xml:space="preserve"> </w:t>
      </w:r>
      <w:r>
        <w:rPr>
          <w:rFonts w:ascii="Arial" w:cs="Arial" w:eastAsia="Arial" w:hAnsi="Arial"/>
          <w:sz w:val="20"/>
          <w:szCs w:val="20"/>
          <w:color w:val="auto"/>
        </w:rPr>
        <w:t>ten (10) years after the Date of Grant (five (5) years after the Date of Grant if this option is designated as an ISO in the Notice and Section 5.3 of the Plan applies).</w:t>
      </w:r>
    </w:p>
    <w:p>
      <w:pPr>
        <w:spacing w:after="0" w:line="150" w:lineRule="exact"/>
        <w:rPr>
          <w:rFonts w:ascii="Arial" w:cs="Arial" w:eastAsia="Arial" w:hAnsi="Arial"/>
          <w:sz w:val="20"/>
          <w:szCs w:val="20"/>
          <w:b w:val="1"/>
          <w:bCs w:val="1"/>
          <w:color w:val="010000"/>
        </w:rPr>
      </w:pPr>
    </w:p>
    <w:p>
      <w:pPr>
        <w:ind w:left="1000" w:hanging="344"/>
        <w:spacing w:after="0"/>
        <w:tabs>
          <w:tab w:leader="none" w:pos="1000" w:val="left"/>
        </w:tabs>
        <w:numPr>
          <w:ilvl w:val="0"/>
          <w:numId w:val="2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010000"/>
        </w:rPr>
      </w:pPr>
    </w:p>
    <w:p>
      <w:pPr>
        <w:jc w:val="both"/>
        <w:ind w:firstLine="1709"/>
        <w:spacing w:after="0" w:line="215" w:lineRule="auto"/>
        <w:tabs>
          <w:tab w:leader="none" w:pos="2240" w:val="left"/>
        </w:tabs>
        <w:numPr>
          <w:ilvl w:val="1"/>
          <w:numId w:val="22"/>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Optionee acknowledges that, regardless of any action taken by the Company or, if different, a Parent, Subsidiary, or Affiliate employing or retaining Optionee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Optionee’s participation in the Plan and legally applicable to Optionee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Optionee’s responsibility and may exceed the amount actually withheld by the Company or the Employer, if any. Optionee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w:t>
      </w:r>
    </w:p>
    <w:p>
      <w:pPr>
        <w:sectPr>
          <w:pgSz w:w="11900" w:h="16838" w:orient="portrait"/>
          <w:cols w:equalWidth="0" w:num="1">
            <w:col w:w="11240"/>
          </w:cols>
          <w:pgMar w:left="320" w:top="906" w:right="339" w:bottom="1440" w:gutter="0" w:footer="0" w:header="0"/>
        </w:sectPr>
      </w:pPr>
    </w:p>
    <w:bookmarkStart w:id="23" w:name="page24"/>
    <w:bookmarkEnd w:id="23"/>
    <w:p>
      <w:pPr>
        <w:jc w:val="both"/>
        <w:spacing w:after="0" w:line="236" w:lineRule="auto"/>
        <w:rPr>
          <w:sz w:val="20"/>
          <w:szCs w:val="20"/>
          <w:color w:val="auto"/>
        </w:rPr>
      </w:pPr>
      <w:r>
        <w:rPr>
          <w:rFonts w:ascii="Arial" w:cs="Arial" w:eastAsia="Arial" w:hAnsi="Arial"/>
          <w:sz w:val="18"/>
          <w:szCs w:val="18"/>
          <w:color w:val="auto"/>
        </w:rPr>
        <w:t xml:space="preserve">Optionee’s liability for Tax-Related Items or achieve any particular tax result. Further, if Optionee is subject to Tax-Related Items in more than one jurisdiction, Optionee acknowledges that the Company and/or the Employer (or former employer, as applicable) may be required to withhold or account for Tax-Related Items in more than one jurisdiction. </w:t>
      </w:r>
      <w:r>
        <w:rPr>
          <w:rFonts w:ascii="Arial" w:cs="Arial" w:eastAsia="Arial" w:hAnsi="Arial"/>
          <w:sz w:val="18"/>
          <w:szCs w:val="18"/>
          <w:i w:val="1"/>
          <w:iCs w:val="1"/>
          <w:color w:val="auto"/>
        </w:rPr>
        <w:t>OPTIONEE SHOULD CONSULT A TAX ADVISER</w:t>
      </w:r>
      <w:r>
        <w:rPr>
          <w:rFonts w:ascii="Arial" w:cs="Arial" w:eastAsia="Arial" w:hAnsi="Arial"/>
          <w:sz w:val="18"/>
          <w:szCs w:val="18"/>
          <w:color w:val="auto"/>
        </w:rPr>
        <w:t xml:space="preserve"> </w:t>
      </w:r>
      <w:r>
        <w:rPr>
          <w:rFonts w:ascii="Arial" w:cs="Arial" w:eastAsia="Arial" w:hAnsi="Arial"/>
          <w:sz w:val="18"/>
          <w:szCs w:val="18"/>
          <w:i w:val="1"/>
          <w:iCs w:val="1"/>
          <w:color w:val="auto"/>
        </w:rPr>
        <w:t>APPROPRIATELY QUALIFIED IN THE COUNTRY OR COUNTRIES IN WHICH OPTIONEE RESIDES OR IS SUBJECT TO TAXATION.</w:t>
      </w:r>
    </w:p>
    <w:p>
      <w:pPr>
        <w:spacing w:after="0" w:line="158" w:lineRule="exact"/>
        <w:rPr>
          <w:sz w:val="20"/>
          <w:szCs w:val="20"/>
          <w:color w:val="auto"/>
        </w:rPr>
      </w:pPr>
    </w:p>
    <w:p>
      <w:pPr>
        <w:jc w:val="both"/>
        <w:ind w:firstLine="1709"/>
        <w:spacing w:after="0" w:line="210" w:lineRule="auto"/>
        <w:tabs>
          <w:tab w:leader="none" w:pos="2251" w:val="left"/>
        </w:tabs>
        <w:numPr>
          <w:ilvl w:val="0"/>
          <w:numId w:val="23"/>
        </w:numPr>
        <w:rPr>
          <w:rFonts w:ascii="Arial" w:cs="Arial" w:eastAsia="Arial" w:hAnsi="Arial"/>
          <w:sz w:val="20"/>
          <w:szCs w:val="20"/>
          <w:color w:val="010000"/>
        </w:rPr>
      </w:pPr>
      <w:r>
        <w:rPr>
          <w:rFonts w:ascii="Arial" w:cs="Arial" w:eastAsia="Arial" w:hAnsi="Arial"/>
          <w:sz w:val="20"/>
          <w:szCs w:val="20"/>
          <w:u w:val="single" w:color="auto"/>
          <w:color w:val="auto"/>
        </w:rPr>
        <w:t>Withholding.</w:t>
      </w:r>
      <w:r>
        <w:rPr>
          <w:rFonts w:ascii="Arial" w:cs="Arial" w:eastAsia="Arial" w:hAnsi="Arial"/>
          <w:sz w:val="20"/>
          <w:szCs w:val="20"/>
          <w:color w:val="auto"/>
        </w:rPr>
        <w:t xml:space="preserve"> Prior to any relevant taxable or tax withholding event, as applicable, Optionee agrees to make arrangements satisfactory to the Company and/or the Employer to satisfy all Tax-Related Items. In this regard, Optionee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152" w:lineRule="exact"/>
        <w:rPr>
          <w:rFonts w:ascii="Arial" w:cs="Arial" w:eastAsia="Arial" w:hAnsi="Arial"/>
          <w:sz w:val="20"/>
          <w:szCs w:val="20"/>
          <w:color w:val="010000"/>
        </w:rPr>
      </w:pPr>
    </w:p>
    <w:p>
      <w:pPr>
        <w:ind w:left="2760" w:hanging="403"/>
        <w:spacing w:after="0"/>
        <w:tabs>
          <w:tab w:leader="none" w:pos="2760"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withholding from Optionee’s wages or other cash compensation paid to Optionee by the Company and/or</w:t>
      </w:r>
    </w:p>
    <w:p>
      <w:pPr>
        <w:spacing w:after="0"/>
        <w:rPr>
          <w:rFonts w:ascii="Arial" w:cs="Arial" w:eastAsia="Arial" w:hAnsi="Arial"/>
          <w:sz w:val="18"/>
          <w:szCs w:val="18"/>
          <w:color w:val="010000"/>
        </w:rPr>
      </w:pPr>
      <w:r>
        <w:rPr>
          <w:rFonts w:ascii="Arial" w:cs="Arial" w:eastAsia="Arial" w:hAnsi="Arial"/>
          <w:sz w:val="20"/>
          <w:szCs w:val="20"/>
          <w:color w:val="auto"/>
        </w:rPr>
        <w:t>the Employer; or</w:t>
      </w:r>
    </w:p>
    <w:p>
      <w:pPr>
        <w:spacing w:after="0" w:line="159" w:lineRule="exact"/>
        <w:rPr>
          <w:rFonts w:ascii="Arial" w:cs="Arial" w:eastAsia="Arial" w:hAnsi="Arial"/>
          <w:sz w:val="18"/>
          <w:szCs w:val="18"/>
          <w:color w:val="010000"/>
        </w:rPr>
      </w:pPr>
    </w:p>
    <w:p>
      <w:pPr>
        <w:jc w:val="both"/>
        <w:ind w:firstLine="2357"/>
        <w:spacing w:after="0" w:line="218" w:lineRule="auto"/>
        <w:tabs>
          <w:tab w:leader="none" w:pos="2896" w:val="left"/>
        </w:tabs>
        <w:numPr>
          <w:ilvl w:val="1"/>
          <w:numId w:val="23"/>
        </w:numPr>
        <w:rPr>
          <w:rFonts w:ascii="Arial" w:cs="Arial" w:eastAsia="Arial" w:hAnsi="Arial"/>
          <w:sz w:val="20"/>
          <w:szCs w:val="20"/>
          <w:color w:val="010000"/>
        </w:rPr>
      </w:pPr>
      <w:r>
        <w:rPr>
          <w:rFonts w:ascii="Arial" w:cs="Arial" w:eastAsia="Arial" w:hAnsi="Arial"/>
          <w:sz w:val="20"/>
          <w:szCs w:val="20"/>
          <w:color w:val="auto"/>
        </w:rPr>
        <w:t>withholding from proceeds of the sale of Shares acquired at exercise of this Option either through a voluntary sale or through a mandatory sale arranged by the Company (on Optionee’s behalf pursuant to this authorization and without further consent);</w:t>
      </w:r>
    </w:p>
    <w:p>
      <w:pPr>
        <w:spacing w:after="0" w:line="156" w:lineRule="exact"/>
        <w:rPr>
          <w:rFonts w:ascii="Arial" w:cs="Arial" w:eastAsia="Arial" w:hAnsi="Arial"/>
          <w:sz w:val="20"/>
          <w:szCs w:val="20"/>
          <w:color w:val="010000"/>
        </w:rPr>
      </w:pPr>
    </w:p>
    <w:p>
      <w:pPr>
        <w:ind w:firstLine="2357"/>
        <w:spacing w:after="0" w:line="229" w:lineRule="auto"/>
        <w:tabs>
          <w:tab w:leader="none" w:pos="2870" w:val="left"/>
        </w:tabs>
        <w:numPr>
          <w:ilvl w:val="1"/>
          <w:numId w:val="23"/>
        </w:numPr>
        <w:rPr>
          <w:rFonts w:ascii="Arial" w:cs="Arial" w:eastAsia="Arial" w:hAnsi="Arial"/>
          <w:sz w:val="20"/>
          <w:szCs w:val="20"/>
          <w:color w:val="010000"/>
        </w:rPr>
      </w:pPr>
      <w:r>
        <w:rPr>
          <w:rFonts w:ascii="Arial" w:cs="Arial" w:eastAsia="Arial" w:hAnsi="Arial"/>
          <w:sz w:val="20"/>
          <w:szCs w:val="20"/>
          <w:color w:val="auto"/>
        </w:rPr>
        <w:t>withholding Shares to be issued upon exercise of the Option, provided the Company only withholds the number of Shares necessary to satisfy no more than applicable statutory withholding amounts;</w:t>
      </w:r>
    </w:p>
    <w:p>
      <w:pPr>
        <w:spacing w:after="0" w:line="153" w:lineRule="exact"/>
        <w:rPr>
          <w:rFonts w:ascii="Arial" w:cs="Arial" w:eastAsia="Arial" w:hAnsi="Arial"/>
          <w:sz w:val="20"/>
          <w:szCs w:val="20"/>
          <w:color w:val="010000"/>
        </w:rPr>
      </w:pPr>
    </w:p>
    <w:p>
      <w:pPr>
        <w:ind w:left="2860" w:hanging="503"/>
        <w:spacing w:after="0"/>
        <w:tabs>
          <w:tab w:leader="none" w:pos="2860"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Optionee’s payment of a cash amount (including by check representing readily available funds or a wire</w:t>
      </w:r>
    </w:p>
    <w:p>
      <w:pPr>
        <w:spacing w:after="0"/>
        <w:rPr>
          <w:rFonts w:ascii="Arial" w:cs="Arial" w:eastAsia="Arial" w:hAnsi="Arial"/>
          <w:sz w:val="18"/>
          <w:szCs w:val="18"/>
          <w:color w:val="010000"/>
        </w:rPr>
      </w:pPr>
      <w:r>
        <w:rPr>
          <w:rFonts w:ascii="Arial" w:cs="Arial" w:eastAsia="Arial" w:hAnsi="Arial"/>
          <w:sz w:val="20"/>
          <w:szCs w:val="20"/>
          <w:color w:val="auto"/>
        </w:rPr>
        <w:t>transfer); or</w:t>
      </w:r>
    </w:p>
    <w:p>
      <w:pPr>
        <w:spacing w:after="0" w:line="159" w:lineRule="exact"/>
        <w:rPr>
          <w:rFonts w:ascii="Arial" w:cs="Arial" w:eastAsia="Arial" w:hAnsi="Arial"/>
          <w:sz w:val="18"/>
          <w:szCs w:val="18"/>
          <w:color w:val="010000"/>
        </w:rPr>
      </w:pPr>
    </w:p>
    <w:p>
      <w:pPr>
        <w:ind w:left="2780" w:hanging="423"/>
        <w:spacing w:after="0"/>
        <w:tabs>
          <w:tab w:leader="none" w:pos="2780" w:val="left"/>
        </w:tabs>
        <w:numPr>
          <w:ilvl w:val="1"/>
          <w:numId w:val="23"/>
        </w:numPr>
        <w:rPr>
          <w:rFonts w:ascii="Arial" w:cs="Arial" w:eastAsia="Arial" w:hAnsi="Arial"/>
          <w:sz w:val="20"/>
          <w:szCs w:val="20"/>
          <w:color w:val="010000"/>
        </w:rPr>
      </w:pPr>
      <w:r>
        <w:rPr>
          <w:rFonts w:ascii="Arial" w:cs="Arial" w:eastAsia="Arial" w:hAnsi="Arial"/>
          <w:sz w:val="20"/>
          <w:szCs w:val="20"/>
          <w:color w:val="auto"/>
        </w:rPr>
        <w:t>any other arrangement approved by the Committee and permitted under applicable law;</w:t>
      </w:r>
    </w:p>
    <w:p>
      <w:pPr>
        <w:spacing w:after="0" w:line="17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Optionee is a Section 16 officer of the Company under the Exchange Act, then the method of</w:t>
      </w:r>
      <w:r>
        <w:rPr>
          <w:rFonts w:ascii="Arial" w:cs="Arial" w:eastAsia="Arial" w:hAnsi="Arial"/>
          <w:sz w:val="19"/>
          <w:szCs w:val="19"/>
          <w:i w:val="1"/>
          <w:iCs w:val="1"/>
          <w:color w:val="auto"/>
        </w:rPr>
        <w:t xml:space="preserve"> </w:t>
      </w:r>
      <w:r>
        <w:rPr>
          <w:rFonts w:ascii="Arial" w:cs="Arial" w:eastAsia="Arial" w:hAnsi="Arial"/>
          <w:sz w:val="19"/>
          <w:szCs w:val="19"/>
          <w:color w:val="auto"/>
        </w:rPr>
        <w:t>withholding shall be a mandatory sale (unless the Committee as constituted in accordance with Rule 16b-3 of the Exchange Act shall establish an alternate method from alternatives (i) – (v) above prior to the Tax-Related Items withholding event).</w:t>
      </w:r>
    </w:p>
    <w:p>
      <w:pPr>
        <w:spacing w:after="0" w:line="155"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statutory withholding rates or other applicable withholding rates, including up to the maximum permissible statutory rate for Optionee’s tax jurisdiction(s) in which case Optionee will have no entitlement to the equivalent amount in Shares and will receive a refund of any over-withheld amount in cash in accordance with applicable law. If the obligation for Tax-Related Items is satisfied by withholding in Shares, for tax purposes, Optionee is deemed to have been issued the full number of Exercised Shares; notwithstanding that a number of the Shares are held back solely for the purpose of satisfying the withholding obligation for Tax-Related Items.</w:t>
      </w:r>
    </w:p>
    <w:p>
      <w:pPr>
        <w:spacing w:after="0" w:line="15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Finally, Optionee agrees to pay to the Company and/or the Employer any amount of Tax-Related Items that the Company and/or the Employer may be required to withhold or account for as a result of Optionee’s participation in the Plan that cannot be satisfied by the means previously described. The Company may refuse to issue or deliver the Shares or the proceeds of the sale of Shares, if Optionee fails to comply with Optionee’s obligations in connection with the Tax-Related Items.</w:t>
      </w:r>
    </w:p>
    <w:p>
      <w:pPr>
        <w:spacing w:after="0" w:line="156" w:lineRule="exact"/>
        <w:rPr>
          <w:sz w:val="20"/>
          <w:szCs w:val="20"/>
          <w:color w:val="auto"/>
        </w:rPr>
      </w:pPr>
    </w:p>
    <w:p>
      <w:pPr>
        <w:jc w:val="both"/>
        <w:ind w:firstLine="1709"/>
        <w:spacing w:after="0" w:line="268" w:lineRule="auto"/>
        <w:tabs>
          <w:tab w:leader="none" w:pos="2118" w:val="left"/>
        </w:tabs>
        <w:numPr>
          <w:ilvl w:val="0"/>
          <w:numId w:val="24"/>
        </w:numPr>
        <w:rPr>
          <w:rFonts w:ascii="Arial" w:cs="Arial" w:eastAsia="Arial" w:hAnsi="Arial"/>
          <w:sz w:val="16"/>
          <w:szCs w:val="16"/>
          <w:color w:val="010000"/>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Optionee is subject to Tax-Related Items in the United States and sells or otherwise disposes of any of the Shares acquired pursuant to an ISO on or before the later of (i) two (2) years after the grant date, or (ii) one (1) year after the exercise date, Optionee will immediately notify the Company in writing of such disposition. Optionee agrees that he or she may be subject to income tax withholding by the Company on the compensation income recognized from such early disposition of ISO Shares by payment in cash or out any wages or other cash compensation paid to Optionee by the Company and/or the Employer.</w:t>
      </w:r>
    </w:p>
    <w:p>
      <w:pPr>
        <w:sectPr>
          <w:pgSz w:w="11900" w:h="16838" w:orient="portrait"/>
          <w:cols w:equalWidth="0" w:num="1">
            <w:col w:w="11240"/>
          </w:cols>
          <w:pgMar w:left="320" w:top="906" w:right="339" w:bottom="1440" w:gutter="0" w:footer="0" w:header="0"/>
        </w:sectPr>
      </w:pPr>
    </w:p>
    <w:bookmarkStart w:id="24" w:name="page25"/>
    <w:bookmarkEnd w:id="24"/>
    <w:p>
      <w:pPr>
        <w:ind w:left="344" w:hanging="344"/>
        <w:spacing w:after="0"/>
        <w:tabs>
          <w:tab w:leader="none" w:pos="344" w:val="left"/>
        </w:tabs>
        <w:numPr>
          <w:ilvl w:val="0"/>
          <w:numId w:val="25"/>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By accepting the Option, Optionee acknowledges, understands and agrees that:</w:t>
      </w:r>
    </w:p>
    <w:p>
      <w:pPr>
        <w:spacing w:after="0" w:line="181" w:lineRule="exact"/>
        <w:rPr>
          <w:rFonts w:ascii="Arial" w:cs="Arial" w:eastAsia="Arial" w:hAnsi="Arial"/>
          <w:sz w:val="20"/>
          <w:szCs w:val="20"/>
          <w:b w:val="1"/>
          <w:bCs w:val="1"/>
          <w:color w:val="010000"/>
        </w:rPr>
      </w:pPr>
    </w:p>
    <w:p>
      <w:pPr>
        <w:ind w:left="-656" w:firstLine="1304"/>
        <w:spacing w:after="0" w:line="229" w:lineRule="auto"/>
        <w:tabs>
          <w:tab w:leader="none" w:pos="1138"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55" w:lineRule="exact"/>
        <w:rPr>
          <w:rFonts w:ascii="Arial" w:cs="Arial" w:eastAsia="Arial" w:hAnsi="Arial"/>
          <w:sz w:val="20"/>
          <w:szCs w:val="20"/>
          <w:color w:val="010000"/>
        </w:rPr>
      </w:pPr>
    </w:p>
    <w:p>
      <w:pPr>
        <w:ind w:left="-656" w:right="20" w:firstLine="1304"/>
        <w:spacing w:after="0" w:line="229" w:lineRule="auto"/>
        <w:tabs>
          <w:tab w:leader="none" w:pos="1109"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5" w:lineRule="exact"/>
        <w:rPr>
          <w:rFonts w:ascii="Arial" w:cs="Arial" w:eastAsia="Arial" w:hAnsi="Arial"/>
          <w:sz w:val="20"/>
          <w:szCs w:val="20"/>
          <w:color w:val="010000"/>
        </w:rPr>
      </w:pPr>
    </w:p>
    <w:p>
      <w:pPr>
        <w:ind w:left="1064" w:hanging="416"/>
        <w:spacing w:after="0"/>
        <w:tabs>
          <w:tab w:leader="none" w:pos="1064" w:val="left"/>
        </w:tabs>
        <w:numPr>
          <w:ilvl w:val="1"/>
          <w:numId w:val="25"/>
        </w:numPr>
        <w:rPr>
          <w:rFonts w:ascii="Arial" w:cs="Arial" w:eastAsia="Arial" w:hAnsi="Arial"/>
          <w:sz w:val="19"/>
          <w:szCs w:val="19"/>
          <w:color w:val="010000"/>
        </w:rPr>
      </w:pPr>
      <w:r>
        <w:rPr>
          <w:rFonts w:ascii="Arial" w:cs="Arial" w:eastAsia="Arial" w:hAnsi="Arial"/>
          <w:sz w:val="19"/>
          <w:szCs w:val="19"/>
          <w:color w:val="auto"/>
        </w:rPr>
        <w:t>all decisions with respect to future options or other grants, if any, will be at the sole discretion of the Company;</w:t>
      </w:r>
    </w:p>
    <w:p>
      <w:pPr>
        <w:spacing w:after="0" w:line="186" w:lineRule="exact"/>
        <w:rPr>
          <w:rFonts w:ascii="Arial" w:cs="Arial" w:eastAsia="Arial" w:hAnsi="Arial"/>
          <w:sz w:val="19"/>
          <w:szCs w:val="19"/>
          <w:color w:val="010000"/>
        </w:rPr>
      </w:pPr>
    </w:p>
    <w:p>
      <w:pPr>
        <w:ind w:left="1084" w:hanging="436"/>
        <w:spacing w:after="0"/>
        <w:tabs>
          <w:tab w:leader="none" w:pos="1084"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Optionee is voluntarily participating in the Plan;</w:t>
      </w:r>
    </w:p>
    <w:p>
      <w:pPr>
        <w:spacing w:after="0" w:line="175" w:lineRule="exact"/>
        <w:rPr>
          <w:rFonts w:ascii="Arial" w:cs="Arial" w:eastAsia="Arial" w:hAnsi="Arial"/>
          <w:sz w:val="20"/>
          <w:szCs w:val="20"/>
          <w:color w:val="010000"/>
        </w:rPr>
      </w:pPr>
    </w:p>
    <w:p>
      <w:pPr>
        <w:jc w:val="both"/>
        <w:ind w:left="-656" w:firstLine="1304"/>
        <w:spacing w:after="0" w:line="218" w:lineRule="auto"/>
        <w:tabs>
          <w:tab w:leader="none" w:pos="1057"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the Option and Optionee’s participation in the Plan will not create a right to employment or be interpreted as forming or amending an employment or service contract with the Company or the Employer, and will not interfere with the ability of the Company or the Employer, as applicable, to terminate Optionee’s employment or service relationship (if any);</w:t>
      </w:r>
    </w:p>
    <w:p>
      <w:pPr>
        <w:spacing w:after="0" w:line="156" w:lineRule="exact"/>
        <w:rPr>
          <w:rFonts w:ascii="Arial" w:cs="Arial" w:eastAsia="Arial" w:hAnsi="Arial"/>
          <w:sz w:val="20"/>
          <w:szCs w:val="20"/>
          <w:color w:val="010000"/>
        </w:rPr>
      </w:pPr>
    </w:p>
    <w:p>
      <w:pPr>
        <w:ind w:left="-656" w:right="20" w:firstLine="1304"/>
        <w:spacing w:after="0" w:line="229" w:lineRule="auto"/>
        <w:tabs>
          <w:tab w:leader="none" w:pos="1103"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the Option and the Shares subject to the Option, and the income and value of same, are not intended to replace any pension rights or compensation;</w:t>
      </w:r>
    </w:p>
    <w:p>
      <w:pPr>
        <w:spacing w:after="0" w:line="155" w:lineRule="exact"/>
        <w:rPr>
          <w:rFonts w:ascii="Arial" w:cs="Arial" w:eastAsia="Arial" w:hAnsi="Arial"/>
          <w:sz w:val="20"/>
          <w:szCs w:val="20"/>
          <w:color w:val="010000"/>
        </w:rPr>
      </w:pPr>
    </w:p>
    <w:p>
      <w:pPr>
        <w:jc w:val="both"/>
        <w:ind w:left="-656" w:firstLine="1304"/>
        <w:spacing w:after="0" w:line="244" w:lineRule="auto"/>
        <w:tabs>
          <w:tab w:leader="none" w:pos="1095"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51" w:lineRule="exact"/>
        <w:rPr>
          <w:rFonts w:ascii="Arial" w:cs="Arial" w:eastAsia="Arial" w:hAnsi="Arial"/>
          <w:sz w:val="18"/>
          <w:szCs w:val="18"/>
          <w:color w:val="010000"/>
        </w:rPr>
      </w:pPr>
    </w:p>
    <w:p>
      <w:pPr>
        <w:jc w:val="both"/>
        <w:ind w:left="-656" w:firstLine="1304"/>
        <w:spacing w:after="0" w:line="218" w:lineRule="auto"/>
        <w:tabs>
          <w:tab w:leader="none" w:pos="1082"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unless otherwise agreed with the Company, the Option, and the Shares subject to the Option, and the income and value of same, are not granted as consideration for, or in connection with, the Service Optionee may provide as a director of a Parent, Subsidiary, or Affiliate;</w:t>
      </w:r>
    </w:p>
    <w:p>
      <w:pPr>
        <w:spacing w:after="0" w:line="156" w:lineRule="exact"/>
        <w:rPr>
          <w:rFonts w:ascii="Arial" w:cs="Arial" w:eastAsia="Arial" w:hAnsi="Arial"/>
          <w:sz w:val="20"/>
          <w:szCs w:val="20"/>
          <w:color w:val="010000"/>
        </w:rPr>
      </w:pPr>
    </w:p>
    <w:p>
      <w:pPr>
        <w:jc w:val="both"/>
        <w:ind w:left="-656" w:firstLine="1304"/>
        <w:spacing w:after="0" w:line="218" w:lineRule="auto"/>
        <w:tabs>
          <w:tab w:leader="none" w:pos="1173"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spacing w:after="0" w:line="156" w:lineRule="exact"/>
        <w:rPr>
          <w:rFonts w:ascii="Arial" w:cs="Arial" w:eastAsia="Arial" w:hAnsi="Arial"/>
          <w:sz w:val="20"/>
          <w:szCs w:val="20"/>
          <w:color w:val="010000"/>
        </w:rPr>
      </w:pPr>
    </w:p>
    <w:p>
      <w:pPr>
        <w:jc w:val="both"/>
        <w:ind w:left="-656" w:firstLine="1304"/>
        <w:spacing w:after="0" w:line="228" w:lineRule="auto"/>
        <w:tabs>
          <w:tab w:leader="none" w:pos="1052"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no claim or entitlement to compensation or damages will arise from forfeiture of the Option resulting from Optionee’s termination of Service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 agrees never 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Optionee will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8"/>
          <w:szCs w:val="18"/>
          <w:color w:val="010000"/>
        </w:rPr>
      </w:pPr>
    </w:p>
    <w:p>
      <w:pPr>
        <w:jc w:val="both"/>
        <w:ind w:left="-656" w:firstLine="1304"/>
        <w:spacing w:after="0" w:line="244" w:lineRule="auto"/>
        <w:tabs>
          <w:tab w:leader="none" w:pos="1068"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51" w:lineRule="exact"/>
        <w:rPr>
          <w:rFonts w:ascii="Arial" w:cs="Arial" w:eastAsia="Arial" w:hAnsi="Arial"/>
          <w:sz w:val="18"/>
          <w:szCs w:val="18"/>
          <w:color w:val="010000"/>
        </w:rPr>
      </w:pPr>
    </w:p>
    <w:p>
      <w:pPr>
        <w:ind w:left="-656" w:firstLine="1304"/>
        <w:spacing w:after="0" w:line="229" w:lineRule="auto"/>
        <w:tabs>
          <w:tab w:leader="none" w:pos="1065"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neither the Employer, the Company, or any Parent, Subsidiary or Affiliate will be liable for any foreign exchange rate fluctuation between Optionee’s local currency and the United States</w:t>
      </w:r>
    </w:p>
    <w:p>
      <w:pPr>
        <w:sectPr>
          <w:pgSz w:w="11900" w:h="16838" w:orient="portrait"/>
          <w:cols w:equalWidth="0" w:num="1">
            <w:col w:w="10584"/>
          </w:cols>
          <w:pgMar w:left="976" w:top="900" w:right="339" w:bottom="1440" w:gutter="0" w:footer="0" w:header="0"/>
        </w:sectPr>
      </w:pPr>
    </w:p>
    <w:bookmarkStart w:id="25" w:name="page26"/>
    <w:bookmarkEnd w:id="25"/>
    <w:p>
      <w:pPr>
        <w:spacing w:after="0" w:line="229" w:lineRule="auto"/>
        <w:rPr>
          <w:sz w:val="20"/>
          <w:szCs w:val="20"/>
          <w:color w:val="auto"/>
        </w:rPr>
      </w:pPr>
      <w:r>
        <w:rPr>
          <w:rFonts w:ascii="Arial" w:cs="Arial" w:eastAsia="Arial" w:hAnsi="Arial"/>
          <w:sz w:val="20"/>
          <w:szCs w:val="20"/>
          <w:color w:val="auto"/>
        </w:rPr>
        <w:t>Dollar that may affect the value of the Option or of any amounts due to Optionee pursuant to the exercise of the Option or the subsequent sale of any Shares acquired upon exercise.</w:t>
      </w:r>
    </w:p>
    <w:p>
      <w:pPr>
        <w:spacing w:after="0" w:line="155" w:lineRule="exact"/>
        <w:rPr>
          <w:sz w:val="20"/>
          <w:szCs w:val="20"/>
          <w:color w:val="auto"/>
        </w:rPr>
      </w:pPr>
    </w:p>
    <w:p>
      <w:pPr>
        <w:ind w:left="1780" w:hanging="476"/>
        <w:spacing w:after="0"/>
        <w:tabs>
          <w:tab w:leader="none" w:pos="17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the following provisions apply only if Optionee is providing Service outside the United States:</w:t>
      </w:r>
    </w:p>
    <w:p>
      <w:pPr>
        <w:spacing w:after="0" w:line="173" w:lineRule="exact"/>
        <w:rPr>
          <w:rFonts w:ascii="Arial" w:cs="Arial" w:eastAsia="Arial" w:hAnsi="Arial"/>
          <w:sz w:val="20"/>
          <w:szCs w:val="20"/>
          <w:color w:val="010000"/>
        </w:rPr>
      </w:pPr>
    </w:p>
    <w:p>
      <w:pPr>
        <w:ind w:left="2380" w:hanging="428"/>
        <w:spacing w:after="0"/>
        <w:tabs>
          <w:tab w:leader="none" w:pos="2380" w:val="left"/>
        </w:tabs>
        <w:numPr>
          <w:ilvl w:val="2"/>
          <w:numId w:val="26"/>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are not part of normal or expected compensation or salary for</w:t>
      </w:r>
    </w:p>
    <w:p>
      <w:pPr>
        <w:spacing w:after="0"/>
        <w:rPr>
          <w:rFonts w:ascii="Arial" w:cs="Arial" w:eastAsia="Arial" w:hAnsi="Arial"/>
          <w:sz w:val="18"/>
          <w:szCs w:val="18"/>
          <w:color w:val="010000"/>
        </w:rPr>
      </w:pPr>
      <w:r>
        <w:rPr>
          <w:rFonts w:ascii="Arial" w:cs="Arial" w:eastAsia="Arial" w:hAnsi="Arial"/>
          <w:sz w:val="20"/>
          <w:szCs w:val="20"/>
          <w:color w:val="auto"/>
        </w:rPr>
        <w:t>any purpose; and</w:t>
      </w:r>
    </w:p>
    <w:p>
      <w:pPr>
        <w:spacing w:after="0" w:line="159" w:lineRule="exact"/>
        <w:rPr>
          <w:rFonts w:ascii="Arial" w:cs="Arial" w:eastAsia="Arial" w:hAnsi="Arial"/>
          <w:sz w:val="18"/>
          <w:szCs w:val="18"/>
          <w:color w:val="010000"/>
        </w:rPr>
      </w:pPr>
    </w:p>
    <w:p>
      <w:pPr>
        <w:jc w:val="both"/>
        <w:ind w:firstLine="1952"/>
        <w:spacing w:after="0" w:line="213" w:lineRule="auto"/>
        <w:tabs>
          <w:tab w:leader="none" w:pos="2451" w:val="left"/>
        </w:tabs>
        <w:numPr>
          <w:ilvl w:val="2"/>
          <w:numId w:val="26"/>
        </w:numPr>
        <w:rPr>
          <w:rFonts w:ascii="Arial" w:cs="Arial" w:eastAsia="Arial" w:hAnsi="Arial"/>
          <w:sz w:val="20"/>
          <w:szCs w:val="20"/>
          <w:color w:val="010000"/>
        </w:rPr>
      </w:pPr>
      <w:r>
        <w:rPr>
          <w:rFonts w:ascii="Arial" w:cs="Arial" w:eastAsia="Arial" w:hAnsi="Arial"/>
          <w:sz w:val="20"/>
          <w:szCs w:val="20"/>
          <w:color w:val="auto"/>
        </w:rPr>
        <w:t>Optionee acknowledges and agrees that neither the Company, the Employer nor any Parent or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exercised</w:t>
      </w:r>
    </w:p>
    <w:p>
      <w:pPr>
        <w:spacing w:after="0" w:line="149" w:lineRule="exact"/>
        <w:rPr>
          <w:rFonts w:ascii="Arial" w:cs="Arial" w:eastAsia="Arial" w:hAnsi="Arial"/>
          <w:sz w:val="20"/>
          <w:szCs w:val="20"/>
          <w:color w:val="010000"/>
        </w:rPr>
      </w:pPr>
    </w:p>
    <w:p>
      <w:pPr>
        <w:jc w:val="both"/>
        <w:ind w:firstLine="656"/>
        <w:spacing w:after="0" w:line="226" w:lineRule="auto"/>
        <w:tabs>
          <w:tab w:leader="none" w:pos="1134" w:val="left"/>
        </w:tabs>
        <w:numPr>
          <w:ilvl w:val="0"/>
          <w:numId w:val="2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Optionee’s participation in the Plan or Optionee’s acquisition or sale of the underlying Shares. Optionee acknowledges, understands, and agrees that he or she should consult with his or her own personal tax, legal, and financial advisors regarding his or her participation in the Plan before taking any action related to the Plan.</w:t>
      </w:r>
    </w:p>
    <w:p>
      <w:pPr>
        <w:spacing w:after="0" w:line="149" w:lineRule="exact"/>
        <w:rPr>
          <w:rFonts w:ascii="Arial" w:cs="Arial" w:eastAsia="Arial" w:hAnsi="Arial"/>
          <w:sz w:val="19"/>
          <w:szCs w:val="19"/>
          <w:b w:val="1"/>
          <w:bCs w:val="1"/>
          <w:color w:val="010000"/>
        </w:rPr>
      </w:pPr>
    </w:p>
    <w:p>
      <w:pPr>
        <w:jc w:val="both"/>
        <w:ind w:firstLine="656"/>
        <w:spacing w:after="0" w:line="220" w:lineRule="auto"/>
        <w:tabs>
          <w:tab w:leader="none" w:pos="1190" w:val="left"/>
        </w:tabs>
        <w:numPr>
          <w:ilvl w:val="0"/>
          <w:numId w:val="27"/>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Language</w:t>
      </w:r>
      <w:r>
        <w:rPr>
          <w:rFonts w:ascii="Arial" w:cs="Arial" w:eastAsia="Arial" w:hAnsi="Arial"/>
          <w:sz w:val="20"/>
          <w:szCs w:val="20"/>
          <w:b w:val="1"/>
          <w:bCs w:val="1"/>
          <w:color w:val="auto"/>
        </w:rPr>
        <w:t xml:space="preserve">. </w:t>
      </w:r>
      <w:r>
        <w:rPr>
          <w:rFonts w:ascii="Arial" w:cs="Arial" w:eastAsia="Arial" w:hAnsi="Arial"/>
          <w:sz w:val="20"/>
          <w:szCs w:val="20"/>
          <w:color w:val="auto"/>
        </w:rPr>
        <w:t>If Optionee has received this Option Agreement, or any other document related to the Option and/or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20"/>
          <w:szCs w:val="20"/>
          <w:b w:val="1"/>
          <w:bCs w:val="1"/>
          <w:color w:val="010000"/>
        </w:rPr>
      </w:pPr>
    </w:p>
    <w:p>
      <w:pPr>
        <w:jc w:val="both"/>
        <w:ind w:firstLine="656"/>
        <w:spacing w:after="0" w:line="214" w:lineRule="auto"/>
        <w:tabs>
          <w:tab w:leader="none" w:pos="1093" w:val="left"/>
        </w:tabs>
        <w:numPr>
          <w:ilvl w:val="0"/>
          <w:numId w:val="27"/>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Optionee’s participation</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Plan, on the Option, and on any Shares purchased upon exercise of the Option, to the extent the Company determines it is necessary or advisable for legal or administrative reasons, and to require Optionee to sign any additional agreements or undertakings that may be necessary to accomplish the foregoing.</w:t>
      </w:r>
    </w:p>
    <w:p>
      <w:pPr>
        <w:spacing w:after="0" w:line="151" w:lineRule="exact"/>
        <w:rPr>
          <w:rFonts w:ascii="Arial" w:cs="Arial" w:eastAsia="Arial" w:hAnsi="Arial"/>
          <w:sz w:val="20"/>
          <w:szCs w:val="20"/>
          <w:b w:val="1"/>
          <w:bCs w:val="1"/>
          <w:color w:val="010000"/>
        </w:rPr>
      </w:pPr>
    </w:p>
    <w:p>
      <w:pPr>
        <w:jc w:val="both"/>
        <w:ind w:firstLine="656"/>
        <w:spacing w:after="0" w:line="226" w:lineRule="auto"/>
        <w:tabs>
          <w:tab w:leader="none" w:pos="1201" w:val="left"/>
        </w:tabs>
        <w:numPr>
          <w:ilvl w:val="0"/>
          <w:numId w:val="2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Acknowledgement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Optionee agree that the Option is granted under and governed by the Notice,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 and the Plan (incorporated herein by reference). Optionee: (a) 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spacing w:after="0" w:line="149" w:lineRule="exact"/>
        <w:rPr>
          <w:rFonts w:ascii="Arial" w:cs="Arial" w:eastAsia="Arial" w:hAnsi="Arial"/>
          <w:sz w:val="19"/>
          <w:szCs w:val="19"/>
          <w:b w:val="1"/>
          <w:bCs w:val="1"/>
          <w:color w:val="010000"/>
        </w:rPr>
      </w:pPr>
    </w:p>
    <w:p>
      <w:pPr>
        <w:jc w:val="both"/>
        <w:ind w:firstLine="656"/>
        <w:spacing w:after="0" w:line="219" w:lineRule="auto"/>
        <w:tabs>
          <w:tab w:leader="none" w:pos="1120" w:val="left"/>
        </w:tabs>
        <w:numPr>
          <w:ilvl w:val="0"/>
          <w:numId w:val="2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Entire Agreement; Enforcement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This Option Agreement, the Plan, and the Notice constitute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53" w:lineRule="exact"/>
        <w:rPr>
          <w:rFonts w:ascii="Arial" w:cs="Arial" w:eastAsia="Arial" w:hAnsi="Arial"/>
          <w:sz w:val="19"/>
          <w:szCs w:val="19"/>
          <w:b w:val="1"/>
          <w:bCs w:val="1"/>
          <w:color w:val="010000"/>
        </w:rPr>
      </w:pPr>
    </w:p>
    <w:p>
      <w:pPr>
        <w:jc w:val="both"/>
        <w:ind w:firstLine="656"/>
        <w:spacing w:after="0" w:line="228" w:lineRule="auto"/>
        <w:tabs>
          <w:tab w:leader="none" w:pos="1147" w:val="left"/>
        </w:tabs>
        <w:numPr>
          <w:ilvl w:val="0"/>
          <w:numId w:val="2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and the sale of Shares will be subject to and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compliance by the 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Common Stock with any state, federal, or foreign securities commission or to seek approval or clearance from any governmental authority for the issuance or sale of the Shares. Further, Optionee agrees that the Company will have unilateral authority to amend the Plan and this Option Agreement without Optionee’s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54" w:lineRule="exact"/>
        <w:rPr>
          <w:rFonts w:ascii="Arial" w:cs="Arial" w:eastAsia="Arial" w:hAnsi="Arial"/>
          <w:sz w:val="18"/>
          <w:szCs w:val="18"/>
          <w:b w:val="1"/>
          <w:bCs w:val="1"/>
          <w:color w:val="010000"/>
        </w:rPr>
      </w:pPr>
    </w:p>
    <w:p>
      <w:pPr>
        <w:jc w:val="both"/>
        <w:ind w:firstLine="656"/>
        <w:spacing w:after="0" w:line="247" w:lineRule="auto"/>
        <w:tabs>
          <w:tab w:leader="none" w:pos="1093" w:val="left"/>
        </w:tabs>
        <w:numPr>
          <w:ilvl w:val="0"/>
          <w:numId w:val="2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Option Agreement are held to be unenforceable under applicable law,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renegotiate such provision in good faith. In the event that the parties cannot reach a mutually agreeable and enforceable replacement for such provision, then (a) such provision will be excluded from this Option Agreement, (b) the balance of this Option</w:t>
      </w:r>
    </w:p>
    <w:p>
      <w:pPr>
        <w:sectPr>
          <w:pgSz w:w="11900" w:h="16838" w:orient="portrait"/>
          <w:cols w:equalWidth="0" w:num="1">
            <w:col w:w="11240"/>
          </w:cols>
          <w:pgMar w:left="320" w:top="906" w:right="339" w:bottom="1440" w:gutter="0" w:footer="0" w:header="0"/>
        </w:sectPr>
      </w:pPr>
    </w:p>
    <w:bookmarkStart w:id="26" w:name="page27"/>
    <w:bookmarkEnd w:id="26"/>
    <w:p>
      <w:pPr>
        <w:spacing w:after="0" w:line="229" w:lineRule="auto"/>
        <w:rPr>
          <w:sz w:val="20"/>
          <w:szCs w:val="20"/>
          <w:color w:val="auto"/>
        </w:rPr>
      </w:pPr>
      <w:r>
        <w:rPr>
          <w:rFonts w:ascii="Arial" w:cs="Arial" w:eastAsia="Arial" w:hAnsi="Arial"/>
          <w:sz w:val="20"/>
          <w:szCs w:val="20"/>
          <w:color w:val="auto"/>
        </w:rPr>
        <w:t>Agreement will be interpreted as if such provision were so excluded and (c) the balance of this Option Agreement will be enforceable in accordance with its terms.</w:t>
      </w:r>
    </w:p>
    <w:p>
      <w:pPr>
        <w:spacing w:after="0" w:line="149" w:lineRule="exact"/>
        <w:rPr>
          <w:sz w:val="20"/>
          <w:szCs w:val="20"/>
          <w:color w:val="auto"/>
        </w:rPr>
      </w:pPr>
    </w:p>
    <w:p>
      <w:pPr>
        <w:jc w:val="both"/>
        <w:ind w:firstLine="656"/>
        <w:spacing w:after="0" w:line="220" w:lineRule="auto"/>
        <w:tabs>
          <w:tab w:leader="none" w:pos="1255" w:val="left"/>
        </w:tabs>
        <w:numPr>
          <w:ilvl w:val="0"/>
          <w:numId w:val="2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Governing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Option Agreement and all acts and transactions pursuant hereto and the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of the parties hereto will be governed, construed and interpreted in accordance with the laws of the State of Delaware, without giving effect to such state’s conflict of laws rules.</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Any and all disputes relating to, concerning or arising from this Option Agreement, or relating to, concerning or arising from the relationship between the parties evidenced by the Plan or this Option Agreement, will be brought and heard exclusively in the federal and state courts sitting in the County of New York, State of New York.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sz w:val="20"/>
          <w:szCs w:val="20"/>
          <w:color w:val="auto"/>
        </w:rPr>
      </w:pPr>
    </w:p>
    <w:p>
      <w:pPr>
        <w:ind w:right="20" w:firstLine="656"/>
        <w:spacing w:after="0" w:line="276" w:lineRule="auto"/>
        <w:tabs>
          <w:tab w:leader="none" w:pos="1093" w:val="left"/>
        </w:tabs>
        <w:numPr>
          <w:ilvl w:val="0"/>
          <w:numId w:val="2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Option Agreement will affect in any manner whatsoever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power of the Employer or the Company to terminate Optionee’s Service, for any reason, with or without Cause.</w:t>
      </w:r>
    </w:p>
    <w:p>
      <w:pPr>
        <w:spacing w:after="0" w:line="117" w:lineRule="exact"/>
        <w:rPr>
          <w:rFonts w:ascii="Arial" w:cs="Arial" w:eastAsia="Arial" w:hAnsi="Arial"/>
          <w:sz w:val="18"/>
          <w:szCs w:val="18"/>
          <w:b w:val="1"/>
          <w:bCs w:val="1"/>
          <w:color w:val="010000"/>
        </w:rPr>
      </w:pPr>
    </w:p>
    <w:p>
      <w:pPr>
        <w:jc w:val="both"/>
        <w:ind w:firstLine="656"/>
        <w:spacing w:after="0" w:line="251" w:lineRule="auto"/>
        <w:tabs>
          <w:tab w:leader="none" w:pos="1093" w:val="left"/>
        </w:tabs>
        <w:numPr>
          <w:ilvl w:val="0"/>
          <w:numId w:val="29"/>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By Optionee’s acceptance of the Notice (whether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or electronically), Optionee and the Company agree that the Option is granted under and governed by the terms and conditions of the Plan, the Notice, and this Option Agreement. Optionee has reviewed the Plan, the Notice, and this Option Agreement in their entirety, has had an opportunity to obtain the advice of counsel prior to executing the Notice and this Option Agreement, and fully understands all provisions of the Plan, the Notice, and this Option Agreement. Optionee hereby agrees to accept as binding, conclusive, and final all decisions or interpretations of the Committee upon any questions relating to the Plan, the Notice, and this Option Agreement. Optionee further agrees to notify the Company upon any change in Optionee’s residence address. By acceptance of the Option, Optionee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Optionee acknowledges that Optionee may receive from the Company a paper copy of any documents delivered electronically at no cost if Optionee contacts the Company by telephone, through a postal service, or electronic mail. Optionee further acknowledges that Optionee will be provided with a paper copy of any documents delivered electronically if electronic delivery fails; similarly, Optionee understands that Optionee must provide on request to the Company or any designated third party a paper copy of any documents delivered electronically if electronic delivery fails. Also, Optionee understands that Optionee’s consent may be revoked or changed, including any change in the electronic mail address to which documents are delivered (if Optionee has provided an electronic mail address), at any time by notifying the Company of such revised or revoked consent by telephone, postal service, or electronic mail. Finally, Optionee understands that Optionee is not required to consent to electronic delivery if local laws prohibit such consent.</w:t>
      </w:r>
    </w:p>
    <w:p>
      <w:pPr>
        <w:spacing w:after="0" w:line="200" w:lineRule="exact"/>
        <w:rPr>
          <w:rFonts w:ascii="Arial" w:cs="Arial" w:eastAsia="Arial" w:hAnsi="Arial"/>
          <w:sz w:val="16"/>
          <w:szCs w:val="16"/>
          <w:b w:val="1"/>
          <w:bCs w:val="1"/>
          <w:color w:val="010000"/>
        </w:rPr>
      </w:pPr>
    </w:p>
    <w:p>
      <w:pPr>
        <w:spacing w:after="0" w:line="329" w:lineRule="exact"/>
        <w:rPr>
          <w:rFonts w:ascii="Arial" w:cs="Arial" w:eastAsia="Arial" w:hAnsi="Arial"/>
          <w:sz w:val="16"/>
          <w:szCs w:val="16"/>
          <w:b w:val="1"/>
          <w:bCs w:val="1"/>
          <w:color w:val="010000"/>
        </w:rPr>
      </w:pPr>
    </w:p>
    <w:p>
      <w:pPr>
        <w:jc w:val="both"/>
        <w:ind w:firstLine="656"/>
        <w:spacing w:after="0" w:line="218" w:lineRule="auto"/>
        <w:tabs>
          <w:tab w:leader="none" w:pos="1107" w:val="left"/>
        </w:tabs>
        <w:numPr>
          <w:ilvl w:val="0"/>
          <w:numId w:val="2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acknowledges that, depending on Optionee’s country, Optionee</w:t>
      </w:r>
      <w:r>
        <w:rPr>
          <w:rFonts w:ascii="Arial" w:cs="Arial" w:eastAsia="Arial" w:hAnsi="Arial"/>
          <w:sz w:val="19"/>
          <w:szCs w:val="19"/>
          <w:b w:val="1"/>
          <w:bCs w:val="1"/>
          <w:color w:val="auto"/>
        </w:rPr>
        <w:t xml:space="preserve"> </w:t>
      </w:r>
      <w:r>
        <w:rPr>
          <w:rFonts w:ascii="Arial" w:cs="Arial" w:eastAsia="Arial" w:hAnsi="Arial"/>
          <w:sz w:val="19"/>
          <w:szCs w:val="19"/>
          <w:color w:val="auto"/>
        </w:rPr>
        <w:t>may be subject to insider trading restrictions and/or market abuse laws, which may affect Optionee’s ability to acquire or sell the Shares or rights to Shares under the Plan during such times as Optionee is considered to have “inside information” regarding the Company (as defined by the laws in Optionee’s country).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understands that Optionee should consult his or her personal legal advisor on such matters. In addition, Optionee acknowledges that he or she has read the Company’s Insider Trading</w:t>
      </w:r>
    </w:p>
    <w:p>
      <w:pPr>
        <w:sectPr>
          <w:pgSz w:w="11900" w:h="16838" w:orient="portrait"/>
          <w:cols w:equalWidth="0" w:num="1">
            <w:col w:w="11240"/>
          </w:cols>
          <w:pgMar w:left="320" w:top="906" w:right="339" w:bottom="1440" w:gutter="0" w:footer="0" w:header="0"/>
        </w:sectPr>
      </w:pPr>
    </w:p>
    <w:bookmarkStart w:id="27" w:name="page28"/>
    <w:bookmarkEnd w:id="27"/>
    <w:p>
      <w:pPr>
        <w:ind w:right="20"/>
        <w:spacing w:after="0" w:line="229" w:lineRule="auto"/>
        <w:rPr>
          <w:sz w:val="20"/>
          <w:szCs w:val="20"/>
          <w:color w:val="auto"/>
        </w:rPr>
      </w:pPr>
      <w:r>
        <w:rPr>
          <w:rFonts w:ascii="Arial" w:cs="Arial" w:eastAsia="Arial" w:hAnsi="Arial"/>
          <w:sz w:val="20"/>
          <w:szCs w:val="20"/>
          <w:color w:val="auto"/>
        </w:rPr>
        <w:t>Policy, and agrees to comply with such policy, as it may be amended from time to time, whenever Optionee acquires or disposes of the Company’s securities.</w:t>
      </w:r>
    </w:p>
    <w:p>
      <w:pPr>
        <w:spacing w:after="0" w:line="149" w:lineRule="exact"/>
        <w:rPr>
          <w:sz w:val="20"/>
          <w:szCs w:val="20"/>
          <w:color w:val="auto"/>
        </w:rPr>
      </w:pPr>
    </w:p>
    <w:p>
      <w:pPr>
        <w:jc w:val="both"/>
        <w:ind w:firstLine="656"/>
        <w:spacing w:after="0" w:line="211" w:lineRule="auto"/>
        <w:tabs>
          <w:tab w:leader="none" w:pos="1093" w:val="left"/>
        </w:tabs>
        <w:numPr>
          <w:ilvl w:val="0"/>
          <w:numId w:val="3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by applicable law, the Option will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clawback or recoupment pursuant to any compensation clawback or recoupment policy adopted by the Board or required by law during the term of Optionee’s employment or other Service that is applicable to Optionee. In addition to any other remedies available under such policy and applicable law, the Company may require the cancellation of Optionee’s Option (whether vested or unvested) and the recoupment of any gains realized with respect to Optionee’s Option.</w:t>
      </w:r>
    </w:p>
    <w:p>
      <w:pPr>
        <w:spacing w:after="0" w:line="150"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BY ACCEPTING THIS OPTION, OPTIONEE AGREES TO ALL OF THE TERMS AND CONDITIONS DESCRIBED ABOVE AND IN THE PLAN.</w:t>
      </w:r>
    </w:p>
    <w:sectPr>
      <w:pgSz w:w="11900" w:h="16838" w:orient="portrait"/>
      <w:cols w:equalWidth="0" w:num="1">
        <w:col w:w="11240"/>
      </w:cols>
      <w:pgMar w:left="320" w:top="9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1"/>
    </w:lvl>
  </w:abstractNum>
  <w:abstractNum w:abstractNumId="2">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5E45D32"/>
    <w:multiLevelType w:val="hybridMultilevel"/>
    <w:lvl w:ilvl="0">
      <w:lvlJc w:val="left"/>
      <w:lvlText w:val="(%1)"/>
      <w:numFmt w:val="lowerRoman"/>
      <w:start w:val="3"/>
    </w:lvl>
  </w:abstractNum>
  <w:abstractNum w:abstractNumId="4">
    <w:nsid w:val="519B500D"/>
    <w:multiLevelType w:val="hybridMultilevel"/>
    <w:lvl w:ilvl="0">
      <w:lvlJc w:val="left"/>
      <w:lvlText w:val="%1"/>
      <w:numFmt w:val="lowerLetter"/>
      <w:start w:val="1"/>
    </w:lvl>
    <w:lvl w:ilvl="1">
      <w:lvlJc w:val="left"/>
      <w:lvlText w:val="(%2)"/>
      <w:numFmt w:val="decimal"/>
      <w:start w:val="2"/>
    </w:lvl>
  </w:abstractNum>
  <w:abstractNum w:abstractNumId="5">
    <w:nsid w:val="431BD7B7"/>
    <w:multiLevelType w:val="hybridMultilevel"/>
    <w:lvl w:ilvl="0">
      <w:lvlJc w:val="left"/>
      <w:lvlText w:val="(%1)"/>
      <w:numFmt w:val="lowerLetter"/>
      <w:start w:val="2"/>
    </w:lvl>
    <w:lvl w:ilvl="1">
      <w:lvlJc w:val="left"/>
      <w:lvlText w:val="%2"/>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1"/>
    </w:lvl>
    <w:lvl w:ilvl="1">
      <w:lvlJc w:val="left"/>
      <w:lvlText w:val="(%2)"/>
      <w:numFmt w:val="lowerLetter"/>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3"/>
    </w:lvl>
  </w:abstractNum>
  <w:abstractNum w:abstractNumId="12">
    <w:nsid w:val="333AB105"/>
    <w:multiLevelType w:val="hybridMultilevel"/>
    <w:lvl w:ilvl="0">
      <w:lvlJc w:val="left"/>
      <w:lvlText w:val="%1."/>
      <w:numFmt w:val="decimal"/>
      <w:start w:val="6"/>
    </w:lvl>
    <w:lvl w:ilvl="1">
      <w:lvlJc w:val="left"/>
      <w:lvlText w:val="(%2)"/>
      <w:numFmt w:val="lowerLetter"/>
      <w:start w:val="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lvl w:ilvl="1">
      <w:lvlJc w:val="left"/>
      <w:lvlText w:val="(%2)"/>
      <w:numFmt w:val="lowerLetter"/>
      <w:start w:val="1"/>
    </w:lvl>
  </w:abstractNum>
  <w:abstractNum w:abstractNumId="18">
    <w:nsid w:val="8EDBDAB"/>
    <w:multiLevelType w:val="hybridMultilevel"/>
    <w:lvl w:ilvl="0">
      <w:lvlJc w:val="left"/>
      <w:lvlText w:val="%1"/>
      <w:numFmt w:val="decimal"/>
      <w:start w:val="1"/>
    </w:lvl>
    <w:lvl w:ilvl="1">
      <w:lvlJc w:val="left"/>
      <w:lvlText w:val="(%2)"/>
      <w:numFmt w:val="lowerLetter"/>
      <w:start w:val="4"/>
    </w:lvl>
  </w:abstractNum>
  <w:abstractNum w:abstractNumId="19">
    <w:nsid w:val="79838CB2"/>
    <w:multiLevelType w:val="hybridMultilevel"/>
    <w:lvl w:ilvl="0">
      <w:lvlJc w:val="left"/>
      <w:lvlText w:val="%1."/>
      <w:numFmt w:val="decimal"/>
      <w:start w:val="4"/>
    </w:lvl>
    <w:lvl w:ilvl="1">
      <w:lvlJc w:val="left"/>
      <w:lvlText w:val="(%2)"/>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decimal"/>
      <w:start w:val="6"/>
    </w:lvl>
    <w:lvl w:ilvl="1">
      <w:lvlJc w:val="left"/>
      <w:lvlText w:val="(%2)"/>
      <w:numFmt w:val="lowerLetter"/>
      <w:start w:val="1"/>
    </w:lvl>
  </w:abstractNum>
  <w:abstractNum w:abstractNumId="22">
    <w:nsid w:val="189A769B"/>
    <w:multiLevelType w:val="hybridMultilevel"/>
    <w:lvl w:ilvl="0">
      <w:lvlJc w:val="left"/>
      <w:lvlText w:val="(%1)"/>
      <w:numFmt w:val="lowerLetter"/>
      <w:start w:val="2"/>
    </w:lvl>
    <w:lvl w:ilvl="1">
      <w:lvlJc w:val="left"/>
      <w:lvlText w:val="(%2)"/>
      <w:numFmt w:val="lowerRoman"/>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decimal"/>
      <w:start w:val="9"/>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26">
    <w:nsid w:val="836C40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7">
    <w:nsid w:val="2901D82"/>
    <w:multiLevelType w:val="hybridMultilevel"/>
    <w:lvl w:ilvl="0">
      <w:lvlJc w:val="left"/>
      <w:lvlText w:val="%1."/>
      <w:numFmt w:val="decimal"/>
      <w:start w:val="17"/>
    </w:lvl>
  </w:abstractNum>
  <w:abstractNum w:abstractNumId="28">
    <w:nsid w:val="3A95F874"/>
    <w:multiLevelType w:val="hybridMultilevel"/>
    <w:lvl w:ilvl="0">
      <w:lvlJc w:val="left"/>
      <w:lvlText w:val="%1."/>
      <w:numFmt w:val="decimal"/>
      <w:start w:val="18"/>
    </w:lvl>
  </w:abstractNum>
  <w:abstractNum w:abstractNumId="29">
    <w:nsid w:val="8138641"/>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jpeg"/><Relationship Id="rId43" Type="http://schemas.openxmlformats.org/officeDocument/2006/relationships/image" Target="media/image24.png"/><Relationship Id="rId44" Type="http://schemas.openxmlformats.org/officeDocument/2006/relationships/image" Target="media/image25.png"/><Relationship Id="rId12" Type="http://schemas.openxmlformats.org/officeDocument/2006/relationships/hyperlink" Target="https://www.sec.gov/ix?doc=/Archives/edgar/data/0001818331/000181833122000037/cmlf-20211231.htm" TargetMode="External"/><Relationship Id="rId13" Type="http://schemas.openxmlformats.org/officeDocument/2006/relationships/hyperlink" Target="https://www.sec.gov/ix?doc=/Archives/edgar/data/0001818331/000181833122000010/smfr-20220114.htm" TargetMode="External"/><Relationship Id="rId14" Type="http://schemas.openxmlformats.org/officeDocument/2006/relationships/hyperlink" Target="https://www.sec.gov/ix?doc=/Archives/edgar/data/0001818331/000181833122000022/smfr-20220125.htm" TargetMode="External"/><Relationship Id="rId15" Type="http://schemas.openxmlformats.org/officeDocument/2006/relationships/hyperlink" Target="https://www.sec.gov/ix?doc=/Archives/edgar/data/0001818331/000181833122000035/smfr-20220310.htm" TargetMode="External"/><Relationship Id="rId16" Type="http://schemas.openxmlformats.org/officeDocument/2006/relationships/hyperlink" Target="https://www.sec.gov/ix?doc=/Archives/edgar/data/0001818331/000162828022010817/smfr-20220427.htm" TargetMode="External"/><Relationship Id="rId17" Type="http://schemas.openxmlformats.org/officeDocument/2006/relationships/hyperlink" Target="https://www.sec.gov/ix?doc=/Archives/edgar/data/0001818331/000162828022011605/smfr-20220429.htm" TargetMode="External"/><Relationship Id="rId18" Type="http://schemas.openxmlformats.org/officeDocument/2006/relationships/hyperlink" Target="https://www.sec.gov/Archives/edgar/data/0001818331/000121390020024549/ea126225-8a12b_cmlifescience.htm" TargetMode="External"/><Relationship Id="rId19" Type="http://schemas.openxmlformats.org/officeDocument/2006/relationships/hyperlink" Target="https://www.sec.gov/ix?doc=/Archives/edgar/data/1818331/000181833122000037/cmlf-20211231.htm" TargetMode="External"/><Relationship Id="rId21" Type="http://schemas.openxmlformats.org/officeDocument/2006/relationships/hyperlink" Target="https://www.sec.gov/Archives/edgar/data/1818331/000162828021014760/exhibit31-super8xk.htm" TargetMode="External"/><Relationship Id="rId22" Type="http://schemas.openxmlformats.org/officeDocument/2006/relationships/hyperlink" Target="https://www.sec.gov/Archives/edgar/data/0001818331/000162828022011605/exhibit31-closing8xk.htm" TargetMode="External"/><Relationship Id="rId23" Type="http://schemas.openxmlformats.org/officeDocument/2006/relationships/hyperlink" Target="https://www.sec.gov/Archives/edgar/data/1818331/000162828021014760/exhibit32-super8xk.htm" TargetMode="External"/><Relationship Id="rId24" Type="http://schemas.openxmlformats.org/officeDocument/2006/relationships/hyperlink" Target="https://www.sec.gov/Archives/edgar/data/1818331/000162828021014760/exhibit105-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2022-05-03T05:27:52Z</dcterms:created>
  <dcterms:modified xsi:type="dcterms:W3CDTF">2022-05-03T05:27:52Z</dcterms:modified>
</cp:coreProperties>
</file>