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Saad Kareem</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Sema4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SMFR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07/19/2022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97"/>
        <w:spacing w:after="0"/>
        <w:rPr>
          <w:sz w:val="20"/>
          <w:szCs w:val="20"/>
          <w:color w:val="auto"/>
        </w:rPr>
      </w:pPr>
      <w:r>
        <w:rPr>
          <w:rFonts w:ascii="Times New Roman" w:cs="Times New Roman" w:eastAsia="Times New Roman" w:hAnsi="Times New Roman"/>
          <w:sz w:val="17"/>
          <w:szCs w:val="17"/>
          <w:color w:val="0000FF"/>
        </w:rPr>
        <w:t>Chief Transformation Officer</w:t>
      </w:r>
    </w:p>
    <w:p>
      <w:pPr>
        <w:spacing w:after="0" w:line="388"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1"/>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580" w:type="dxa"/>
            <w:vAlign w:val="bottom"/>
          </w:tcPr>
          <w:p>
            <w:pPr>
              <w:ind w:left="240"/>
              <w:spacing w:after="0" w:line="129"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8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07/19/2022</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18,014</w:t>
            </w: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82,303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07/20/2022</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5,311</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76,992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18,014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07/19/2022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40"/>
              <w:spacing w:after="0" w:line="142" w:lineRule="exact"/>
              <w:rPr>
                <w:sz w:val="20"/>
                <w:szCs w:val="20"/>
                <w:color w:val="auto"/>
              </w:rPr>
            </w:pPr>
            <w:r>
              <w:rPr>
                <w:rFonts w:ascii="Times New Roman" w:cs="Times New Roman" w:eastAsia="Times New Roman" w:hAnsi="Times New Roman"/>
                <w:sz w:val="13"/>
                <w:szCs w:val="13"/>
                <w:color w:val="0000FF"/>
              </w:rPr>
              <w:t>18,014</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180,144</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p>
      <w:pPr>
        <w:spacing w:after="0" w:line="16" w:lineRule="exact"/>
        <w:rPr>
          <w:rFonts w:ascii="Times New Roman" w:cs="Times New Roman" w:eastAsia="Times New Roman" w:hAnsi="Times New Roman"/>
          <w:sz w:val="13"/>
          <w:szCs w:val="13"/>
          <w:color w:val="008000"/>
        </w:rPr>
      </w:pPr>
    </w:p>
    <w:p>
      <w:pPr>
        <w:ind w:left="40" w:right="1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3/16th of the total shares vested on October 25, 2021, 1/16th of the total shares vested on January 25, 2022, and thereafter will vest as to 1/16th of the total shares underlying the award in quarterly installments until fully vested on January 19,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Clark,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07/21/2022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2022-07-21T15:46:06Z</dcterms:created>
  <dcterms:modified xsi:type="dcterms:W3CDTF">2022-07-21T15:46:06Z</dcterms:modified>
</cp:coreProperties>
</file>