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341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4162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Meister Keith A.</w:t>
              </w:r>
            </w:hyperlink>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GeneDx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WGS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c>
          <w:tcPr>
            <w:tcW w:w="10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06/18/2025</w:t>
            </w:r>
          </w:p>
        </w:tc>
        <w:tc>
          <w:tcPr>
            <w:tcW w:w="1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10065</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22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Ownership</w:t>
            </w:r>
          </w:p>
        </w:tc>
        <w:tc>
          <w:tcPr>
            <w:tcW w:w="1200" w:type="dxa"/>
            <w:vAlign w:val="bottom"/>
            <w:gridSpan w:val="4"/>
          </w:tcPr>
          <w:p>
            <w:pPr>
              <w:ind w:left="1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Form: Direct</w:t>
            </w:r>
          </w:p>
        </w:tc>
        <w:tc>
          <w:tcPr>
            <w:tcW w:w="12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22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or Indirect</w:t>
            </w:r>
          </w:p>
        </w:tc>
        <w:tc>
          <w:tcPr>
            <w:tcW w:w="12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Owned Following</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w w:val="98"/>
              </w:rPr>
              <w:t>(I) (Instr. 4)</w:t>
            </w:r>
          </w:p>
        </w:tc>
        <w:tc>
          <w:tcPr>
            <w:tcW w:w="220" w:type="dxa"/>
            <w:vAlign w:val="bottom"/>
          </w:tcPr>
          <w:p>
            <w:pPr>
              <w:spacing w:after="0"/>
              <w:rPr>
                <w:sz w:val="11"/>
                <w:szCs w:val="11"/>
                <w:color w:val="auto"/>
              </w:rPr>
            </w:pPr>
          </w:p>
        </w:tc>
        <w:tc>
          <w:tcPr>
            <w:tcW w:w="12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3"/>
            <w:vMerge w:val="continue"/>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06/18/2025</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12,924</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40"/>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
              <w:spacing w:after="0"/>
              <w:rPr>
                <w:sz w:val="20"/>
                <w:szCs w:val="20"/>
                <w:color w:val="auto"/>
              </w:rPr>
            </w:pPr>
            <w:r>
              <w:rPr>
                <w:rFonts w:ascii="Times New Roman" w:cs="Times New Roman" w:eastAsia="Times New Roman" w:hAnsi="Times New Roman"/>
                <w:sz w:val="17"/>
                <w:szCs w:val="17"/>
                <w:color w:val="0000FF"/>
              </w:rPr>
              <w:t>20,129</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3"/>
            <w:vMerge w:val="restart"/>
          </w:tcPr>
          <w:p>
            <w:pPr>
              <w:jc w:val="right"/>
              <w:ind w:right="123"/>
              <w:spacing w:after="0"/>
              <w:rPr>
                <w:sz w:val="20"/>
                <w:szCs w:val="20"/>
                <w:color w:val="auto"/>
              </w:rPr>
            </w:pPr>
            <w:r>
              <w:rPr>
                <w:rFonts w:ascii="Times New Roman" w:cs="Times New Roman" w:eastAsia="Times New Roman" w:hAnsi="Times New Roman"/>
                <w:sz w:val="17"/>
                <w:szCs w:val="17"/>
                <w:color w:val="0000FF"/>
              </w:rPr>
              <w:t>3,674,913</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(2)(3)</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2"/>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46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 w:type="dxa"/>
            <w:vAlign w:val="bottom"/>
          </w:tcPr>
          <w:p>
            <w:pPr>
              <w:spacing w:after="0"/>
              <w:rPr>
                <w:sz w:val="13"/>
                <w:szCs w:val="13"/>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520" w:type="dxa"/>
            <w:vAlign w:val="bottom"/>
          </w:tcPr>
          <w:p>
            <w:pPr>
              <w:jc w:val="center"/>
              <w:ind w:left="58"/>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3,576</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gridSpan w:val="2"/>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gridSpan w:val="2"/>
            <w:vMerge w:val="continue"/>
          </w:tcPr>
          <w:p>
            <w:pPr>
              <w:spacing w:after="0"/>
              <w:rPr>
                <w:sz w:val="5"/>
                <w:szCs w:val="5"/>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5"/>
                <w:szCs w:val="5"/>
                <w:color w:val="auto"/>
              </w:rPr>
            </w:pPr>
          </w:p>
        </w:tc>
        <w:tc>
          <w:tcPr>
            <w:tcW w:w="700" w:type="dxa"/>
            <w:vAlign w:val="bottom"/>
            <w:vMerge w:val="restart"/>
          </w:tcPr>
          <w:p>
            <w:pPr>
              <w:jc w:val="right"/>
              <w:ind w:right="295"/>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220" w:type="dxa"/>
            <w:vAlign w:val="bottom"/>
          </w:tcPr>
          <w:p>
            <w:pPr>
              <w:spacing w:after="0"/>
              <w:rPr>
                <w:sz w:val="5"/>
                <w:szCs w:val="5"/>
                <w:color w:val="auto"/>
              </w:rPr>
            </w:pPr>
          </w:p>
        </w:tc>
        <w:tc>
          <w:tcPr>
            <w:tcW w:w="4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vMerge w:val="restart"/>
          </w:tcPr>
          <w:p>
            <w:pPr>
              <w:jc w:val="center"/>
              <w:ind w:left="38"/>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520" w:type="dxa"/>
            <w:vAlign w:val="bottom"/>
          </w:tcPr>
          <w:p>
            <w:pPr>
              <w:jc w:val="center"/>
              <w:ind w:left="58"/>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12,924</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100" w:type="dxa"/>
            <w:vAlign w:val="bottom"/>
          </w:tcPr>
          <w:p>
            <w:pPr>
              <w:spacing w:after="0"/>
              <w:rPr>
                <w:sz w:val="5"/>
                <w:szCs w:val="5"/>
                <w:color w:val="auto"/>
              </w:rPr>
            </w:pPr>
          </w:p>
        </w:tc>
        <w:tc>
          <w:tcPr>
            <w:tcW w:w="5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gridSpan w:val="2"/>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12,924</w:t>
            </w: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gridSpan w:val="2"/>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gridSpan w:val="2"/>
            <w:vMerge w:val="continue"/>
          </w:tcPr>
          <w:p>
            <w:pPr>
              <w:spacing w:after="0"/>
              <w:rPr>
                <w:sz w:val="5"/>
                <w:szCs w:val="5"/>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5"/>
                <w:szCs w:val="5"/>
                <w:color w:val="auto"/>
              </w:rPr>
            </w:pPr>
          </w:p>
        </w:tc>
        <w:tc>
          <w:tcPr>
            <w:tcW w:w="700" w:type="dxa"/>
            <w:vAlign w:val="bottom"/>
            <w:vMerge w:val="restart"/>
          </w:tcPr>
          <w:p>
            <w:pPr>
              <w:jc w:val="right"/>
              <w:ind w:right="415"/>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20" w:type="dxa"/>
            <w:vAlign w:val="bottom"/>
          </w:tcPr>
          <w:p>
            <w:pPr>
              <w:spacing w:after="0"/>
              <w:rPr>
                <w:sz w:val="5"/>
                <w:szCs w:val="5"/>
                <w:color w:val="auto"/>
              </w:rPr>
            </w:pPr>
          </w:p>
        </w:tc>
        <w:tc>
          <w:tcPr>
            <w:tcW w:w="4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vMerge w:val="restart"/>
          </w:tcPr>
          <w:p>
            <w:pPr>
              <w:jc w:val="center"/>
              <w:ind w:left="38"/>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640"/>
        <w:spacing w:after="0" w:line="288"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CMLS Holdings LLC ("CMLS Holdings") is the record holder of 333,144 shares of the Class A Common Stock reported herein. Mr. Meister is one of two members of the Board of Managers of CMLS Holdings, and Mr. Meister shares voting and investment discretion with respect to the securities held by CMLS Holdings Stock reported herein. Corvex is not an investment adviser to CMLS Holdings.</w:t>
      </w:r>
    </w:p>
    <w:p>
      <w:pPr>
        <w:ind w:left="40" w:right="2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3,341,769 shares of Class A Common Stock of the Issuer are held for the accounts of the Corvex Funds for which Corvex Management LP ("Corvex") acts as investment adviser. The general partner of Corvex is controlled by Mr. Meister.</w:t>
      </w:r>
    </w:p>
    <w:p>
      <w:pPr>
        <w:spacing w:after="0" w:line="19" w:lineRule="exact"/>
        <w:rPr>
          <w:rFonts w:ascii="Times New Roman" w:cs="Times New Roman" w:eastAsia="Times New Roman" w:hAnsi="Times New Roman"/>
          <w:sz w:val="13"/>
          <w:szCs w:val="13"/>
          <w:color w:val="008000"/>
        </w:rPr>
      </w:pPr>
    </w:p>
    <w:p>
      <w:pPr>
        <w:ind w:left="40" w:right="520"/>
        <w:spacing w:after="0" w:line="24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2025-06-23T17:10:14Z</dcterms:created>
  <dcterms:modified xsi:type="dcterms:W3CDTF">2025-06-23T17:10:14Z</dcterms:modified>
</cp:coreProperties>
</file>