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Filed Pursuant to Rule 424(b)(3)</w: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Registration No. 333-264626</w:t>
      </w: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PROSPECTUS SUPPLEMENT NO. 1</w:t>
      </w:r>
    </w:p>
    <w:p>
      <w:pPr>
        <w:pStyle w:val="TextBody"/>
        <w:spacing w:lineRule="auto" w:line="288" w:before="0" w:after="18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(to Prospectus dated May 11, 2022)</w:t>
      </w:r>
    </w:p>
    <w:p>
      <w:pPr>
        <w:pStyle w:val="TextBody"/>
        <w:spacing w:before="0" w:after="180"/>
        <w:jc w:val="center"/>
        <w:rPr/>
      </w:pPr>
      <w:r>
        <w:rPr/>
        <w:drawing>
          <wp:inline distT="0" distB="63500" distL="0" distR="0">
            <wp:extent cx="214312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65722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Sema4 Holdings Corp.</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160,864,198 Shares of Common Stock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180"/>
        <w:ind w:left="0" w:right="0" w:firstLine="360"/>
        <w:jc w:val="both"/>
        <w:rPr/>
      </w:pPr>
      <w:r>
        <w:rPr>
          <w:rFonts w:ascii="Times New Roman;sans-serif" w:hAnsi="Times New Roman;sans-serif"/>
          <w:b w:val="false"/>
          <w:color w:val="000000"/>
          <w:sz w:val="20"/>
          <w:highlight w:val="white"/>
        </w:rPr>
        <w:t xml:space="preserve">This </w:t>
      </w:r>
      <w:r>
        <w:rPr>
          <w:rFonts w:ascii="Times New Roman;sans-serif" w:hAnsi="Times New Roman;sans-serif"/>
          <w:b w:val="false"/>
          <w:color w:val="000000"/>
          <w:sz w:val="20"/>
        </w:rPr>
        <w:t>prospectus</w:t>
      </w:r>
      <w:r>
        <w:rPr>
          <w:color w:val="000000"/>
          <w:highlight w:val="white"/>
        </w:rPr>
        <w:t xml:space="preserve"> </w:t>
      </w:r>
      <w:r>
        <w:rPr>
          <w:rFonts w:ascii="Times New Roman;sans-serif" w:hAnsi="Times New Roman;sans-serif"/>
          <w:b w:val="false"/>
          <w:color w:val="000000"/>
          <w:sz w:val="20"/>
          <w:highlight w:val="white"/>
        </w:rPr>
        <w:t>supple</w:t>
      </w:r>
      <w:r>
        <w:rPr>
          <w:rFonts w:ascii="Times New Roman;sans-serif" w:hAnsi="Times New Roman;sans-serif"/>
          <w:b w:val="false"/>
          <w:color w:val="000000"/>
          <w:sz w:val="20"/>
        </w:rPr>
        <w:t>ment supplements the prospectus dated May 11, 2022 (the “Prospectus”), which forms a part of our registration statement on Form S-1 (No. 333-264626). This prospectus supplement is being filed to update and supplement the information in the Prospectus with the information contained in our quarterly report on Form 10-Q, filed with the Securities and Exchange Commission (the “SEC”) on May 12, 2022. Accordingly, we have attached the quarterly report on Form 10-Q to this prospectus supplement.</w:t>
      </w:r>
    </w:p>
    <w:p>
      <w:pPr>
        <w:pStyle w:val="TextBody"/>
        <w:spacing w:before="0" w:after="180"/>
        <w:ind w:left="0" w:right="0" w:firstLine="360"/>
        <w:jc w:val="both"/>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Prospectus and this prospectus supplement relate to the offer and sale from time to time by the selling stockholders named in this prospectus (the “Selling Stockholders”) of up to 160,864,198 shares of our Class A common stock, par value $0.0001 per share (“Class A common stock”), consisting of (i) up to 80,000,000 shares of our Class A common stock (the “Stock Consideration Shares”) issued to OPKO Health, Inc. (“OPKO”) as a portion of the consideration for the Acquisition (as defined below), (ii) up to 30,864,198 shares of our Class A common stock (the “Milestone Shares”) that may be issuable to OPKO in connection with the achievement of certain revenue-based milestones for each of the fiscal years ending December 31, 2022 and December 31, 2023 and (iii) up to 50,000,000 shares of our Class A common stock (the “PIPE Shares”) issued in a private placement pursuant to subscription agreements each entered into on January 14, 2022 (the “PIPE Investment”).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we consummated the transactions contemplated by that certain Agreement and Plan of Merger, dated as of January 14, 2022 (as amended, the “Merger Agreement”), by and among us and our wholly-owned subsidiaries, Orion Merger Sub I, Inc. (“Merger Sub I”) and Orion Merger Sub II, LLC (“Merger Sub II” and, together with Merger Sub I, “Merger Subs”), and GeneDx, Inc., a New Jersey corporation and wholly-owned subsidiary of OPKO (“GeneDx”), GeneDx Holding 2, Inc., which held 100% of GeneDx at the Effective Time (as defined below) (“Holdco2”), and OPKO. Pursuant to the terms of the Merger Agreement, we acquired GeneDx through the merger of Merger Sub I with and into Holdco2 (the “First Merger”), with Holdco2 as the surviving corporation in the First Merger. Immediately after the consummation of the First Merger, as part of the same overall transaction, Holdco2, as the surviving corporation in the First Merger, merged with and into Merger Sub II (the “Second Merger” and, together with the First Merger, the “Mergers”), with Merger Sub II as the surviving company. After giving effect to the Mergers and the other transactions contemplated by the Merger Agreement, GeneDx was converted into a Delaware limited liability company and became our wholly-owned indirect subsidiary. At the closing of the Acquisition, we paid OPKO $150 million of Cash Consideration (as defined herein) and issued to OPKO the Stock Consideration Shares. Concurrently with the closing, we also consummated the PIPE Investment, issuing the PIPE Shares for aggregate gross proceeds of $200 million. We have filed the registration statement to which this prospectus relates to satisfy certain registration rights obligations we have to the Selling Stockholders in respect of the Stock Consideration Shares, the Milestone Shares and the PIPE Shares.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and public warrants are listed on the Nasdaq Global Select Market (the “Nasdaq”) under the symbol “SMFR” and “SMFRW”, respectively. On May 11, 2022, the last reported sales price of our common stock was $1.56 per share and the last reported sales price of our public warrants was $0.28 per warrant.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180"/>
                        <w:jc w:val="center"/>
                        <w:rPr/>
                      </w:pPr>
                      <w:r>
                        <w:rPr/>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an “emerging growth company” as defined in Section 2(a) of the Securities Act of 1933, as amended, and, as such, have elected to comply with certain reduced disclosure and regulatory requirements.</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Investing in our securities involves risks. See the section entitled “Risk Factors” beginning on page 8 of the Prospectus to read about factors you should consider before buying our securities.</w:t>
      </w:r>
    </w:p>
    <w:p>
      <w:pPr>
        <w:pStyle w:val="TextBody"/>
        <w:spacing w:lineRule="auto" w:line="288" w:before="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date of this prospectus supplement is May 12, 2022</w:t>
      </w:r>
    </w:p>
    <w:p>
      <w:pPr>
        <w:pStyle w:val="TextBody"/>
        <w:spacing w:before="0" w:after="180"/>
        <w:ind w:left="0" w:right="0" w:firstLine="360"/>
        <w:jc w:val="both"/>
        <w:rPr/>
      </w:pPr>
      <w:r>
        <w:rPr/>
      </w:r>
    </w:p>
    <w:p>
      <w:pPr>
        <w:pStyle w:val="TextBody"/>
        <w:spacing w:before="0" w:after="18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ind w:left="0" w:right="0" w:firstLine="36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lineRule="auto" w:line="288" w:before="180" w:after="283"/>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2022</w:t>
      </w:r>
    </w:p>
    <w:p>
      <w:pPr>
        <w:pStyle w:val="TextBody"/>
        <w:spacing w:lineRule="auto" w:line="288" w:before="18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p>
      <w:pPr>
        <w:pStyle w:val="TextBody"/>
        <w:spacing w:lineRule="auto" w:line="288" w:before="18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Commission file number 001-39482</w:t>
      </w:r>
    </w:p>
    <w:p>
      <w:pPr>
        <w:pStyle w:val="TextBody"/>
        <w:spacing w:before="180" w:after="283"/>
        <w:ind w:left="0" w:right="0" w:firstLine="360"/>
        <w:jc w:val="center"/>
        <w:rPr/>
      </w:pPr>
      <w:r>
        <w:rPr/>
        <w:drawing>
          <wp:inline distT="0" distB="63500" distL="0" distR="0">
            <wp:extent cx="2143125" cy="6477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2143125" cy="647700"/>
                    </a:xfrm>
                    <a:prstGeom prst="rect">
                      <a:avLst/>
                    </a:prstGeom>
                  </pic:spPr>
                </pic:pic>
              </a:graphicData>
            </a:graphic>
          </wp:inline>
        </w:drawing>
      </w:r>
    </w:p>
    <w:p>
      <w:pPr>
        <w:pStyle w:val="TextBody"/>
        <w:spacing w:lineRule="auto" w:line="288" w:before="0" w:after="180"/>
        <w:jc w:val="center"/>
        <w:rPr>
          <w:rFonts w:ascii="Times New Roman;sans-serif" w:hAnsi="Times New Roman;sans-serif"/>
          <w:b/>
          <w:color w:val="000000"/>
          <w:sz w:val="32"/>
        </w:rPr>
      </w:pPr>
      <w:r>
        <w:rPr>
          <w:rFonts w:ascii="Times New Roman;sans-serif" w:hAnsi="Times New Roman;sans-serif"/>
          <w:b/>
          <w:color w:val="000000"/>
          <w:sz w:val="32"/>
        </w:rPr>
        <w:t>Sema4 Holdings Corp.</w:t>
      </w:r>
    </w:p>
    <w:p>
      <w:pPr>
        <w:pStyle w:val="TextBody"/>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5443" w:type="dxa"/>
        <w:jc w:val="left"/>
        <w:tblInd w:w="0" w:type="dxa"/>
        <w:tblCellMar>
          <w:top w:w="28" w:type="dxa"/>
          <w:left w:w="28" w:type="dxa"/>
          <w:bottom w:w="28" w:type="dxa"/>
          <w:right w:w="28" w:type="dxa"/>
        </w:tblCellMar>
      </w:tblPr>
      <w:tblGrid>
        <w:gridCol w:w="1373"/>
        <w:gridCol w:w="1205"/>
        <w:gridCol w:w="1216"/>
        <w:gridCol w:w="438"/>
        <w:gridCol w:w="438"/>
        <w:gridCol w:w="773"/>
      </w:tblGrid>
      <w:tr>
        <w:trPr/>
        <w:tc>
          <w:tcPr>
            <w:tcW w:w="1373"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ind w:left="0" w:right="0" w:firstLine="60"/>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85-1966622</w:t>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spacing w:lineRule="auto" w:line="268"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333 Ludlow Street, North Tower, 8th Floor</w:t>
            </w:r>
          </w:p>
          <w:p>
            <w:pPr>
              <w:pStyle w:val="TableContents"/>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Stamford, Connecticut</w:t>
            </w:r>
          </w:p>
        </w:tc>
        <w:tc>
          <w:tcPr>
            <w:tcW w:w="164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06902</w:t>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18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(800) 298-6470</w:t>
      </w:r>
    </w:p>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0" w:after="0"/>
        <w:ind w:left="0" w:right="0" w:firstLine="360"/>
        <w:jc w:val="center"/>
        <w:rPr/>
      </w:pPr>
      <w:r>
        <w:rPr>
          <w:rFonts w:ascii="Times New Roman;sans-serif" w:hAnsi="Times New Roman;sans-serif"/>
          <w:b/>
          <w:color w:val="000000"/>
          <w:sz w:val="20"/>
        </w:rPr>
        <w:br/>
      </w:r>
      <w:r>
        <w:rPr>
          <w:rFonts w:ascii="Times New Roman;sans-serif" w:hAnsi="Times New Roman;sans-serif"/>
          <w:b w:val="false"/>
          <w:color w:val="000000"/>
          <w:sz w:val="20"/>
        </w:rPr>
        <w:t>(Former name, former address and former fiscal year, if changed since last report)</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CellMar>
          <w:top w:w="28" w:type="dxa"/>
          <w:left w:w="28" w:type="dxa"/>
          <w:bottom w:w="28" w:type="dxa"/>
          <w:right w:w="28" w:type="dxa"/>
        </w:tblCellMar>
      </w:tblPr>
      <w:tblGrid>
        <w:gridCol w:w="2303"/>
        <w:gridCol w:w="1884"/>
        <w:gridCol w:w="1907"/>
        <w:gridCol w:w="460"/>
        <w:gridCol w:w="444"/>
        <w:gridCol w:w="446"/>
        <w:gridCol w:w="807"/>
        <w:gridCol w:w="807"/>
        <w:gridCol w:w="1147"/>
      </w:tblGrid>
      <w:tr>
        <w:trPr/>
        <w:tc>
          <w:tcPr>
            <w:tcW w:w="2303" w:type="dxa"/>
            <w:tcBorders/>
            <w:shd w:fill="auto" w:val="clear"/>
            <w:vAlign w:val="center"/>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1907"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r>
      <w:tr>
        <w:trPr/>
        <w:tc>
          <w:tcPr>
            <w:tcW w:w="60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276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60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13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SMFR</w:t>
            </w:r>
          </w:p>
        </w:tc>
        <w:tc>
          <w:tcPr>
            <w:tcW w:w="276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r>
        <w:trPr/>
        <w:tc>
          <w:tcPr>
            <w:tcW w:w="609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Warrants to purchase one share of Class A common stock, each at an exercise price of $11.50 per share</w:t>
            </w:r>
          </w:p>
        </w:tc>
        <w:tc>
          <w:tcPr>
            <w:tcW w:w="135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SMFRW</w:t>
            </w:r>
          </w:p>
        </w:tc>
        <w:tc>
          <w:tcPr>
            <w:tcW w:w="2761"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bl>
    <w:p>
      <w:pPr>
        <w:pStyle w:val="TextBody"/>
        <w:spacing w:lineRule="auto" w:line="288" w:before="18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180" w:after="283"/>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988" w:type="dxa"/>
        <w:jc w:val="center"/>
        <w:tblInd w:w="0" w:type="dxa"/>
        <w:tblCellMar>
          <w:top w:w="28" w:type="dxa"/>
          <w:left w:w="28" w:type="dxa"/>
          <w:bottom w:w="28" w:type="dxa"/>
          <w:right w:w="28" w:type="dxa"/>
        </w:tblCellMar>
      </w:tblPr>
      <w:tblGrid>
        <w:gridCol w:w="717"/>
        <w:gridCol w:w="630"/>
        <w:gridCol w:w="632"/>
        <w:gridCol w:w="109"/>
        <w:gridCol w:w="109"/>
        <w:gridCol w:w="109"/>
        <w:gridCol w:w="769"/>
        <w:gridCol w:w="769"/>
        <w:gridCol w:w="772"/>
        <w:gridCol w:w="109"/>
        <w:gridCol w:w="109"/>
        <w:gridCol w:w="154"/>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both"/>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firstLine="60"/>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spacing w:lineRule="auto" w:line="288" w:before="18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180" w:after="283"/>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377,249,186 shares of Class A common stock as of April 29, 2022.</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731"/>
        <w:gridCol w:w="642"/>
        <w:gridCol w:w="642"/>
        <w:gridCol w:w="2633"/>
        <w:gridCol w:w="2477"/>
        <w:gridCol w:w="2506"/>
        <w:gridCol w:w="167"/>
        <w:gridCol w:w="167"/>
        <w:gridCol w:w="240"/>
      </w:tblGrid>
      <w:tr>
        <w:trPr/>
        <w:tc>
          <w:tcPr>
            <w:tcW w:w="731"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2633"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3">
              <w:r>
                <w:rPr>
                  <w:rStyle w:val="InternetLink"/>
                  <w:rFonts w:ascii="Times New Roman;sans-serif" w:hAnsi="Times New Roman;sans-serif"/>
                  <w:b w:val="false"/>
                  <w:color w:val="0000FF"/>
                  <w:sz w:val="20"/>
                  <w:u w:val="single"/>
                </w:rPr>
                <w:t>Explanatory Note</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13">
              <w:r>
                <w:rPr>
                  <w:rStyle w:val="InternetLink"/>
                  <w:rFonts w:ascii="Times New Roman;sans-serif" w:hAnsi="Times New Roman;sans-serif"/>
                  <w:b w:val="false"/>
                  <w:strike w:val="false"/>
                  <w:dstrike w:val="false"/>
                  <w:color w:val="000000"/>
                  <w:sz w:val="20"/>
                  <w:u w:val="none"/>
                  <w:effect w:val="none"/>
                </w:rPr>
                <w:t>4</w:t>
              </w:r>
            </w:hyperlink>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Cautionary Note Regarding Forward Looking Statements</w:t>
            </w:r>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16">
              <w:r>
                <w:rPr>
                  <w:rStyle w:val="InternetLink"/>
                  <w:rFonts w:ascii="Times New Roman;sans-serif" w:hAnsi="Times New Roman;sans-serif"/>
                  <w:b w:val="false"/>
                  <w:strike w:val="false"/>
                  <w:dstrike w:val="false"/>
                  <w:color w:val="000000"/>
                  <w:sz w:val="20"/>
                  <w:u w:val="none"/>
                  <w:effect w:val="none"/>
                </w:rPr>
                <w:t>5</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9">
              <w:r>
                <w:rPr>
                  <w:rStyle w:val="InternetLink"/>
                  <w:rFonts w:ascii="Times New Roman;sans-serif" w:hAnsi="Times New Roman;sans-serif"/>
                  <w:b w:val="false"/>
                  <w:color w:val="0000FF"/>
                  <w:sz w:val="20"/>
                  <w:u w:val="single"/>
                </w:rPr>
                <w:t>Part I. Financial Information</w:t>
              </w:r>
            </w:hyperlink>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22">
              <w:r>
                <w:rPr>
                  <w:rStyle w:val="InternetLink"/>
                  <w:rFonts w:ascii="Times New Roman;sans-serif" w:hAnsi="Times New Roman;sans-serif"/>
                  <w:b w:val="false"/>
                  <w:color w:val="0000FF"/>
                  <w:sz w:val="20"/>
                  <w:u w:val="single"/>
                </w:rPr>
                <w:t>Item 1.</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22">
              <w:r>
                <w:rPr>
                  <w:rStyle w:val="InternetLink"/>
                  <w:rFonts w:ascii="Times New Roman;sans-serif" w:hAnsi="Times New Roman;sans-serif"/>
                  <w:b w:val="false"/>
                  <w:color w:val="0000FF"/>
                  <w:sz w:val="20"/>
                  <w:u w:val="single"/>
                </w:rPr>
                <w:t>Unaudited Condensed Consolidated Financial Statements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22">
              <w:r>
                <w:rPr>
                  <w:rStyle w:val="InternetLink"/>
                  <w:rFonts w:ascii="Times New Roman;sans-serif" w:hAnsi="Times New Roman;sans-serif"/>
                  <w:b w:val="false"/>
                  <w:strike w:val="false"/>
                  <w:dstrike w:val="false"/>
                  <w:color w:val="000000"/>
                  <w:sz w:val="20"/>
                  <w:u w:val="none"/>
                  <w:effect w:val="none"/>
                </w:rPr>
                <w:t>6</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25">
              <w:r>
                <w:rPr>
                  <w:rStyle w:val="InternetLink"/>
                  <w:rFonts w:ascii="Times New Roman;sans-serif" w:hAnsi="Times New Roman;sans-serif"/>
                  <w:b w:val="false"/>
                  <w:color w:val="0000FF"/>
                  <w:sz w:val="20"/>
                  <w:u w:val="single"/>
                </w:rPr>
                <w:t>Condensed Consolidated Balance Sheets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25">
              <w:r>
                <w:rPr>
                  <w:rStyle w:val="InternetLink"/>
                  <w:rFonts w:ascii="Times New Roman;sans-serif" w:hAnsi="Times New Roman;sans-serif"/>
                  <w:b w:val="false"/>
                  <w:strike w:val="false"/>
                  <w:dstrike w:val="false"/>
                  <w:color w:val="000000"/>
                  <w:sz w:val="20"/>
                  <w:u w:val="none"/>
                  <w:effect w:val="none"/>
                </w:rPr>
                <w:t>6</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28">
              <w:r>
                <w:rPr>
                  <w:rStyle w:val="InternetLink"/>
                  <w:rFonts w:ascii="Times New Roman;sans-serif" w:hAnsi="Times New Roman;sans-serif"/>
                  <w:b w:val="false"/>
                  <w:color w:val="0000FF"/>
                  <w:sz w:val="20"/>
                  <w:u w:val="single"/>
                </w:rPr>
                <w:t>Condensed Consolidated Statements of Operations and Comprehensive Loss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28">
              <w:r>
                <w:rPr>
                  <w:rStyle w:val="InternetLink"/>
                  <w:rFonts w:ascii="Times New Roman;sans-serif" w:hAnsi="Times New Roman;sans-serif"/>
                  <w:b w:val="false"/>
                  <w:strike w:val="false"/>
                  <w:dstrike w:val="false"/>
                  <w:color w:val="000000"/>
                  <w:sz w:val="20"/>
                  <w:u w:val="none"/>
                  <w:effect w:val="none"/>
                </w:rPr>
                <w:t>7</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31">
              <w:r>
                <w:rPr>
                  <w:rStyle w:val="InternetLink"/>
                  <w:rFonts w:ascii="Times New Roman;sans-serif" w:hAnsi="Times New Roman;sans-serif"/>
                  <w:b w:val="false"/>
                  <w:color w:val="0000FF"/>
                  <w:sz w:val="20"/>
                  <w:u w:val="single"/>
                </w:rPr>
                <w:t>Condensed Consolidated Statement of Redeemable Convertible Preferred Stock and Stockholders' Equity (Deficit)</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31">
              <w:r>
                <w:rPr>
                  <w:rStyle w:val="InternetLink"/>
                  <w:rFonts w:ascii="Times New Roman;sans-serif" w:hAnsi="Times New Roman;sans-serif"/>
                  <w:b w:val="false"/>
                  <w:strike w:val="false"/>
                  <w:dstrike w:val="false"/>
                  <w:color w:val="000000"/>
                  <w:sz w:val="20"/>
                  <w:u w:val="none"/>
                  <w:effect w:val="none"/>
                </w:rPr>
                <w:t>8</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34">
              <w:r>
                <w:rPr>
                  <w:rStyle w:val="InternetLink"/>
                  <w:rFonts w:ascii="Times New Roman;sans-serif" w:hAnsi="Times New Roman;sans-serif"/>
                  <w:b w:val="false"/>
                  <w:color w:val="0000FF"/>
                  <w:sz w:val="20"/>
                  <w:u w:val="single"/>
                </w:rPr>
                <w:t>Condensed Consolidated Statements of Cash Flows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34">
              <w:r>
                <w:rPr>
                  <w:rStyle w:val="InternetLink"/>
                  <w:rFonts w:ascii="Times New Roman;sans-serif" w:hAnsi="Times New Roman;sans-serif"/>
                  <w:b w:val="false"/>
                  <w:strike w:val="false"/>
                  <w:dstrike w:val="false"/>
                  <w:color w:val="000000"/>
                  <w:sz w:val="20"/>
                  <w:u w:val="none"/>
                  <w:effect w:val="none"/>
                </w:rPr>
                <w:t>9</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200" w:after="283"/>
              <w:jc w:val="left"/>
              <w:rPr/>
            </w:pPr>
            <w:hyperlink w:anchor="i020643f30177421dbd0e724d22f5f5d7_37">
              <w:r>
                <w:rPr>
                  <w:rStyle w:val="InternetLink"/>
                  <w:rFonts w:ascii="Times New Roman;sans-serif" w:hAnsi="Times New Roman;sans-serif"/>
                  <w:b w:val="false"/>
                  <w:color w:val="0000FF"/>
                  <w:sz w:val="20"/>
                  <w:u w:val="single"/>
                </w:rPr>
                <w:t>Notes to Unaudited Condensed Consolidated Financial Statements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37">
              <w:r>
                <w:rPr>
                  <w:rStyle w:val="InternetLink"/>
                  <w:rFonts w:ascii="Times New Roman;sans-serif" w:hAnsi="Times New Roman;sans-serif"/>
                  <w:b w:val="false"/>
                  <w:strike w:val="false"/>
                  <w:dstrike w:val="false"/>
                  <w:color w:val="000000"/>
                  <w:sz w:val="20"/>
                  <w:u w:val="none"/>
                  <w:effect w:val="none"/>
                </w:rPr>
                <w:t>10</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85">
              <w:r>
                <w:rPr>
                  <w:rStyle w:val="InternetLink"/>
                  <w:rFonts w:ascii="Times New Roman;sans-serif" w:hAnsi="Times New Roman;sans-serif"/>
                  <w:b w:val="false"/>
                  <w:color w:val="0000FF"/>
                  <w:sz w:val="20"/>
                  <w:u w:val="single"/>
                </w:rPr>
                <w:t>Item 2.</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85">
              <w:r>
                <w:rPr>
                  <w:rStyle w:val="InternetLink"/>
                  <w:rFonts w:ascii="Times New Roman;sans-serif" w:hAnsi="Times New Roman;sans-serif"/>
                  <w:b w:val="false"/>
                  <w:strike w:val="false"/>
                  <w:dstrike w:val="false"/>
                  <w:color w:val="000000"/>
                  <w:sz w:val="20"/>
                  <w:u w:val="none"/>
                  <w:effect w:val="none"/>
                </w:rPr>
                <w:t>31</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30">
              <w:r>
                <w:rPr>
                  <w:rStyle w:val="InternetLink"/>
                  <w:rFonts w:ascii="Times New Roman;sans-serif" w:hAnsi="Times New Roman;sans-serif"/>
                  <w:b w:val="false"/>
                  <w:color w:val="0000FF"/>
                  <w:sz w:val="20"/>
                  <w:u w:val="single"/>
                </w:rPr>
                <w:t>Item 3.</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30">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130">
              <w:r>
                <w:rPr>
                  <w:rStyle w:val="InternetLink"/>
                  <w:rFonts w:ascii="Times New Roman;sans-serif" w:hAnsi="Times New Roman;sans-serif"/>
                  <w:b w:val="false"/>
                  <w:strike w:val="false"/>
                  <w:dstrike w:val="false"/>
                  <w:color w:val="000000"/>
                  <w:sz w:val="20"/>
                  <w:u w:val="none"/>
                  <w:effect w:val="none"/>
                </w:rPr>
                <w:t>43</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33">
              <w:r>
                <w:rPr>
                  <w:rStyle w:val="InternetLink"/>
                  <w:rFonts w:ascii="Times New Roman;sans-serif" w:hAnsi="Times New Roman;sans-serif"/>
                  <w:b w:val="false"/>
                  <w:color w:val="0000FF"/>
                  <w:sz w:val="20"/>
                  <w:u w:val="single"/>
                </w:rPr>
                <w:t>Item 4.</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33">
              <w:r>
                <w:rPr>
                  <w:rStyle w:val="InternetLink"/>
                  <w:rFonts w:ascii="Times New Roman;sans-serif" w:hAnsi="Times New Roman;sans-serif"/>
                  <w:b w:val="false"/>
                  <w:color w:val="0000FF"/>
                  <w:sz w:val="20"/>
                  <w:u w:val="single"/>
                </w:rPr>
                <w:t>Controls and Procedures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133">
              <w:r>
                <w:rPr>
                  <w:rStyle w:val="InternetLink"/>
                  <w:rFonts w:ascii="Times New Roman;sans-serif" w:hAnsi="Times New Roman;sans-serif"/>
                  <w:b w:val="false"/>
                  <w:strike w:val="false"/>
                  <w:dstrike w:val="false"/>
                  <w:color w:val="000000"/>
                  <w:sz w:val="20"/>
                  <w:u w:val="none"/>
                  <w:effect w:val="none"/>
                </w:rPr>
                <w:t>44</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36">
              <w:r>
                <w:rPr>
                  <w:rStyle w:val="InternetLink"/>
                  <w:rFonts w:ascii="Times New Roman;sans-serif" w:hAnsi="Times New Roman;sans-serif"/>
                  <w:b w:val="false"/>
                  <w:color w:val="0000FF"/>
                  <w:sz w:val="20"/>
                  <w:u w:val="single"/>
                </w:rPr>
                <w:t>Part II. Other Information</w:t>
              </w:r>
            </w:hyperlink>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39">
              <w:r>
                <w:rPr>
                  <w:rStyle w:val="InternetLink"/>
                  <w:rFonts w:ascii="Times New Roman;sans-serif" w:hAnsi="Times New Roman;sans-serif"/>
                  <w:b w:val="false"/>
                  <w:color w:val="0000FF"/>
                  <w:sz w:val="20"/>
                  <w:u w:val="single"/>
                </w:rPr>
                <w:t>Item 1.</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39">
              <w:r>
                <w:rPr>
                  <w:rStyle w:val="InternetLink"/>
                  <w:rFonts w:ascii="Times New Roman;sans-serif" w:hAnsi="Times New Roman;sans-serif"/>
                  <w:b w:val="false"/>
                  <w:color w:val="0000FF"/>
                  <w:sz w:val="20"/>
                  <w:u w:val="single"/>
                </w:rPr>
                <w:t>Legal Proceedings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139">
              <w:r>
                <w:rPr>
                  <w:rStyle w:val="InternetLink"/>
                  <w:rFonts w:ascii="Times New Roman;sans-serif" w:hAnsi="Times New Roman;sans-serif"/>
                  <w:b w:val="false"/>
                  <w:strike w:val="false"/>
                  <w:dstrike w:val="false"/>
                  <w:color w:val="000000"/>
                  <w:sz w:val="20"/>
                  <w:u w:val="none"/>
                  <w:effect w:val="none"/>
                </w:rPr>
                <w:t>46</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42">
              <w:r>
                <w:rPr>
                  <w:rStyle w:val="InternetLink"/>
                  <w:rFonts w:ascii="Times New Roman;sans-serif" w:hAnsi="Times New Roman;sans-serif"/>
                  <w:b w:val="false"/>
                  <w:color w:val="0000FF"/>
                  <w:sz w:val="20"/>
                  <w:u w:val="single"/>
                </w:rPr>
                <w:t>Item 1A.</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42">
              <w:r>
                <w:rPr>
                  <w:rStyle w:val="InternetLink"/>
                  <w:rFonts w:ascii="Times New Roman;sans-serif" w:hAnsi="Times New Roman;sans-serif"/>
                  <w:b w:val="false"/>
                  <w:color w:val="0000FF"/>
                  <w:sz w:val="20"/>
                  <w:u w:val="single"/>
                </w:rPr>
                <w:t>Risk Factors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142">
              <w:r>
                <w:rPr>
                  <w:rStyle w:val="InternetLink"/>
                  <w:rFonts w:ascii="Times New Roman;sans-serif" w:hAnsi="Times New Roman;sans-serif"/>
                  <w:b w:val="false"/>
                  <w:strike w:val="false"/>
                  <w:dstrike w:val="false"/>
                  <w:color w:val="000000"/>
                  <w:sz w:val="20"/>
                  <w:u w:val="none"/>
                  <w:effect w:val="none"/>
                </w:rPr>
                <w:t>46</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45">
              <w:r>
                <w:rPr>
                  <w:rStyle w:val="InternetLink"/>
                  <w:rFonts w:ascii="Times New Roman;sans-serif" w:hAnsi="Times New Roman;sans-serif"/>
                  <w:b w:val="false"/>
                  <w:color w:val="0000FF"/>
                  <w:sz w:val="20"/>
                  <w:u w:val="single"/>
                </w:rPr>
                <w:t>Item 2.</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45">
              <w:r>
                <w:rPr>
                  <w:rStyle w:val="InternetLink"/>
                  <w:rFonts w:ascii="Times New Roman;sans-serif" w:hAnsi="Times New Roman;sans-serif"/>
                  <w:b w:val="false"/>
                  <w:color w:val="0000FF"/>
                  <w:sz w:val="20"/>
                  <w:u w:val="single"/>
                </w:rPr>
                <w:t>Unregistered Sales of Equity Securities and Use of Proceeds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145">
              <w:r>
                <w:rPr>
                  <w:rStyle w:val="InternetLink"/>
                  <w:rFonts w:ascii="Times New Roman;sans-serif" w:hAnsi="Times New Roman;sans-serif"/>
                  <w:b w:val="false"/>
                  <w:strike w:val="false"/>
                  <w:dstrike w:val="false"/>
                  <w:color w:val="000000"/>
                  <w:sz w:val="20"/>
                  <w:u w:val="none"/>
                  <w:effect w:val="none"/>
                </w:rPr>
                <w:t>92</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48">
              <w:r>
                <w:rPr>
                  <w:rStyle w:val="InternetLink"/>
                  <w:rFonts w:ascii="Times New Roman;sans-serif" w:hAnsi="Times New Roman;sans-serif"/>
                  <w:b w:val="false"/>
                  <w:color w:val="0000FF"/>
                  <w:sz w:val="20"/>
                  <w:u w:val="single"/>
                </w:rPr>
                <w:t>Item 3.</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48">
              <w:r>
                <w:rPr>
                  <w:rStyle w:val="InternetLink"/>
                  <w:rFonts w:ascii="Times New Roman;sans-serif" w:hAnsi="Times New Roman;sans-serif"/>
                  <w:b w:val="false"/>
                  <w:color w:val="0000FF"/>
                  <w:sz w:val="20"/>
                  <w:u w:val="single"/>
                </w:rPr>
                <w:t>Defaults Upon Senior Securities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148">
              <w:r>
                <w:rPr>
                  <w:rStyle w:val="InternetLink"/>
                  <w:rFonts w:ascii="Times New Roman;sans-serif" w:hAnsi="Times New Roman;sans-serif"/>
                  <w:b w:val="false"/>
                  <w:strike w:val="false"/>
                  <w:dstrike w:val="false"/>
                  <w:color w:val="000000"/>
                  <w:sz w:val="20"/>
                  <w:u w:val="none"/>
                  <w:effect w:val="none"/>
                </w:rPr>
                <w:t>92</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51">
              <w:r>
                <w:rPr>
                  <w:rStyle w:val="InternetLink"/>
                  <w:rFonts w:ascii="Times New Roman;sans-serif" w:hAnsi="Times New Roman;sans-serif"/>
                  <w:b w:val="false"/>
                  <w:color w:val="0000FF"/>
                  <w:sz w:val="20"/>
                  <w:u w:val="single"/>
                </w:rPr>
                <w:t>Item 4.</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51">
              <w:r>
                <w:rPr>
                  <w:rStyle w:val="InternetLink"/>
                  <w:rFonts w:ascii="Times New Roman;sans-serif" w:hAnsi="Times New Roman;sans-serif"/>
                  <w:b w:val="false"/>
                  <w:color w:val="0000FF"/>
                  <w:sz w:val="20"/>
                  <w:u w:val="single"/>
                </w:rPr>
                <w:t>Mine Safety Disclosures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151">
              <w:r>
                <w:rPr>
                  <w:rStyle w:val="InternetLink"/>
                  <w:rFonts w:ascii="Times New Roman;sans-serif" w:hAnsi="Times New Roman;sans-serif"/>
                  <w:b w:val="false"/>
                  <w:strike w:val="false"/>
                  <w:dstrike w:val="false"/>
                  <w:color w:val="000000"/>
                  <w:sz w:val="20"/>
                  <w:u w:val="none"/>
                  <w:effect w:val="none"/>
                </w:rPr>
                <w:t>92</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54">
              <w:r>
                <w:rPr>
                  <w:rStyle w:val="InternetLink"/>
                  <w:rFonts w:ascii="Times New Roman;sans-serif" w:hAnsi="Times New Roman;sans-serif"/>
                  <w:b w:val="false"/>
                  <w:color w:val="0000FF"/>
                  <w:sz w:val="20"/>
                  <w:u w:val="single"/>
                </w:rPr>
                <w:t>Item 5.</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54">
              <w:r>
                <w:rPr>
                  <w:rStyle w:val="InternetLink"/>
                  <w:rFonts w:ascii="Times New Roman;sans-serif" w:hAnsi="Times New Roman;sans-serif"/>
                  <w:b w:val="false"/>
                  <w:color w:val="0000FF"/>
                  <w:sz w:val="20"/>
                  <w:u w:val="single"/>
                </w:rPr>
                <w:t>Other Information</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154">
              <w:r>
                <w:rPr>
                  <w:rStyle w:val="InternetLink"/>
                  <w:rFonts w:ascii="Times New Roman;sans-serif" w:hAnsi="Times New Roman;sans-serif"/>
                  <w:b w:val="false"/>
                  <w:strike w:val="false"/>
                  <w:dstrike w:val="false"/>
                  <w:color w:val="000000"/>
                  <w:sz w:val="20"/>
                  <w:u w:val="none"/>
                  <w:effect w:val="none"/>
                </w:rPr>
                <w:t>92</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57">
              <w:r>
                <w:rPr>
                  <w:rStyle w:val="InternetLink"/>
                  <w:rFonts w:ascii="Times New Roman;sans-serif" w:hAnsi="Times New Roman;sans-serif"/>
                  <w:b w:val="false"/>
                  <w:color w:val="0000FF"/>
                  <w:sz w:val="20"/>
                  <w:u w:val="single"/>
                </w:rPr>
                <w:t>Item 6.</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57">
              <w:r>
                <w:rPr>
                  <w:rStyle w:val="InternetLink"/>
                  <w:rFonts w:ascii="Times New Roman;sans-serif" w:hAnsi="Times New Roman;sans-serif"/>
                  <w:b w:val="false"/>
                  <w:color w:val="0000FF"/>
                  <w:sz w:val="20"/>
                  <w:u w:val="single"/>
                </w:rPr>
                <w:t>Exhibits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157">
              <w:r>
                <w:rPr>
                  <w:rStyle w:val="InternetLink"/>
                  <w:rFonts w:ascii="Times New Roman;sans-serif" w:hAnsi="Times New Roman;sans-serif"/>
                  <w:b w:val="false"/>
                  <w:strike w:val="false"/>
                  <w:dstrike w:val="false"/>
                  <w:color w:val="000000"/>
                  <w:sz w:val="20"/>
                  <w:u w:val="none"/>
                  <w:effect w:val="none"/>
                </w:rPr>
                <w:t>92</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020643f30177421dbd0e724d22f5f5d7_160">
              <w:r>
                <w:rPr>
                  <w:rStyle w:val="InternetLink"/>
                  <w:rFonts w:ascii="Times New Roman;sans-serif" w:hAnsi="Times New Roman;sans-serif"/>
                  <w:b w:val="false"/>
                  <w:color w:val="0000FF"/>
                  <w:sz w:val="20"/>
                  <w:u w:val="single"/>
                </w:rPr>
                <w:t>Signatures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020643f30177421dbd0e724d22f5f5d7_160">
              <w:r>
                <w:rPr>
                  <w:rStyle w:val="InternetLink"/>
                  <w:rFonts w:ascii="Times New Roman;sans-serif" w:hAnsi="Times New Roman;sans-serif"/>
                  <w:b w:val="false"/>
                  <w:strike w:val="false"/>
                  <w:dstrike w:val="false"/>
                  <w:color w:val="000000"/>
                  <w:sz w:val="20"/>
                  <w:u w:val="none"/>
                  <w:effect w:val="none"/>
                </w:rPr>
                <w:t>95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jc w:val="both"/>
                        <w:rPr/>
                      </w:pPr>
                      <w:r>
                        <w:rPr/>
                      </w:r>
                    </w:p>
                  </w:txbxContent>
                </v:textbox>
              </v:rect>
            </w:pict>
          </mc:Fallback>
        </mc:AlternateContent>
      </w:r>
    </w:p>
    <w:p>
      <w:pPr>
        <w:pStyle w:val="TextBody"/>
        <w:spacing w:lineRule="auto" w:line="288" w:before="200" w:after="18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in this report or the context otherwise requires, references to the “Company,” “Sema4” and “we,” “us” and “our” refer to (i) Mount Sinai Genomics, Inc. d/b/a as Sema4, or Legacy Sema4, prior to the consummation of our business combination with CM Life Sciences, Inc., or CMLS, on July 22, 2021 and (ii) Sema4 Holdings Corp. and its consolidated subsidiaries following the consummation of our business combination.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on April 29, 2022, we consummated the transactions contemplated by that certain Agreement and Plan of Merger, dated as of January 14, 2022 (as amended, the “Merger Agreement”), by and among us and our wholly-owned subsidiaries, Orion Merger Sub I, Inc. (“Merger Sub I”) and Orion Merger Sub II, LLC (“Merger Sub II” and, together with Merger Sub I, “Merger Subs”), and GeneDx, Inc. (“GeneDx”), a New Jersey corporation and wholly-owned subsidiary of OPKO Health, Inc. (“OPKO”), GeneDx Holding 2, Inc., which held 100% of GeneDx (“Holdco2”), and OPKO, which provided for, among other things, the acquisition of GeneDx from OPKO. Pursuant to the terms of the Merger Agreement, we acquired GeneDx through the merger of Merger Sub I with and into Holdco2 (the “First Merger”), with Holdco2 as the surviving corporation in the First Merger. Immediately after the consummation of the First Merger, as part of the same overall transaction, Holdco2, as the surviving corporation in the First Merger, merged with and into Merger Sub II (the “Second Merger” and, together with the First Merger, the “Mergers”), with Merger Sub II as the surviving company. After giving effect to the Mergers and the other transactions contemplated by the Merger Agreement, GeneDx was converted into a Delaware limited liability company and became our wholly-owned indirect subsidiary. At the closing of the Acquisition (as defined below), we paid OPKO gross cash consideration of $150 million and issued to OPKO 80 million shares of our Class A common stock. We refer to these transactions herein as the “Acquisition.” In addition, up to $150 million is payable following the closing of the Acquisition, if certain revenue-based milestones are achieved for each of the fiscal years ending December 31, 2022 and December 31, 2023. Concurrently with the closing of the Acquisition, we also issued and sold in private placement 50,000,000 shares of our Class A common stock to certain institutional investors for aggregate gross proceeds of $200 million (the “Acquisition PIPE Investment”). Unless stated otherwise in this report, all forward-looking information contained in this report does not take into account or give any effect to the impact of the Acquisition or the Acquisition PIPE Investment. </w:t>
      </w:r>
    </w:p>
    <w:p>
      <w:pPr>
        <w:pStyle w:val="TextBody"/>
        <w:spacing w:before="2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68" w:before="200" w:after="18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estimates of the sufficiency of our existing capital resources combined with future anticipated cash flows to finance our operating requirements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expected losses;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expectations for incurring capital expenditures to expand our research and development and manufacturing capabilities;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unforeseen circumstances or other disruptions to normal business operations, including supply chain interruptions and manufacturing constraints, arising from or related to the ongoing COVID-19 pandemic;</w:t>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our ability to realize the benefits expected from the Acquisition;</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expectations for generating revenue or becoming profitable on a sustained basis;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expectations or ability to enter into service, collaboration and other partnership agreements;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expectations or ability to build our own commercial infrastructure to scale market and sell our products;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 xml:space="preserve">actions or authorizations by the U.S. Food and Drug Administration, or the FDA, or other regulatory authorities; </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risks related to governmental regulation and other legal obligations, including privacy, data protection, information security, consumer protection, and anti-corruption and anti-bribery;</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ability to obtain and maintain intellectual property protection for our product candidates;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ability to compete against existing and emerging technologies;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stock price and its volatility;</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ability to attract and retain key personnel;</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third-party payor reimbursement and coverage decisions;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reliance on third-party laboratories and service providers for our test volume in connection with our diagnostic solutions and data programs;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expectations for future capital requirements; and</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ability to successfully implement our business strategy.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report reflect our views and assumptions only as of the date that this report is signed. Except as required by law, we assume no responsibility for updating any forward-looking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center"/>
        <w:tblInd w:w="0" w:type="dxa"/>
        <w:tblCellMar>
          <w:top w:w="28" w:type="dxa"/>
          <w:left w:w="28" w:type="dxa"/>
          <w:bottom w:w="28" w:type="dxa"/>
          <w:right w:w="28" w:type="dxa"/>
        </w:tblCellMar>
      </w:tblPr>
      <w:tblGrid>
        <w:gridCol w:w="2721"/>
        <w:gridCol w:w="2238"/>
        <w:gridCol w:w="2180"/>
        <w:gridCol w:w="265"/>
        <w:gridCol w:w="1039"/>
        <w:gridCol w:w="137"/>
        <w:gridCol w:w="109"/>
        <w:gridCol w:w="109"/>
        <w:gridCol w:w="109"/>
        <w:gridCol w:w="229"/>
        <w:gridCol w:w="898"/>
        <w:gridCol w:w="171"/>
      </w:tblGrid>
      <w:tr>
        <w:trPr/>
        <w:tc>
          <w:tcPr>
            <w:tcW w:w="2721"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218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7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400,569 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410,424 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483,544 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517,670 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554,093 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8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100,639 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contingent liability</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188,226 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165,990 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 and 0 shares authorized at March 31, 2022 and December 31, 2021, respectively; 0 shares issued and outstanding at March 31, 2022 and December 31, 2021, respectively</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380,000,000 shares authorized, 245,154,475 shares issued and outstanding at March 31, 2022 and $0.0001 par value: 380,000,000 shares authorized, 242,647,604 shares issued and outstanding at December 31, 2021</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981,757 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963,520 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(652,337)</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(575,441)</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equity </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329,444 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388,103 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517,670 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554,093 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2785"/>
        <w:gridCol w:w="2273"/>
        <w:gridCol w:w="2281"/>
        <w:gridCol w:w="264"/>
        <w:gridCol w:w="922"/>
        <w:gridCol w:w="109"/>
        <w:gridCol w:w="109"/>
        <w:gridCol w:w="109"/>
        <w:gridCol w:w="109"/>
        <w:gridCol w:w="211"/>
        <w:gridCol w:w="876"/>
        <w:gridCol w:w="157"/>
      </w:tblGrid>
      <w:tr>
        <w:trPr/>
        <w:tc>
          <w:tcPr>
            <w:tcW w:w="2785" w:type="dxa"/>
            <w:tcBorders/>
            <w:shd w:fill="auto" w:val="clear"/>
            <w:vAlign w:val="center"/>
          </w:tcPr>
          <w:p>
            <w:pPr>
              <w:pStyle w:val="TableContents"/>
              <w:spacing w:before="0" w:after="283"/>
              <w:rPr>
                <w:sz w:val="4"/>
                <w:szCs w:val="4"/>
              </w:rPr>
            </w:pPr>
            <w:r>
              <w:rPr>
                <w:sz w:val="4"/>
                <w:szCs w:val="4"/>
              </w:rPr>
            </w:r>
          </w:p>
        </w:tc>
        <w:tc>
          <w:tcPr>
            <w:tcW w:w="2273" w:type="dxa"/>
            <w:tcBorders/>
            <w:shd w:fill="auto" w:val="clear"/>
            <w:vAlign w:val="center"/>
          </w:tcPr>
          <w:p>
            <w:pPr>
              <w:pStyle w:val="TableContents"/>
              <w:spacing w:before="0" w:after="283"/>
              <w:rPr>
                <w:sz w:val="4"/>
                <w:szCs w:val="4"/>
              </w:rPr>
            </w:pPr>
            <w:r>
              <w:rPr>
                <w:sz w:val="4"/>
                <w:szCs w:val="4"/>
              </w:rPr>
            </w:r>
          </w:p>
        </w:tc>
        <w:tc>
          <w:tcPr>
            <w:tcW w:w="2281"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(1)</w:t>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 (including related party revenue of $170 and $33 for the three months ended March 31, 2022 and 2021, respectively)</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(including related party revenue of $74 and $27 for the three months ended March 31, 2022 and 2021, respectively)</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(including related party expenses of $1,056 and $278 for the three months ended March 31, 2022 and 2021, respectively)</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(loss)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(196,657)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of Class A common stock</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244,368,743 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Class A common stock</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(348.82)</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rPr>
          <w:rFonts w:ascii="Times New Roman;sans-serif" w:hAnsi="Times New Roman;sans-serif"/>
          <w:b w:val="false"/>
          <w:color w:val="000000"/>
          <w:sz w:val="18"/>
        </w:rPr>
      </w:pPr>
      <w:r>
        <w:rPr>
          <w:rFonts w:ascii="Times New Roman;sans-serif" w:hAnsi="Times New Roman;sans-serif"/>
          <w:b w:val="false"/>
          <w:color w:val="000000"/>
          <w:sz w:val="18"/>
        </w:rPr>
        <w:t xml:space="preserve">(1) 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 </w:t>
      </w:r>
    </w:p>
    <w:p>
      <w:pPr>
        <w:pStyle w:val="TextBody"/>
        <w:spacing w:before="0" w:after="0"/>
        <w:ind w:left="0" w:right="0" w:firstLine="360"/>
        <w:rPr/>
      </w:pPr>
      <w:r>
        <w:rPr/>
      </w:r>
    </w:p>
    <w:p>
      <w:pPr>
        <w:pStyle w:val="TextBody"/>
        <w:spacing w:lineRule="auto" w:line="333"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 of Redeemable Convertible Preferred Stock and Stockholders' Equity (Deficit)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before="0" w:after="180"/>
        <w:jc w:val="center"/>
        <w:rPr/>
      </w:pPr>
      <w:r>
        <w:rPr/>
      </w:r>
    </w:p>
    <w:tbl>
      <w:tblPr>
        <w:tblW w:w="10461" w:type="dxa"/>
        <w:jc w:val="center"/>
        <w:tblInd w:w="0" w:type="dxa"/>
        <w:tblCellMar>
          <w:top w:w="28" w:type="dxa"/>
          <w:left w:w="28" w:type="dxa"/>
          <w:bottom w:w="28" w:type="dxa"/>
          <w:right w:w="28" w:type="dxa"/>
        </w:tblCellMar>
      </w:tblPr>
      <w:tblGrid>
        <w:gridCol w:w="638"/>
        <w:gridCol w:w="311"/>
        <w:gridCol w:w="312"/>
        <w:gridCol w:w="203"/>
        <w:gridCol w:w="203"/>
        <w:gridCol w:w="196"/>
        <w:gridCol w:w="109"/>
        <w:gridCol w:w="109"/>
        <w:gridCol w:w="109"/>
        <w:gridCol w:w="211"/>
        <w:gridCol w:w="406"/>
        <w:gridCol w:w="109"/>
        <w:gridCol w:w="109"/>
        <w:gridCol w:w="109"/>
        <w:gridCol w:w="109"/>
        <w:gridCol w:w="109"/>
        <w:gridCol w:w="109"/>
        <w:gridCol w:w="109"/>
        <w:gridCol w:w="488"/>
        <w:gridCol w:w="488"/>
        <w:gridCol w:w="383"/>
        <w:gridCol w:w="109"/>
        <w:gridCol w:w="109"/>
        <w:gridCol w:w="109"/>
        <w:gridCol w:w="211"/>
        <w:gridCol w:w="376"/>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63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0" w:type="dxa"/>
            <w:gridSpan w:val="4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3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242,647,604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963,520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(575,441)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388,103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(76,896)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2,108,502 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678</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 expense</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17,559</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 converted to common stock</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398,369 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Balances at March 31, 2022</w:t>
            </w:r>
            <w:r>
              <w:rPr>
                <w:color w:val="000000"/>
              </w:rPr>
              <w:t xml:space="preserve"> </w:t>
            </w:r>
          </w:p>
        </w:tc>
        <w:tc>
          <w:tcPr>
            <w:tcW w:w="6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245,154,475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981,757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(652,337)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329,444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jc w:val="center"/>
        <w:rPr/>
      </w:pPr>
      <w:r>
        <w:rPr/>
      </w:r>
    </w:p>
    <w:tbl>
      <w:tblPr>
        <w:tblW w:w="12602" w:type="dxa"/>
        <w:jc w:val="center"/>
        <w:tblInd w:w="0" w:type="dxa"/>
        <w:tblCellMar>
          <w:top w:w="28" w:type="dxa"/>
          <w:left w:w="28" w:type="dxa"/>
          <w:bottom w:w="28" w:type="dxa"/>
          <w:right w:w="28" w:type="dxa"/>
        </w:tblCellMar>
      </w:tblPr>
      <w:tblGrid>
        <w:gridCol w:w="353"/>
        <w:gridCol w:w="311"/>
        <w:gridCol w:w="312"/>
        <w:gridCol w:w="379"/>
        <w:gridCol w:w="379"/>
        <w:gridCol w:w="383"/>
        <w:gridCol w:w="109"/>
        <w:gridCol w:w="109"/>
        <w:gridCol w:w="109"/>
        <w:gridCol w:w="211"/>
        <w:gridCol w:w="841"/>
        <w:gridCol w:w="109"/>
        <w:gridCol w:w="109"/>
        <w:gridCol w:w="109"/>
        <w:gridCol w:w="109"/>
        <w:gridCol w:w="109"/>
        <w:gridCol w:w="109"/>
        <w:gridCol w:w="109"/>
        <w:gridCol w:w="203"/>
        <w:gridCol w:w="203"/>
        <w:gridCol w:w="196"/>
        <w:gridCol w:w="109"/>
        <w:gridCol w:w="109"/>
        <w:gridCol w:w="109"/>
        <w:gridCol w:w="211"/>
        <w:gridCol w:w="406"/>
        <w:gridCol w:w="109"/>
        <w:gridCol w:w="109"/>
        <w:gridCol w:w="109"/>
        <w:gridCol w:w="109"/>
        <w:gridCol w:w="413"/>
        <w:gridCol w:w="413"/>
        <w:gridCol w:w="263"/>
        <w:gridCol w:w="109"/>
        <w:gridCol w:w="109"/>
        <w:gridCol w:w="109"/>
        <w:gridCol w:w="211"/>
        <w:gridCol w:w="406"/>
        <w:gridCol w:w="109"/>
        <w:gridCol w:w="109"/>
        <w:gridCol w:w="109"/>
        <w:gridCol w:w="109"/>
        <w:gridCol w:w="253"/>
        <w:gridCol w:w="487"/>
        <w:gridCol w:w="131"/>
        <w:gridCol w:w="109"/>
        <w:gridCol w:w="109"/>
        <w:gridCol w:w="109"/>
        <w:gridCol w:w="211"/>
        <w:gridCol w:w="841"/>
        <w:gridCol w:w="109"/>
        <w:gridCol w:w="109"/>
        <w:gridCol w:w="109"/>
        <w:gridCol w:w="109"/>
        <w:gridCol w:w="211"/>
        <w:gridCol w:w="841"/>
        <w:gridCol w:w="154"/>
      </w:tblGrid>
      <w:tr>
        <w:trPr/>
        <w:tc>
          <w:tcPr>
            <w:tcW w:w="35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6" w:type="dxa"/>
            <w:gridSpan w:val="54"/>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18"/>
              </w:rPr>
              <w:t>Three months ended March 31, 2021 (1)</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(deficit)</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2020</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171,535,213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334,439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130,557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(330,051)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(330,051)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(191,775)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class B issued pursuant to stock options</w:t>
            </w:r>
          </w:p>
        </w:tc>
        <w:tc>
          <w:tcPr>
            <w:tcW w:w="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618,204 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Balances at March 31, 2021</w:t>
            </w:r>
            <w:r>
              <w:rPr>
                <w:color w:val="000000"/>
              </w:rPr>
              <w:t xml:space="preserve"> </w:t>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171,535,213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334,439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748,761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(521,826)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(521,826)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180"/>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18"/>
        </w:rPr>
        <w:t>As previously disclosed in Note 2, “Summary of Significant Accounting Policies” to our consolidated financial statements included in our Annual Report on Form 10-K for the year ended December 31, 2021, certain adjustments were made which impacted previously reported net loss for the first quarter of 2021 and the adjusted net loss is reflected as disclosed.</w:t>
      </w:r>
    </w:p>
    <w:p>
      <w:pPr>
        <w:pStyle w:val="TextBody"/>
        <w:spacing w:before="0" w:after="180"/>
        <w:ind w:left="0" w:right="0" w:firstLine="360"/>
        <w:jc w:val="center"/>
        <w:rPr/>
      </w:pPr>
      <w:r>
        <w:rPr/>
      </w:r>
    </w:p>
    <w:p>
      <w:pPr>
        <w:pStyle w:val="TextBody"/>
        <w:spacing w:lineRule="auto" w:line="333"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789" w:type="dxa"/>
        <w:jc w:val="left"/>
        <w:tblInd w:w="0" w:type="dxa"/>
        <w:tblCellMar>
          <w:top w:w="28" w:type="dxa"/>
          <w:left w:w="28" w:type="dxa"/>
          <w:bottom w:w="28" w:type="dxa"/>
          <w:right w:w="28" w:type="dxa"/>
        </w:tblCellMar>
      </w:tblPr>
      <w:tblGrid>
        <w:gridCol w:w="2553"/>
        <w:gridCol w:w="2241"/>
        <w:gridCol w:w="2256"/>
        <w:gridCol w:w="211"/>
        <w:gridCol w:w="826"/>
        <w:gridCol w:w="109"/>
        <w:gridCol w:w="109"/>
        <w:gridCol w:w="109"/>
        <w:gridCol w:w="109"/>
        <w:gridCol w:w="211"/>
        <w:gridCol w:w="901"/>
        <w:gridCol w:w="154"/>
      </w:tblGrid>
      <w:tr>
        <w:trPr/>
        <w:tc>
          <w:tcPr>
            <w:tcW w:w="2553" w:type="dxa"/>
            <w:tcBorders/>
            <w:shd w:fill="auto" w:val="clear"/>
            <w:vAlign w:val="center"/>
          </w:tcPr>
          <w:p>
            <w:pPr>
              <w:pStyle w:val="TableContents"/>
              <w:spacing w:before="0" w:after="283"/>
              <w:rPr>
                <w:sz w:val="4"/>
                <w:szCs w:val="4"/>
              </w:rPr>
            </w:pPr>
            <w:r>
              <w:rPr>
                <w:sz w:val="4"/>
                <w:szCs w:val="4"/>
              </w:rPr>
            </w:r>
          </w:p>
        </w:tc>
        <w:tc>
          <w:tcPr>
            <w:tcW w:w="2241" w:type="dxa"/>
            <w:tcBorders/>
            <w:shd w:fill="auto" w:val="clear"/>
            <w:vAlign w:val="center"/>
          </w:tcPr>
          <w:p>
            <w:pPr>
              <w:pStyle w:val="TableContents"/>
              <w:spacing w:before="0" w:after="283"/>
              <w:rPr>
                <w:sz w:val="4"/>
                <w:szCs w:val="4"/>
              </w:rPr>
            </w:pPr>
            <w:r>
              <w:rPr>
                <w:sz w:val="4"/>
                <w:szCs w:val="4"/>
              </w:rPr>
            </w:r>
          </w:p>
        </w:tc>
        <w:tc>
          <w:tcPr>
            <w:tcW w:w="22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(1)</w:t>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before="0" w:after="0"/>
              <w:jc w:val="both"/>
              <w:rPr/>
            </w:pPr>
            <w:r>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2B2A29"/>
                <w:sz w:val="20"/>
              </w:rPr>
            </w:pPr>
            <w:r>
              <w:rPr>
                <w:rFonts w:ascii="Times New Roman;sans-serif" w:hAnsi="Times New Roman;sans-serif"/>
                <w:b w:val="false"/>
                <w:color w:val="2B2A29"/>
                <w:sz w:val="20"/>
              </w:rPr>
              <w:t>Change in fair value of warrant and earn-out contingent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2B2A29"/>
                <w:sz w:val="20"/>
              </w:rPr>
            </w:pPr>
            <w:r>
              <w:rPr>
                <w:rFonts w:ascii="Times New Roman;sans-serif" w:hAnsi="Times New Roman;sans-serif"/>
                <w:b w:val="false"/>
                <w:color w:val="2B2A29"/>
                <w:sz w:val="20"/>
              </w:rPr>
              <w:t>Provision for excess and obsolete inventory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debt issuance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to/from related parties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before="0" w:after="0"/>
              <w:jc w:val="both"/>
              <w:rPr/>
            </w:pPr>
            <w:r>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property and equipment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of internal-use software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before="0" w:after="0"/>
              <w:jc w:val="both"/>
              <w:rPr/>
            </w:pPr>
            <w:r>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Financing activities </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transaction costs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principal payments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 payments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before="0" w:after="0"/>
              <w:jc w:val="both"/>
              <w:rPr/>
            </w:pPr>
            <w:r>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 cash, cash equivalents and restricted cash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before="0" w:after="0"/>
              <w:jc w:val="both"/>
              <w:rPr/>
            </w:pPr>
            <w:r>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Supplemental disclosures of cash flow information </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in accounts payable and accrued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in accounts payable and accrued expenses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deferred transaction costs included in accounts payable and accrued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18"/>
        </w:rPr>
        <w:t xml:space="preserve">As previously disclosed in Note 2, “Summary of Significant Accounting Policies” to our consolidated financial statements included in our Annual Report on Form 10-K for the year ended December 31, 2021, certain adjustments were made to certain current asset and liability accounts previously reported in the condensed balance sheets as of March 31, 2021. The adjustments are reflected accordingly as disclosed. </w:t>
      </w:r>
    </w:p>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1. Organization and Description of Business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Sema4 Holdings Corp. (“Sema4 Holdings”) through its subsidiary Sema4 OpCo, Inc.,, formerly Mount Sinai Genomics Inc., a Delaware corporation (“Legacy Sema4”), as discussed further below,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Legacy Sema4 primarily serves healthcare professionals who work with their patients and bills third-party payors across the United States, with a substantial portion of its diagnostic testing volume occurring in New York, California, Florida, Connecticut and New Jersey.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22, 2021 (the “Closing Date”), CM Life Sciences, Inc. (“CMLS”) completed the acquisition of Legacy Sema4, pursuant to that certain Agreement and Plan of Merger (as amended, the “Prior Merger Agreement”), dated February 9, 2021. On the Closing Date, S-IV Sub, Inc. (“Prior Merger Sub”) merged with and into the Legacy Sema4, with Legacy Sema4 surviving the merger as a wholly-owned subsidiary of CMLS (the “Prior Merger” and, together with the other transactions contemplated by the Prior Merger Agreement, the “Business Combination”). In connection with the consummation of the Business Combination, CMLS changed its name to “Sema4 Holdings Corp.” and Legacy Sema4 changed its name to “Sema4 OpCo, Inc.” All equity securities of Legacy Sema4 were converted into the right to receive the applicable portion of the merger consideration.</w:t>
      </w:r>
    </w:p>
    <w:p>
      <w:pPr>
        <w:pStyle w:val="TextBody"/>
        <w:spacing w:lineRule="auto" w:line="26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Prior Merger was accounted for as a reverse recapitalization with Legacy Sema4 as the accounting acquirer and CMLS as the acquired company for accounting purposes. The shares and net loss per common share, prior to the Prior Merger, have been retroactively restated as shares reflecting the exchange ratio established in the Prior Merger (1 share of Legacy Sema4 Class A common stock for 123.8339 shares of Sema4 Holdings Class A common stock (the “Class A common stock”)) (the “Conversion Ratio”).</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Prior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 See Note 3, “Business Combination,” for additional details.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herein or unless the context otherwise requires, references in these notes to the “Company,” or “Sema4” refer to (i) Legacy Sema4 prior to the consummation of the Business Combination; and (ii) Sema4 Holdings and its subsidiaries following the consummation of the Business Combination.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conformity with accounting principles generally accepted in the United States of America (“U.S. GAAP”) for interim financial information and pursuant to the accounting disclosure rules and regulations of the Securities and Exchange Commission (the “SEC”) regarding interim financial reporting. Accordingly, they do not include all of the information and footnotes required by U.S. GAAP for complete financial statements. As such, the accompanying unaudited condensed consolidated financial statements should be read in conjunction with the Company’s audited financial statements and notes thereto as of and for the years ended December 31, 2021, 2020 and 2019 included in the Company’s Annual Report on Form 10-K for the year ended December 21, 2021 filed on March 14, 2022 (the “Annual Report”).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historical financial information includes costs of certain services historically provided by Icahn School of Medicine at Mount Sinai (“ISMMS”) pursuant to the Transition Services Agreement ("TSA") and service agreements. </w:t>
      </w:r>
      <w:r>
        <w:br w:type="page"/>
      </w: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the Company’s Annual Report, the Company identified the misclassification of certain expenses and out of period adjustments generally related to the recognition of cost of services. The impact of these adjustments were disclosed in the Company’s Annual Report and are reflected in the condensed consolidated statements of operations and comprehensive loss, condensed consolidated statement of redeemable convertible preferred stock and stockholders’ equity (deficit) and condensed consolidated statements of cash flows for the period ended March 31, 2021.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Company has incurred recurring losses in each year since inception, the Company expects its cash and cash equivalents will be sufficient to fund operations for at least the next twelve months from the date of filing of this Form 10-Q.</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and manages its business as one reportable operating segment based on how the Chief Executive Officer, who is the Company’s chief operating decision maker (“CODM”), assesses performance and allocates resources across the business.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unaudited condensed consolidated financial statements in conformity with U.S. GAAP requires management to make certain estimates, judgments and assumptions that affect the reported amounts of assets and liabilities and the related disclosures at the date of the unaudited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inventory, earn-out contingent liability and earn-out Restricted Stock Units (“RSUs”). Actual results could differ materially from those estimates, judgments and assumptions.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Concentration of Credit Risk and Other Risks and Uncertainties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primarily of cash and cash equivalents and accounts receivable.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both the self-pay patient and, if applicable, the third-party payor that reimburses the Company on the patient’s behalf when evaluating the concentration of credit risk. Significant customers and payors are those that represent more than 10% of the Company’s total revenues for the period or accounts receivable balance at each respective balance sheet date. The significant concentrations of accounts receivable as of March 31, 2022 and December 31, 2021 were primarily from large managed care insurance companies and a reference laboratory. There was no individual patient that accounted for 10% or more of the Company’s revenue or accounts receivable for any of the periods presented. The Company does not require collateral as a means to mitigate customer credit risk.</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each significant payor, revenue as a percentage of total revenues and accounts receivable as a percentage of total accounts receivable are as follows:</w:t>
      </w:r>
      <w:r>
        <w:br w:type="page"/>
      </w: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bl>
      <w:tblPr>
        <w:tblW w:w="6539" w:type="dxa"/>
        <w:jc w:val="left"/>
        <w:tblInd w:w="0" w:type="dxa"/>
        <w:tblCellMar>
          <w:top w:w="28" w:type="dxa"/>
          <w:left w:w="28" w:type="dxa"/>
          <w:bottom w:w="28" w:type="dxa"/>
          <w:right w:w="28" w:type="dxa"/>
        </w:tblCellMar>
      </w:tblPr>
      <w:tblGrid>
        <w:gridCol w:w="489"/>
        <w:gridCol w:w="429"/>
        <w:gridCol w:w="432"/>
        <w:gridCol w:w="261"/>
        <w:gridCol w:w="261"/>
        <w:gridCol w:w="261"/>
        <w:gridCol w:w="261"/>
        <w:gridCol w:w="261"/>
        <w:gridCol w:w="261"/>
        <w:gridCol w:w="261"/>
        <w:gridCol w:w="261"/>
        <w:gridCol w:w="261"/>
        <w:gridCol w:w="109"/>
        <w:gridCol w:w="109"/>
        <w:gridCol w:w="109"/>
        <w:gridCol w:w="284"/>
        <w:gridCol w:w="284"/>
        <w:gridCol w:w="286"/>
        <w:gridCol w:w="173"/>
        <w:gridCol w:w="173"/>
        <w:gridCol w:w="173"/>
        <w:gridCol w:w="334"/>
        <w:gridCol w:w="334"/>
        <w:gridCol w:w="472"/>
      </w:tblGrid>
      <w:tr>
        <w:trPr/>
        <w:tc>
          <w:tcPr>
            <w:tcW w:w="48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Accounts Receivable</w:t>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5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Payor A</w:t>
            </w:r>
          </w:p>
        </w:tc>
        <w:tc>
          <w:tcPr>
            <w:tcW w:w="7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13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Payor B</w:t>
            </w:r>
          </w:p>
        </w:tc>
        <w:tc>
          <w:tcPr>
            <w:tcW w:w="7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Payor C</w:t>
            </w:r>
          </w:p>
        </w:tc>
        <w:tc>
          <w:tcPr>
            <w:tcW w:w="7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Payor D</w:t>
            </w:r>
          </w:p>
        </w:tc>
        <w:tc>
          <w:tcPr>
            <w:tcW w:w="7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7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than 10%</w:t>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concentration of risk from a limited number of suppliers for certain reagents and laboratory supplies. One supplier accounted for approximately 13% and 11% for the three months ended March 31, 2022 and 2021, respectively. This risk is managed by maintaining a target quantity of surplus stock.</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Impact of COVID-19</w:t>
      </w:r>
    </w:p>
    <w:p>
      <w:pPr>
        <w:pStyle w:val="TextBody"/>
        <w:spacing w:before="0" w:after="0"/>
        <w:ind w:left="0" w:right="0" w:firstLine="360"/>
        <w:jc w:val="both"/>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April 2020, the Company’s diagnostic test volumes decreased significantly as compared to the prior year as a result of the initial outbreak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While test volumes have since improved, the Company continues to experience changes in the mix of tests due to the impact of the COVID-19 pandemic. COVID-19 could continue to have a material impact on the Company’s results of operations, cash flows and financial condition for the foreseeable future.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and reflected in this balance as of March 31, 2022 and December 31, 2021.</w:t>
      </w:r>
    </w:p>
    <w:p>
      <w:pPr>
        <w:pStyle w:val="TextBody"/>
        <w:spacing w:lineRule="auto" w:line="288" w:before="20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2021, the Company received an additional $5.6 million under the PRF distribution, which was recognized in other income in the condensed consolidated statements of operations and comprehensive loss.</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under the CARES Act, the Company deferred payment of U.S. social security taxes in 2020. As a result, $3.8 million of employer payroll tax payments were initially deferred as of December 31, 2020 with $1.9 million paid in December 2021 and the remaining $1.9 million payment will be made in December 2022. As of March 31, 2022, the remaining payable is recorded in other current liabilities. </w:t>
      </w:r>
    </w:p>
    <w:p>
      <w:pPr>
        <w:pStyle w:val="TextBody"/>
        <w:spacing w:lineRule="auto" w:line="26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Company’s announcement that it would discontinue COVID-19 testing services by March 31, 2022, the Company no longer provides COVID-19 testing services. During the three months ended March 31, 2022, the Company wrote off an accounts receivable balance of $0.5 million related to COVID-19 testing services.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r>
        <w:br w:type="page"/>
      </w: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on the condensed consolidated balance sheets that sum to the total of the same amounts shown on the condensed consolidated statements of cash flows (in thousands):</w:t>
      </w:r>
    </w:p>
    <w:tbl>
      <w:tblPr>
        <w:tblW w:w="5394" w:type="dxa"/>
        <w:jc w:val="left"/>
        <w:tblInd w:w="0" w:type="dxa"/>
        <w:tblCellMar>
          <w:top w:w="28" w:type="dxa"/>
          <w:left w:w="28" w:type="dxa"/>
          <w:bottom w:w="28" w:type="dxa"/>
          <w:right w:w="28" w:type="dxa"/>
        </w:tblCellMar>
      </w:tblPr>
      <w:tblGrid>
        <w:gridCol w:w="820"/>
        <w:gridCol w:w="720"/>
        <w:gridCol w:w="724"/>
        <w:gridCol w:w="232"/>
        <w:gridCol w:w="908"/>
        <w:gridCol w:w="119"/>
        <w:gridCol w:w="109"/>
        <w:gridCol w:w="109"/>
        <w:gridCol w:w="109"/>
        <w:gridCol w:w="273"/>
        <w:gridCol w:w="1072"/>
        <w:gridCol w:w="199"/>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400,569 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315,902 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401,469 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Restricted cash as of March 31, 2022 consists of money market deposit accounts that secure an irrevocable standby letter of credit that serves as collateral for security deposit operating leases (see Note 9, </w:t>
      </w:r>
      <w:r>
        <w:rPr>
          <w:color w:val="000000"/>
        </w:rPr>
        <w:t>“</w:t>
      </w:r>
      <w:r>
        <w:rPr>
          <w:rFonts w:ascii="Times New Roman;sans-serif" w:hAnsi="Times New Roman;sans-serif"/>
          <w:b w:val="false"/>
          <w:i/>
          <w:color w:val="000000"/>
          <w:sz w:val="20"/>
        </w:rPr>
        <w:t>Leases”</w:t>
      </w:r>
      <w:r>
        <w:rPr>
          <w:rFonts w:ascii="Times New Roman;sans-serif" w:hAnsi="Times New Roman;sans-serif"/>
          <w:b w:val="false"/>
          <w:color w:val="000000"/>
          <w:sz w:val="20"/>
        </w:rPr>
        <w:t>).</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Warrant Liability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consummation of the Prior Merger in July 2021, there were 21,995,000 warrants to purchase shares of Class A common stock outstanding, including 14,758,333 public warrants and 7,236,667 private placement warrants. As of December 31,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outstanding public warrants if the price per share of the Class A common stock equals or exceeds $18.00 as described below:</w:t>
      </w:r>
    </w:p>
    <w:p>
      <w:pPr>
        <w:pStyle w:val="TextBody"/>
        <w:spacing w:before="20" w:after="283"/>
        <w:ind w:left="0" w:right="0" w:firstLine="360"/>
        <w:jc w:val="both"/>
        <w:rPr/>
      </w:pPr>
      <w:r>
        <w:rPr/>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at a price of $0.01 per public warrant;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upon not less than 30 days’ prior written notice of redemption to each warrant holder;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$18.00 per share (as adjusted) for any 20 trading days within a 30-trading day period ending three trading days before sending the notice of redemption to warrant holders.</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outstanding public warrants if the price per share of the common stock equals or exceeds $10.00 as described below:</w:t>
      </w:r>
    </w:p>
    <w:p>
      <w:pPr>
        <w:pStyle w:val="TextBody"/>
        <w:spacing w:before="0" w:after="0"/>
        <w:ind w:left="0" w:right="0" w:firstLine="360"/>
        <w:jc w:val="both"/>
        <w:rPr/>
      </w:pPr>
      <w:r>
        <w:rPr/>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w:t>
      </w:r>
      <w:r>
        <w:br w:type="page"/>
      </w: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Earn-out contingent liability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Prior Merger, all Legacy Sema4 stockholders and option holders at that time became entitled to a pro rata share of 19,021,576 earn-out shares and earn-out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condensed consolidated statements of operations and comprehensive loss.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fair value of the earn-out shares issued to the Legacy Sema4 stockholders as of March 31, 2022 was $3.4 million.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stock-based compensation expense is recognized over the longer of the expected achievement period for the market-based requirement and the service requirement. The Company recorded $0.5 million of stock-based compensation expense in relation to the earn-out RSUs for the quarter ended March 31, 2022.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earn-out is determined using a Monte Carlo valuation analysis.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Capitalized Internal-Use Software Costs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costs incurred related to the development of its software applications for internal use during the application development state. If a project constitutes an enhancement to existing software, the Company assesses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the Company estimates the useful life of the asset and begins amortization.</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Restructuring Costs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the Company’s Compensation Committee of the Board of Directors approved by written consent dated February 17, 2022 a restructuring plan which was executed by management and </w:t>
      </w:r>
      <w:r>
        <w:br w:type="page"/>
      </w: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$2.7 million of restructuring charges were incurred and recorded in connection therewith. These costs include severance packages offered to the employees impacted by the plan and third party consulting costs. Additionally, as discussed in the “Note 14—Subsequent Events”, the Board of Directors approved additional headcount reductions in an effort to streamline operations and the Company expects to recognize expenses of $5.4 million during the second quarter of 2022.</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Emerging Growth Company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 in the First Quarter of 2022</w:t>
      </w:r>
    </w:p>
    <w:p>
      <w:pPr>
        <w:pStyle w:val="TextBody"/>
        <w:spacing w:lineRule="auto" w:line="288" w:before="200" w:after="283"/>
        <w:jc w:val="both"/>
        <w:rPr/>
      </w:pPr>
      <w:r>
        <w:rPr>
          <w:rFonts w:ascii="Times New Roman;sans-serif" w:hAnsi="Times New Roman;sans-serif"/>
          <w:b w:val="false"/>
          <w:color w:val="000000"/>
          <w:sz w:val="20"/>
        </w:rPr>
        <w:t xml:space="preserve">In February 2016, the FASB issued ASU 2016-02, Leases (“Topic 842”), which requires lessees to recognize right-of-use assets and lease liabilities for most leases on their balance sheets. Expense recognition for lessees under ASC 842 is similar to current lease accounting. ASC 842 requires enhanced disclosures to help the financial statement users better understand the amount, timing, and uncertainty of cash flows arising from leases. The Company adopted ASC 842 as of January 1, 2022, utilizing the modified retrospective adoption approach. In transition to the ASC 842, the Company elected to use the package of practical expedients permitted under the transition guidance that allowed us to not reassess: (i) whether any expired or existing contracts are or contain leases, (ii) the lease classification for any expired or existing leases, or (iii) initial direct costs for any existing leases. Additionally, the Company did not elect the hindsight practical expedient which would have permitted the use of hindsight in determining the lease term and assessing impairment. The Company elected to combine lease and non-lease components that are fixed and also elected not to recognize right-of-use assets and lease liabilities for leases with terms of 12 months or less (“short-term leases”). The adoption of the ASC 842 as of January 1, 2022, resulted in the recognition of operating lease right-of-use assets and operating lease liabilities of $39.2 million and $42.2 million, respectively. The adoption did not have material impact on finance leases. The adoption did not have material impact on the condensed consolidated statements of operations and comprehensive loss. Refer to </w:t>
      </w:r>
      <w:r>
        <w:rPr>
          <w:color w:val="000000"/>
        </w:rPr>
        <w:t>“</w:t>
      </w:r>
      <w:r>
        <w:rPr>
          <w:rFonts w:ascii="Times New Roman;sans-serif" w:hAnsi="Times New Roman;sans-serif"/>
          <w:b w:val="false"/>
          <w:i/>
          <w:color w:val="000000"/>
          <w:sz w:val="20"/>
        </w:rPr>
        <w:t>Note 9 Leases”</w:t>
      </w:r>
      <w:r>
        <w:rPr>
          <w:color w:val="000000"/>
        </w:rPr>
        <w:t xml:space="preserve"> </w:t>
      </w:r>
      <w:r>
        <w:rPr>
          <w:rFonts w:ascii="Times New Roman;sans-serif" w:hAnsi="Times New Roman;sans-serif"/>
          <w:b w:val="false"/>
          <w:color w:val="000000"/>
          <w:sz w:val="20"/>
        </w:rPr>
        <w:t>for a discussion of the Company’s lease accounting following the adoption of ASC 842.</w:t>
      </w:r>
    </w:p>
    <w:p>
      <w:pPr>
        <w:pStyle w:val="TextBody"/>
        <w:spacing w:lineRule="auto" w:line="285"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Company adopted ASU 2021-10 effective January 1, 2022. The Company did not receive any such grants during the three months ended March 31, 2022.</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spacing w:lineRule="auto" w:line="288" w:before="200" w:after="283"/>
        <w:ind w:left="0" w:right="0" w:firstLine="360"/>
        <w:jc w:val="both"/>
        <w:rPr/>
      </w:pPr>
      <w:r>
        <w:rPr>
          <w:rFonts w:ascii="Times New Roman;sans-serif" w:hAnsi="Times New Roman;sans-serif"/>
          <w:b w:val="false"/>
          <w:color w:val="000000"/>
          <w:sz w:val="20"/>
        </w:rPr>
        <w:t>In June 2016, the FASB issued ASU 2016-13,</w:t>
      </w:r>
      <w:r>
        <w:rPr>
          <w:color w:val="000000"/>
        </w:rPr>
        <w:t xml:space="preserve"> </w:t>
      </w:r>
      <w:r>
        <w:rPr>
          <w:rFonts w:ascii="Times New Roman;sans-serif" w:hAnsi="Times New Roman;sans-serif"/>
          <w:b w:val="false"/>
          <w:i/>
          <w:color w:val="000000"/>
          <w:sz w:val="20"/>
        </w:rPr>
        <w:t xml:space="preserve">Financial Instruments – Credit Losses (Topic 326): Measurement of Credit Losses on Financial Instruments </w:t>
      </w:r>
      <w:r>
        <w:rPr>
          <w:rFonts w:ascii="Times New Roman;sans-serif" w:hAnsi="Times New Roman;sans-serif"/>
          <w:b w:val="false"/>
          <w:color w:val="000000"/>
          <w:sz w:val="20"/>
        </w:rPr>
        <w:t>(“ASU 2016-13”). The new credit losses standard changes the impairment model for most financial assets and certain other instruments. For 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consolidated financial statements and related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3. Business Combination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1, on July 22, 2021, the Company consummated the Business Combination and received net cash proceeds of $510.0 million. </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the following occurred: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Holders of 10,188 shares of CMLS’s Class A common stock sold in its initial public offering (the “public shares”) exercised their right to have such shares redeemed for a full pro rata portion of the trust account holding the proceeds from CMLS’s initial public offering (the “IPO”), which was approximately $10.00 per share, or $101,880 in aggregate.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Each share of CMLS’s Class B common stock was automatically converted into common stock of the Company.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Pursuant to subscription agreements entered into on February 9, 2021, certain investors agreed to subscribe for an aggregate of 35,000,000 newly-issued shares of common stock at a purchase price of $10.00 per share for an aggregate purchase price of $350,000,000 (the “PIPE Investment”). Concurrently with the closing of the Business Combination, the Company consummated the PIPE Investment.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After giving effect to the Prior Merger, the redemption of public shares and the conversion of the CMLS Class B common stock as described above, and the consummation of the PIPE Investment, there were 240,190,402 shares of the Company’s common stock issued and outstanding.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Company recorded $51.8 million of transaction costs which consisted of direct, incremental legal, professional, accounting, and other third-party fees that were directly related to the execution of the Prior Merger in additional paid-in capital. Upon consummation of the Prior Merger, $9.0 million of the transaction costs relates to costs incurred by Legacy Sema4 and reclassed to offset against equity from prepaid expense and other current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4. Revenue Recognition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Diagnostic Revenue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diagnostic test revenue contracts typically consist of a single performance obligation to deliver diagnostic testing services to the ordering facility or patient and therefore allocation of the contract transaction price is generally not applicable. Revenue from diagnostic testing services is recorded at the estimated transaction price, subject to the constraint for variable consideration, upon transfer of control of the service. Control over diagnostic testing services is generally transferred at a point in time when the customer obtains control of the promised service which is upon delivery of the test.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Other Revenue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both short-term and long-term project-based collaboration and service agreements with third parties, whereby the Company provides diagnostic testing, research and related data aggregation reporting services. The consideration to which the Company is entitled pursuant to its collaboration and service agreements includes non-refundable upfront payments, fixed and variable payments based upon the achievement of certain milestones during the contract term. Non-refundable upfront payments are generally received in advance of performing the services and, therefore, are recorded as a contract liability upon receipt. Fixed and variable milestone payments are included in the transaction price only when it is probable that doing so will not result in a significant reversal of cumulative revenue recognized when the uncertainty associated with the milestone is subsequently resolved. Revenue for such collaboration and service agreements is recognized over time using an input measure based on costs incurred to satisfy the performance obligation.</w:t>
      </w:r>
      <w:r>
        <w:br w:type="page"/>
      </w: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Disaggregated revenue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disaggregated revenue by payor category (in thousands):</w:t>
      </w:r>
    </w:p>
    <w:p>
      <w:pPr>
        <w:pStyle w:val="TextBody"/>
        <w:spacing w:before="200" w:after="283"/>
        <w:jc w:val="both"/>
        <w:rPr/>
      </w:pPr>
      <w:r>
        <w:rPr/>
      </w:r>
    </w:p>
    <w:tbl>
      <w:tblPr>
        <w:tblW w:w="5363" w:type="dxa"/>
        <w:jc w:val="left"/>
        <w:tblInd w:w="0" w:type="dxa"/>
        <w:tblCellMar>
          <w:top w:w="28" w:type="dxa"/>
          <w:left w:w="28" w:type="dxa"/>
          <w:bottom w:w="28" w:type="dxa"/>
          <w:right w:w="28" w:type="dxa"/>
        </w:tblCellMar>
      </w:tblPr>
      <w:tblGrid>
        <w:gridCol w:w="1053"/>
        <w:gridCol w:w="925"/>
        <w:gridCol w:w="931"/>
        <w:gridCol w:w="211"/>
        <w:gridCol w:w="721"/>
        <w:gridCol w:w="109"/>
        <w:gridCol w:w="109"/>
        <w:gridCol w:w="109"/>
        <w:gridCol w:w="109"/>
        <w:gridCol w:w="211"/>
        <w:gridCol w:w="721"/>
        <w:gridCol w:w="154"/>
      </w:tblGrid>
      <w:tr>
        <w:trPr/>
        <w:tc>
          <w:tcPr>
            <w:tcW w:w="105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Patients with third-party insurance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customers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Self-pay patients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diagnostic test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Reassessment of variable consideration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changes to the estimate of the transaction price, determined on a portfolio basis when applicable, are generally recorded as adjustments to revenue in the period of the change. The Company updates estimated variable consideration quarterly.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the quarterly change in estimate resulted in a net $3.6 million increase to revenue for tests in which the performance obligation of delivering the test results was met in prior periods. The change in estimate is a result of changes in the estimated transaction price due to contractual adjustments, obtaining updated information from payors and patients that was unknown at the time the performance obligation was met and settlements with third party payors. The quarterly change in estimate did not result in material adjustments to the Company’s previously reported revenue or accounts receivable amounts.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certain long-term collaboration service agreements with original expected durations of more than one year, the Company’s obligations pursuant to such agreement represents partially unsatisfied performance obligations as of March 31, 2022. The revenues under the agreements are estimated to be approximately $10.3 million. The Company expects to recognize the majority of this revenue over the next 3 years.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Contract assets and liabilities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consist of the Company’s right to consideration that is conditional upon its future performance. Contract assets arise in collaboration and service agreements for which revenue is recognized over time but the Company’s right to bill the customer is contingent upon the achievement of contractually-defined milestones.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consist of customer payments in excess of revenues recognized. For collaboration and service agreements, the Company assesses the performance obligations and recognizes contract liabilities as current or non-current based upon forecasted performance. </w:t>
      </w:r>
      <w:r>
        <w:br w:type="page"/>
      </w: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contract assets and contract liabilities is shown in the table below (in thousands):</w:t>
      </w:r>
    </w:p>
    <w:tbl>
      <w:tblPr>
        <w:tblW w:w="4359" w:type="dxa"/>
        <w:jc w:val="left"/>
        <w:tblInd w:w="0" w:type="dxa"/>
        <w:tblCellMar>
          <w:top w:w="28" w:type="dxa"/>
          <w:left w:w="28" w:type="dxa"/>
          <w:bottom w:w="28" w:type="dxa"/>
          <w:right w:w="28" w:type="dxa"/>
        </w:tblCellMar>
      </w:tblPr>
      <w:tblGrid>
        <w:gridCol w:w="765"/>
        <w:gridCol w:w="673"/>
        <w:gridCol w:w="677"/>
        <w:gridCol w:w="211"/>
        <w:gridCol w:w="616"/>
        <w:gridCol w:w="109"/>
        <w:gridCol w:w="109"/>
        <w:gridCol w:w="109"/>
        <w:gridCol w:w="109"/>
        <w:gridCol w:w="211"/>
        <w:gridCol w:w="616"/>
        <w:gridCol w:w="154"/>
      </w:tblGrid>
      <w:tr>
        <w:trPr/>
        <w:tc>
          <w:tcPr>
            <w:tcW w:w="765"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Contract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w:t>
              <w:br/>
              <w:t>Liabilities</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 additions </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prepayments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recognized </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31, 2022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presents contract assets and contract liabilities with respect to customer contracts on a net basis on its condensed consolidated balance sheets. As of March 31, 2022 and December 31, 2021, $0.1 million and $0.5 million is recorded as current contract liabilities, respectively.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recognized for the three months ended March 31, 2022 and March 31, 2021 that were included in the contract liability balance at the beginning of each period were $0.5 million and $0.5 million, respectively.</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Costs to fulfill contracts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fulfilling the Company’s performance obligations pursuant to its collaboration service agreements include costs for services that are subcontracted to ISMMS. Amounts prepaid are expensed in line with the pattern of revenue recognition. Prepayment of amounts prior to the costs being incurred are recognized on the condensed consolidated balance sheets as current or non-current based upon forecasted performance.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and December 31, 2021, the Company had outstanding deferred costs to fulfill contracts of $1.5 million and $1.8 million, respectively. As of March 31, 2022 and December 31, 2021, all outstanding deferred costs were recorded as other current assets.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costs was $0.3 million and $0.3 million for the three months ended March 31, 2022 and 2021, respectively. The amortization of these costs is recorded in the cost of services on the condensed consolidated statements of operations and comprehensive loss.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5. Fair Value Measurements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recorded at fair value. Fair value is defined as the price that would be received to sell an asset or paid to transfer a liability in an orderly transaction between market participants at the measurement date.</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Level 1: </w:t>
      </w:r>
      <w:r>
        <w:rPr>
          <w:rFonts w:ascii="Times New Roman;sans-serif" w:hAnsi="Times New Roman;sans-serif"/>
          <w:b w:val="false"/>
          <w:color w:val="000000"/>
          <w:sz w:val="20"/>
        </w:rPr>
        <w:t>Observable inputs such as quoted prices (unadjusted) in active markets that are accessible at the measurement date for identical assets or liabilities.</w:t>
      </w:r>
    </w:p>
    <w:p>
      <w:pPr>
        <w:pStyle w:val="TextBody"/>
        <w:spacing w:before="0" w:after="0"/>
        <w:jc w:val="both"/>
        <w:rPr/>
      </w:pPr>
      <w:r>
        <w:rPr/>
      </w:r>
    </w:p>
    <w:p>
      <w:pPr>
        <w:pStyle w:val="TextBody"/>
        <w:spacing w:lineRule="auto" w:line="288" w:before="0" w:after="180"/>
        <w:jc w:val="both"/>
        <w:rPr/>
      </w:pPr>
      <w:r>
        <w:rPr>
          <w:rFonts w:ascii="Times New Roman;sans-serif" w:hAnsi="Times New Roman;sans-serif"/>
          <w:b w:val="false"/>
          <w:i/>
          <w:color w:val="000000"/>
          <w:sz w:val="20"/>
        </w:rPr>
        <w:t xml:space="preserve">Level 2: </w:t>
      </w:r>
      <w:r>
        <w:rPr>
          <w:rFonts w:ascii="Times New Roman;sans-serif" w:hAnsi="Times New Roman;sans-serif"/>
          <w:b w:val="false"/>
          <w:color w:val="000000"/>
          <w:sz w:val="20"/>
        </w:rPr>
        <w:t>Observable inputs such as quoted prices for similar instruments in active markets, quoted prices for identical or similar instruments in markets that are not active or model-derived valuations whose significant inputs are observable.</w:t>
      </w:r>
    </w:p>
    <w:p>
      <w:pPr>
        <w:pStyle w:val="TextBody"/>
        <w:spacing w:lineRule="auto" w:line="288" w:before="0" w:after="180"/>
        <w:jc w:val="both"/>
        <w:rPr/>
      </w:pPr>
      <w:r>
        <w:rPr>
          <w:rFonts w:ascii="Times New Roman;sans-serif" w:hAnsi="Times New Roman;sans-serif"/>
          <w:b w:val="false"/>
          <w:i/>
          <w:color w:val="000000"/>
          <w:sz w:val="20"/>
        </w:rPr>
        <w:t xml:space="preserve">Level 3: </w:t>
      </w:r>
      <w:r>
        <w:rPr>
          <w:rFonts w:ascii="Times New Roman;sans-serif" w:hAnsi="Times New Roman;sans-serif"/>
          <w:b w:val="false"/>
          <w:color w:val="000000"/>
          <w:sz w:val="20"/>
        </w:rPr>
        <w:t>Unobservable inputs that are significant to the measurement of fair value but are supported by little to no market data.</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consist of cash and cash equivalents, restricted cash, accounts receivable, accounts payable, accrued liabilities, finance leases, warrant liability, earn-out contingent liability and long-</w:t>
      </w:r>
      <w:r>
        <w:br w:type="page"/>
      </w: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term debt. The Company’s cash and cash equivalents, restricted cash, accounts receivable, accounts payable and accrued liabilities approximate their fair value due to the relatively short-term nature of these accounts.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finance leases are classified within Level 1 of the fair value hierarchy because such finance lease agreements bear interest at rates for instruments with similar characteristics; accordingly, the carrying value of these liabilities approximate their fair values.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loan from the Connecticut Department of Economic and Community Development is classified within Level 2 of the fair value hierarchy. As of March 31, 2022, the long-term debt was recorded at its carrying value of $11.0 million in the condensed consolidated balance sheet. The fair value was $9.5 million, which is estimated based on discounted cash flows using the yields of similar debt instruments of other companies with similar credit profiles.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fair value of financial instruments that were measured at fair value on a recurring basis (in thousands):</w:t>
      </w:r>
    </w:p>
    <w:tbl>
      <w:tblPr>
        <w:tblW w:w="7439" w:type="dxa"/>
        <w:jc w:val="left"/>
        <w:tblInd w:w="0" w:type="dxa"/>
        <w:tblCellMar>
          <w:top w:w="28" w:type="dxa"/>
          <w:left w:w="28" w:type="dxa"/>
          <w:bottom w:w="28" w:type="dxa"/>
          <w:right w:w="28" w:type="dxa"/>
        </w:tblCellMar>
      </w:tblPr>
      <w:tblGrid>
        <w:gridCol w:w="891"/>
        <w:gridCol w:w="782"/>
        <w:gridCol w:w="786"/>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891"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March 31, 2022</w:t>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contingent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754" w:type="dxa"/>
        <w:jc w:val="left"/>
        <w:tblInd w:w="0" w:type="dxa"/>
        <w:tblCellMar>
          <w:top w:w="28" w:type="dxa"/>
          <w:left w:w="28" w:type="dxa"/>
          <w:bottom w:w="28" w:type="dxa"/>
          <w:right w:w="28" w:type="dxa"/>
        </w:tblCellMar>
      </w:tblPr>
      <w:tblGrid>
        <w:gridCol w:w="891"/>
        <w:gridCol w:w="782"/>
        <w:gridCol w:w="786"/>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11"/>
        <w:gridCol w:w="721"/>
        <w:gridCol w:w="154"/>
      </w:tblGrid>
      <w:tr>
        <w:trPr/>
        <w:tc>
          <w:tcPr>
            <w:tcW w:w="891"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December 31, 2021</w:t>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 liability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contingent liability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br/>
        <w:t>Of the $315.0 million cash and cash equivalents presented on the condensed consolidated balance sheets as of March 31, 2022, $62.3 million was in money market funds and was classified within Level 1 of the fair value hierarchy as the fair value was based on quoted prices in active markets.</w:t>
      </w:r>
    </w:p>
    <w:p>
      <w:pPr>
        <w:pStyle w:val="TextBody"/>
        <w:spacing w:lineRule="auto" w:line="288"/>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condensed consolidated statements of operations and comprehensive loss at each reporting date. As of March 31, 2022, the Public Warrants are classified within Level 1 of the fair value hierarchy as they are traded in active markets. The Private Warrants are classified within Level 2 of the fair </w:t>
      </w:r>
      <w:r>
        <w:br w:type="page"/>
      </w: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value hierarchy as management determined the fair value of each Private Warrant is the same as that of a Public Warrant because the terms are substantially the same.</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contingent obligation to issue earn-out shares for Legacy Sema4 stockholders was accounted for as a liability and required remeasurement at each reporting date. The estimated fair value of the total earn-out shares as of March 31, 2022 is determined based on a Monte Carlo simulation valuation model. The fair value of the earn-out contingent liability is sensitive to expected volatility estimated based on selected guideline public companies’ stock prices, the Company’s implied volatility and Company’s common stock price which is sensitive to changes in the forecasts of earnings and/or the relevant operating metrics. The key assumptions utilized in determining the valuation as of March 31, 2022 and December 31, 2021 were as follows:</w:t>
      </w:r>
    </w:p>
    <w:p>
      <w:pPr>
        <w:pStyle w:val="TextBody"/>
        <w:spacing w:before="0" w:after="0"/>
        <w:ind w:left="0" w:right="0" w:firstLine="360"/>
        <w:jc w:val="both"/>
        <w:rPr/>
      </w:pPr>
      <w:r>
        <w:rPr/>
      </w:r>
    </w:p>
    <w:tbl>
      <w:tblPr>
        <w:tblW w:w="5214" w:type="dxa"/>
        <w:jc w:val="left"/>
        <w:tblInd w:w="0" w:type="dxa"/>
        <w:tblCellMar>
          <w:top w:w="28" w:type="dxa"/>
          <w:left w:w="28" w:type="dxa"/>
          <w:bottom w:w="28" w:type="dxa"/>
          <w:right w:w="28" w:type="dxa"/>
        </w:tblCellMar>
      </w:tblPr>
      <w:tblGrid>
        <w:gridCol w:w="754"/>
        <w:gridCol w:w="661"/>
        <w:gridCol w:w="669"/>
        <w:gridCol w:w="419"/>
        <w:gridCol w:w="419"/>
        <w:gridCol w:w="421"/>
        <w:gridCol w:w="109"/>
        <w:gridCol w:w="109"/>
        <w:gridCol w:w="109"/>
        <w:gridCol w:w="452"/>
        <w:gridCol w:w="452"/>
        <w:gridCol w:w="640"/>
      </w:tblGrid>
      <w:tr>
        <w:trPr/>
        <w:tc>
          <w:tcPr>
            <w:tcW w:w="754"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$4.46</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0.58%</w:t>
            </w:r>
          </w:p>
        </w:tc>
      </w:tr>
    </w:tbl>
    <w:p>
      <w:pPr>
        <w:pStyle w:val="TextBody"/>
        <w:spacing w:lineRule="auto" w:line="26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earn-out contingent liability is categorized as Level 3 of the fair value hierarchy as the Company utilizes unobservable inputs in estimating volatility rate. The fair value determined and recorded as of December 31, 2021 was $10.2 million and during the three months ended March 31, 2022 a gain of $6.8 million was recorded in the change in fair market value of warrant and earn-out contingent liability in the condensed consolidated statements of operations and comprehensive loss based on re-measurement performed as of the period end date.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and Level 3 during the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6. Property and Equipment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6617" w:type="dxa"/>
        <w:jc w:val="left"/>
        <w:tblInd w:w="0" w:type="dxa"/>
        <w:tblCellMar>
          <w:top w:w="28" w:type="dxa"/>
          <w:left w:w="28" w:type="dxa"/>
          <w:bottom w:w="28" w:type="dxa"/>
          <w:right w:w="28" w:type="dxa"/>
        </w:tblCellMar>
      </w:tblPr>
      <w:tblGrid>
        <w:gridCol w:w="1489"/>
        <w:gridCol w:w="1308"/>
        <w:gridCol w:w="1313"/>
        <w:gridCol w:w="211"/>
        <w:gridCol w:w="721"/>
        <w:gridCol w:w="109"/>
        <w:gridCol w:w="109"/>
        <w:gridCol w:w="109"/>
        <w:gridCol w:w="109"/>
        <w:gridCol w:w="221"/>
        <w:gridCol w:w="757"/>
        <w:gridCol w:w="161"/>
      </w:tblGrid>
      <w:tr>
        <w:trPr/>
        <w:tc>
          <w:tcPr>
            <w:tcW w:w="1489"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Equipment under finance leases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Building under finance lease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in-progress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other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(51,906)</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and 2021, depreciation and amortization expense was $5.8 million and $4.9 million. This included software amortization expense of $1.6 million and $1.2 million for the three months ended </w:t>
      </w:r>
      <w:r>
        <w:br w:type="page"/>
      </w: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31, 2022 and 2021. Depreciation and amortization expense is included within the condensed consolidated statements of operations and comprehensive loss as follows (in thousands):</w:t>
      </w:r>
    </w:p>
    <w:tbl>
      <w:tblPr>
        <w:tblW w:w="6220" w:type="dxa"/>
        <w:jc w:val="left"/>
        <w:tblInd w:w="0" w:type="dxa"/>
        <w:tblCellMar>
          <w:top w:w="28" w:type="dxa"/>
          <w:left w:w="28" w:type="dxa"/>
          <w:bottom w:w="28" w:type="dxa"/>
          <w:right w:w="28" w:type="dxa"/>
        </w:tblCellMar>
      </w:tblPr>
      <w:tblGrid>
        <w:gridCol w:w="1382"/>
        <w:gridCol w:w="1219"/>
        <w:gridCol w:w="1223"/>
        <w:gridCol w:w="225"/>
        <w:gridCol w:w="659"/>
        <w:gridCol w:w="116"/>
        <w:gridCol w:w="116"/>
        <w:gridCol w:w="116"/>
        <w:gridCol w:w="116"/>
        <w:gridCol w:w="225"/>
        <w:gridCol w:w="659"/>
        <w:gridCol w:w="164"/>
      </w:tblGrid>
      <w:tr>
        <w:trPr/>
        <w:tc>
          <w:tcPr>
            <w:tcW w:w="1382"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7. Related Party Transactions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three months ended March 31, 2022 and 2021, the Company incurred certain related party costs. There were no expenses recognized under the TSA for the three months ended March 31, 2022 and $1.4 million for the three months ended March 31, 2021 which is presented within related party expenses in the condensed consolidated statements of operations and comprehensive loss. The Company had no TSA payables due to ISMMS as of March 31, 2022 and December 31, 2021.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Expenses recognized pursuant to other service arrangements with ISMMS, including certain sub-lease arrangements the Company has through ISMMS, totaled $1.9 million and $0.7 million for the three months ended March 31, 2022 and 2021, respectively. These amounts include certain lease expenses the Company incurs and pay to ISMMS for certain sub-lease arrangements. They are included in either cost of services or related party expenses on the condensed consolidated statements of operations and comprehensive loss depending on the particular activity to which the costs relate. Payables due to ISMMS for the other service arrangements were $2.5 million $2.6 million as of March 31, 2022 and December 31, 2021, respectively. These amounts include unpaid lease payments the Company accrued for the payments to be made to ISMMS and are included within due to related parties on the Company’s condensed consolidated balance sheets.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since the closing of the Prior Merger in July 2021 the Company has purchased $0.7 million of diagnostic testing kits and materials of which $0.4 million was recorded in cost of services for the three months ended March 31, 2022 from an affiliate of a member of the Board of Directors who has served in the role since July 2021. The prices paid represent market rates. Payables due were $0.7 million and $0.1 million as of March 31, 2022 and December 31, 2021, respectively.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 are included within cost of services and related party expenses in the condensed consolidated statements of operations and comprehensive loss as follows (in thousands):</w:t>
      </w:r>
    </w:p>
    <w:tbl>
      <w:tblPr>
        <w:tblW w:w="4465" w:type="dxa"/>
        <w:jc w:val="left"/>
        <w:tblInd w:w="0" w:type="dxa"/>
        <w:tblCellMar>
          <w:top w:w="28" w:type="dxa"/>
          <w:left w:w="28" w:type="dxa"/>
          <w:bottom w:w="28" w:type="dxa"/>
          <w:right w:w="28" w:type="dxa"/>
        </w:tblCellMar>
      </w:tblPr>
      <w:tblGrid>
        <w:gridCol w:w="748"/>
        <w:gridCol w:w="659"/>
        <w:gridCol w:w="662"/>
        <w:gridCol w:w="225"/>
        <w:gridCol w:w="659"/>
        <w:gridCol w:w="116"/>
        <w:gridCol w:w="116"/>
        <w:gridCol w:w="116"/>
        <w:gridCol w:w="116"/>
        <w:gridCol w:w="225"/>
        <w:gridCol w:w="659"/>
        <w:gridCol w:w="164"/>
      </w:tblGrid>
      <w:tr>
        <w:trPr/>
        <w:tc>
          <w:tcPr>
            <w:tcW w:w="748"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8. Long-Term Debt</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Loan and Security Agreement (the “SVB Agreement”)</w:t>
      </w:r>
    </w:p>
    <w:p>
      <w:pPr>
        <w:pStyle w:val="TextBody"/>
        <w:spacing w:before="0" w:after="0"/>
        <w:ind w:left="0" w:right="0" w:firstLine="360"/>
        <w:jc w:val="both"/>
        <w:rPr/>
      </w:pPr>
      <w:r>
        <w:rPr/>
      </w:r>
    </w:p>
    <w:p>
      <w:pPr>
        <w:pStyle w:val="TextBody"/>
        <w:spacing w:lineRule="auto" w:line="268"/>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15, 2021, the Company and Sema4 OpCo, Inc. (together, the “Borrower”) entered into a Loan and Security Agreement (the “SVB Agreement”) with Silicon Valley Bank (“SVB”). The SVB Agreement provides for a revolving credit facility (the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 In connection with entering into the SVB agreement, the Company paid $0.5 million in debt issuance costs during 2021. </w:t>
      </w:r>
      <w:r>
        <w:br w:type="page"/>
      </w: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will pay an additional $0.5 million in fees to SVB at each anniversary of the SVB Agreement date for a total of $1.0 million and these fees are recorded in other current liabilities and other liabilities in the condensed consolidated balance sheets as of March 31, 2022. These costs are capitalized and amortized on a straight-line basis over the contractual term. Any unused fees charged on the Revolver is expensed as incurred.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SVB Agreement are secured by a first priority perfected security interest in substantially all of the Borrower’s assets except for (i) 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pStyle w:val="TextBody"/>
        <w:spacing w:before="0" w:after="0"/>
        <w:ind w:left="0" w:right="0" w:firstLine="360"/>
        <w:jc w:val="both"/>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SVB Agreement contains affirmative and negative covenants, including, among other things, restrictions on indebtedness, liens, investments, mergers, dispositions, and dividends and other distributions.</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was in compliance with all covenants as of March 31, 2022.</w:t>
      </w:r>
    </w:p>
    <w:p>
      <w:pPr>
        <w:pStyle w:val="TextBody"/>
        <w:spacing w:lineRule="auto" w:line="288" w:before="24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amounts have been drawn under the SVB Agreement as of March 31, 2022.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2016 Funding Commitment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2017, ISMMS assigned a loan funding commitment from the Connecticut Department of Economic and Community Development (“DECD”) to the Company (as amended, the “DECD Loan Agreement”). The DECD Loan Agreement,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However, under the terms of the DECD Loan Agreement, the DECD may grant partial principal loan forgiveness of up to $12.3 million in the aggregate. Such forgiveness is contingent upon the Company achieving job creation and retention milestones and $7.3 million has been forgiven as of March 31, 2022. This commitment is collateralized by providing a security interest in certain machinery and equipment the Company acquired from ISMMS, as defined in a separate security agreement.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loan balance from the DECD Loan Agreement was $11.0 million as of March 31, 2022 and December 31, 2021.</w:t>
      </w:r>
      <w:r>
        <w:br w:type="page"/>
      </w: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Maturities of Long-Term Debt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long-term debt matures as follows (in thousands):</w:t>
      </w:r>
    </w:p>
    <w:tbl>
      <w:tblPr>
        <w:tblW w:w="4910" w:type="dxa"/>
        <w:jc w:val="left"/>
        <w:tblInd w:w="0" w:type="dxa"/>
        <w:tblCellMar>
          <w:top w:w="28" w:type="dxa"/>
          <w:left w:w="28" w:type="dxa"/>
          <w:bottom w:w="28" w:type="dxa"/>
          <w:right w:w="28" w:type="dxa"/>
        </w:tblCellMar>
      </w:tblPr>
      <w:tblGrid>
        <w:gridCol w:w="1385"/>
        <w:gridCol w:w="1216"/>
        <w:gridCol w:w="1223"/>
        <w:gridCol w:w="211"/>
        <w:gridCol w:w="721"/>
        <w:gridCol w:w="154"/>
      </w:tblGrid>
      <w:tr>
        <w:trPr/>
        <w:tc>
          <w:tcPr>
            <w:tcW w:w="1385"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2022 (remainder of year)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maturities of long-term debt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2020 Master Loan Agreement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Company entered into a loan and security agreement with a bank (the “Master Loan Agreement”), in which the Company received a loan of $6.3 million and deposited the proceeds into a deposit account held by the bank. The Company was required to make sixty consecutive monthly payments of principal and interest at a fixed monthly amount of $0.1 million beginning in November 2020. Interest payments were fixed at an annual interest rate of 4.75%.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terminated the Master Loan Agreement by paying off the full amount, including $5.4 million principal and interest and $0.1 million in early payment penalties assessed pursuant to the terms of the agreement.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2020 Master Lease Agreement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terminated the Master Lease Agreement by paying off the full amount, including $3.3 million principal and interest and early payment penalties of $0.2 million assessed pursuant to the terms of the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Lease Accounting</w:t>
      </w:r>
    </w:p>
    <w:p>
      <w:pPr>
        <w:pStyle w:val="TextBody"/>
        <w:spacing w:before="0" w:after="0"/>
        <w:ind w:left="0" w:right="0" w:firstLine="360"/>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contracts in the normal course of business and assesses whether any such contracts contain a lease. The Company determines if an arrangement is a lease at inception if it conveys the right to control the identified asset for a period of time in exchange for consideration. The Company classifies leases as operating or financing in nature. All lease liabilities are measured at the present value of the associated payments, discounted using the Company’s incremental borrowing rate determined based on the rate of interest that the Company would pay to borrow on a </w:t>
      </w:r>
      <w:r>
        <w:br w:type="page"/>
      </w: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collateralized basis an amount equal to the lease payments for similar term and in a similar economic environment on a collateralized basis, unless there is a rate implicit in the lease that is readily determinable.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operating lease arrangements are principally for office space and laboratory facilities. The Company’s headquarter lease was initially entered into via sub-lease agreements with ISMMS and a third party and they will expire in 2034. The agreements include escalating rent and rent-free period provisions. Pursuant to the terms of the lease agreement, the Company was required to have issued an irrevocable standby letter of credit to the lessor for $0.9 million, which was included in restricted cash on the condensed consolidated balance sheets as of March 31, 2022 and consolidated balance sheets as of December 31, 2021.</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finance lease and the land as an operating lease.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2020, the Company entered into a lease agreement which expanded the Company’s existing laboratory facility in Branford, Connecticut. The lease commenced in February 2020 with a 10 year term. The lease includes escalating rent fees over the lease term.</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Finance Leases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various finance lease agreements to obtain laboratory equipment that contain bargain purchase commitments at the end of the lease term. The leases are secured by the underlying equipment. As discussed above, the Company also leases a building used for office and laboratory space in which the building is accounted for as a finance lease and the land is as an operating lease. The interest rate used for the Stamford Lease is 13.1%, which is used to measure the operating and finance lease liability.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financial information associated with the Company’s leases. This information is only presented as of, and for the three months ended, March 31, 2022 because, the Company adopted the ASC 842 using a transition method that does not require application to periods prior to adoption (in thousands).</w:t>
      </w:r>
    </w:p>
    <w:tbl>
      <w:tblPr>
        <w:tblW w:w="6713" w:type="dxa"/>
        <w:jc w:val="center"/>
        <w:tblInd w:w="0" w:type="dxa"/>
        <w:tblCellMar>
          <w:top w:w="28" w:type="dxa"/>
          <w:left w:w="28" w:type="dxa"/>
          <w:bottom w:w="28" w:type="dxa"/>
          <w:right w:w="28" w:type="dxa"/>
        </w:tblCellMar>
      </w:tblPr>
      <w:tblGrid>
        <w:gridCol w:w="682"/>
        <w:gridCol w:w="601"/>
        <w:gridCol w:w="607"/>
        <w:gridCol w:w="109"/>
        <w:gridCol w:w="109"/>
        <w:gridCol w:w="109"/>
        <w:gridCol w:w="954"/>
        <w:gridCol w:w="954"/>
        <w:gridCol w:w="957"/>
        <w:gridCol w:w="109"/>
        <w:gridCol w:w="109"/>
        <w:gridCol w:w="109"/>
        <w:gridCol w:w="238"/>
        <w:gridCol w:w="816"/>
        <w:gridCol w:w="250"/>
      </w:tblGrid>
      <w:tr>
        <w:trPr/>
        <w:tc>
          <w:tcPr>
            <w:tcW w:w="682"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38,417 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51,607 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250"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39,649 </w:t>
            </w:r>
          </w:p>
        </w:tc>
        <w:tc>
          <w:tcPr>
            <w:tcW w:w="250"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17,829 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00" w:after="283"/>
        <w:ind w:left="0" w:right="0" w:firstLine="360"/>
        <w:rPr/>
      </w:pPr>
      <w:r>
        <w:br w:type="page"/>
      </w: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bl>
      <w:tblPr>
        <w:tblW w:w="7000" w:type="dxa"/>
        <w:jc w:val="center"/>
        <w:tblInd w:w="0" w:type="dxa"/>
        <w:tblCellMar>
          <w:top w:w="28" w:type="dxa"/>
          <w:left w:w="28" w:type="dxa"/>
          <w:bottom w:w="28" w:type="dxa"/>
          <w:right w:w="28" w:type="dxa"/>
        </w:tblCellMar>
      </w:tblPr>
      <w:tblGrid>
        <w:gridCol w:w="1393"/>
        <w:gridCol w:w="1226"/>
        <w:gridCol w:w="1250"/>
        <w:gridCol w:w="109"/>
        <w:gridCol w:w="109"/>
        <w:gridCol w:w="109"/>
        <w:gridCol w:w="564"/>
        <w:gridCol w:w="1649"/>
        <w:gridCol w:w="591"/>
      </w:tblGrid>
      <w:tr>
        <w:trPr/>
        <w:tc>
          <w:tcPr>
            <w:tcW w:w="1393"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64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5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leased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5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finance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5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jc w:val="center"/>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March 31, 2022 are as follows:</w:t>
      </w:r>
    </w:p>
    <w:tbl>
      <w:tblPr>
        <w:tblW w:w="7285" w:type="dxa"/>
        <w:jc w:val="center"/>
        <w:tblInd w:w="0" w:type="dxa"/>
        <w:tblCellMar>
          <w:top w:w="28" w:type="dxa"/>
          <w:left w:w="28" w:type="dxa"/>
          <w:bottom w:w="28" w:type="dxa"/>
          <w:right w:w="28" w:type="dxa"/>
        </w:tblCellMar>
      </w:tblPr>
      <w:tblGrid>
        <w:gridCol w:w="973"/>
        <w:gridCol w:w="852"/>
        <w:gridCol w:w="860"/>
        <w:gridCol w:w="109"/>
        <w:gridCol w:w="109"/>
        <w:gridCol w:w="109"/>
        <w:gridCol w:w="246"/>
        <w:gridCol w:w="931"/>
        <w:gridCol w:w="127"/>
        <w:gridCol w:w="109"/>
        <w:gridCol w:w="109"/>
        <w:gridCol w:w="109"/>
        <w:gridCol w:w="212"/>
        <w:gridCol w:w="803"/>
        <w:gridCol w:w="109"/>
        <w:gridCol w:w="109"/>
        <w:gridCol w:w="109"/>
        <w:gridCol w:w="109"/>
        <w:gridCol w:w="211"/>
        <w:gridCol w:w="826"/>
        <w:gridCol w:w="154"/>
      </w:tblGrid>
      <w:tr>
        <w:trPr/>
        <w:tc>
          <w:tcPr>
            <w:tcW w:w="973"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Maturity of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(remainder of the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(32,237)</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42,107 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as of and the three months ended March 31, 2022 are as follows:</w:t>
      </w:r>
    </w:p>
    <w:tbl>
      <w:tblPr>
        <w:tblW w:w="7631" w:type="dxa"/>
        <w:jc w:val="center"/>
        <w:tblInd w:w="0" w:type="dxa"/>
        <w:tblCellMar>
          <w:top w:w="28" w:type="dxa"/>
          <w:left w:w="28" w:type="dxa"/>
          <w:bottom w:w="28" w:type="dxa"/>
          <w:right w:w="28" w:type="dxa"/>
        </w:tblCellMar>
      </w:tblPr>
      <w:tblGrid>
        <w:gridCol w:w="2174"/>
        <w:gridCol w:w="1909"/>
        <w:gridCol w:w="1917"/>
        <w:gridCol w:w="109"/>
        <w:gridCol w:w="109"/>
        <w:gridCol w:w="109"/>
        <w:gridCol w:w="380"/>
        <w:gridCol w:w="380"/>
        <w:gridCol w:w="544"/>
      </w:tblGrid>
      <w:tr>
        <w:trPr/>
        <w:tc>
          <w:tcPr>
            <w:tcW w:w="2174" w:type="dxa"/>
            <w:tcBorders/>
            <w:shd w:fill="auto" w:val="clear"/>
            <w:vAlign w:val="center"/>
          </w:tcPr>
          <w:p>
            <w:pPr>
              <w:pStyle w:val="TableContents"/>
              <w:spacing w:before="0" w:after="283"/>
              <w:rPr>
                <w:sz w:val="4"/>
                <w:szCs w:val="4"/>
              </w:rPr>
            </w:pPr>
            <w:r>
              <w:rPr>
                <w:sz w:val="4"/>
                <w:szCs w:val="4"/>
              </w:rPr>
            </w:r>
          </w:p>
        </w:tc>
        <w:tc>
          <w:tcPr>
            <w:tcW w:w="1909" w:type="dxa"/>
            <w:tcBorders/>
            <w:shd w:fill="auto" w:val="clear"/>
            <w:vAlign w:val="center"/>
          </w:tcPr>
          <w:p>
            <w:pPr>
              <w:pStyle w:val="TableContents"/>
              <w:spacing w:before="0" w:after="283"/>
              <w:rPr>
                <w:sz w:val="4"/>
                <w:szCs w:val="4"/>
              </w:rPr>
            </w:pPr>
            <w:r>
              <w:rPr>
                <w:sz w:val="4"/>
                <w:szCs w:val="4"/>
              </w:rPr>
            </w:r>
          </w:p>
        </w:tc>
        <w:tc>
          <w:tcPr>
            <w:tcW w:w="19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6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Weighted-average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c>
      </w:tr>
      <w:tr>
        <w:trPr/>
        <w:tc>
          <w:tcPr>
            <w:tcW w:w="6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6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$1,236</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$552</w:t>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180"/>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various purchase commitments primarily related to material and service agreements, laboratory supplies and software. At March 31, 2022, the Company’s total future payments under noncancelable unconditional purchase commitments having a remaining term of over one year were $19.4 million.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actions and claims arising in the normal course of business. The Company does not believe that the outcome of these matters will have a material effect on the Company’s condensed consolidated financial position, results of operations or cash flows. However, no assurance can be given that the final outcome of such proceedings will not materially impact the Company’s condensed consolidated financial condition or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not a party to any material legal proceedings as of March 31, 2022, nor is it a party to any material legal proceedings as of the date of issuance of these unaudited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11. Stock-Based Compensation</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Stock Incentive Plans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2021, in connection with the Business Combination, the 2021 Plan became effective and 32,734,983 authorized shares of Class A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and the awards granted under the 2021 Plan generally vest over a four-year period on a graded vesting basis.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2021 Employee Stock Purchase Plan (the “2021 ESPP”) became effective in connection with the Business Combination. The 2021 ESPP authorizes the issuance of shares of Class A common stock pursuant to purchase rights granted to employees. On each January 1 of each of 2022 through 2031, the aggregate number of shares of Class A common stock reserved for issuance under the 2021 Plan may be increased automatically by the number of shares equal to one percent (1%) of the total number of shares of all classes of common stock issued and outstanding immediately preceding December 31. The Company did not make any grants of purchase rights under the 2021 ESPP during the quarter ended March 31, 2022. A total of 7,229,799 shares of Class A common stock have been reserved for future issuance under the 2021 ESPP.</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Stock Option Activity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 </w:t>
      </w:r>
      <w:r>
        <w:br w:type="page"/>
      </w: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condensed consolidated financial statements as of July 22, 2021.</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stock options granted under the 2021 Plan are accounted for as equity awards.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tbl>
      <w:tblPr>
        <w:tblW w:w="8587" w:type="dxa"/>
        <w:jc w:val="left"/>
        <w:tblInd w:w="0" w:type="dxa"/>
        <w:tblCellMar>
          <w:top w:w="28" w:type="dxa"/>
          <w:left w:w="28" w:type="dxa"/>
          <w:bottom w:w="28" w:type="dxa"/>
          <w:right w:w="28" w:type="dxa"/>
        </w:tblCellMar>
      </w:tblPr>
      <w:tblGrid>
        <w:gridCol w:w="1194"/>
        <w:gridCol w:w="1049"/>
        <w:gridCol w:w="1056"/>
        <w:gridCol w:w="109"/>
        <w:gridCol w:w="109"/>
        <w:gridCol w:w="109"/>
        <w:gridCol w:w="689"/>
        <w:gridCol w:w="689"/>
        <w:gridCol w:w="691"/>
        <w:gridCol w:w="109"/>
        <w:gridCol w:w="109"/>
        <w:gridCol w:w="109"/>
        <w:gridCol w:w="618"/>
        <w:gridCol w:w="1496"/>
        <w:gridCol w:w="451"/>
      </w:tblGrid>
      <w:tr>
        <w:trPr/>
        <w:tc>
          <w:tcPr>
            <w:tcW w:w="1194"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49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 Options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30,905,543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canceled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65" w:type="dxa"/>
            <w:gridSpan w:val="3"/>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28,889,296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exercisable at March 31, 2022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21,620,867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pPr>
      <w:r>
        <w:rPr>
          <w:rFonts w:ascii="Times New Roman;sans-serif" w:hAnsi="Times New Roman;sans-serif"/>
          <w:b w:val="false"/>
          <w:color w:val="000000"/>
          <w:sz w:val="20"/>
        </w:rPr>
        <w:t>As of March</w:t>
      </w:r>
      <w:r>
        <w:rPr>
          <w:color w:val="000000"/>
          <w:highlight w:val="white"/>
        </w:rPr>
        <w:t xml:space="preserve"> </w:t>
      </w:r>
      <w:r>
        <w:rPr>
          <w:rFonts w:ascii="Times New Roman;sans-serif" w:hAnsi="Times New Roman;sans-serif"/>
          <w:b w:val="false"/>
          <w:color w:val="000000"/>
          <w:sz w:val="20"/>
          <w:highlight w:val="white"/>
        </w:rPr>
        <w:t>31, 2022, unrecognized stock-based compensation cost related to the unvested portion of the Company’s stock options was $22.1 million, which is expected to be recognized on a graded-vesting basis over a weighted-average period of 1.5 years.</w:t>
      </w:r>
      <w:r>
        <w:rPr>
          <w:color w:val="000000"/>
        </w:rPr>
        <w:t xml:space="preserv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stock option awards for the period ended March 31, 2022, and March 31, 2021 were estimated using the Black-Scholes option pricing model with the following assumptions:</w:t>
      </w:r>
    </w:p>
    <w:tbl>
      <w:tblPr>
        <w:tblW w:w="6828" w:type="dxa"/>
        <w:jc w:val="left"/>
        <w:tblInd w:w="0" w:type="dxa"/>
        <w:tblCellMar>
          <w:top w:w="28" w:type="dxa"/>
          <w:left w:w="28" w:type="dxa"/>
          <w:bottom w:w="28" w:type="dxa"/>
          <w:right w:w="28" w:type="dxa"/>
        </w:tblCellMar>
      </w:tblPr>
      <w:tblGrid>
        <w:gridCol w:w="1099"/>
        <w:gridCol w:w="963"/>
        <w:gridCol w:w="968"/>
        <w:gridCol w:w="505"/>
        <w:gridCol w:w="505"/>
        <w:gridCol w:w="505"/>
        <w:gridCol w:w="256"/>
        <w:gridCol w:w="256"/>
        <w:gridCol w:w="256"/>
        <w:gridCol w:w="444"/>
        <w:gridCol w:w="444"/>
        <w:gridCol w:w="627"/>
      </w:tblGrid>
      <w:tr>
        <w:trPr/>
        <w:tc>
          <w:tcPr>
            <w:tcW w:w="1099"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65.20% - 67.60%</w:t>
            </w:r>
          </w:p>
        </w:tc>
        <w:tc>
          <w:tcPr>
            <w:tcW w:w="7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68.50%- 75.60%</w:t>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5.48-6.06</w:t>
            </w:r>
          </w:p>
        </w:tc>
        <w:tc>
          <w:tcPr>
            <w:tcW w:w="7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0.50- 1.75</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1.65%-1.70%</w:t>
            </w:r>
          </w:p>
        </w:tc>
        <w:tc>
          <w:tcPr>
            <w:tcW w:w="7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0.05%- 0.16%</w:t>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7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Class A common stock</w:t>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$3.29-$3.45</w:t>
            </w:r>
          </w:p>
        </w:tc>
        <w:tc>
          <w:tcPr>
            <w:tcW w:w="7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$4.57- $12.51</w:t>
            </w:r>
          </w:p>
        </w:tc>
      </w:tr>
    </w:tbl>
    <w:p>
      <w:pPr>
        <w:pStyle w:val="TextBody"/>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estimated a volatility factor for the Company’s options based on analysis of historical share prices of a peer group of public companies. The Company did not rely on the volatility of the Company’s Class A common stock because its limited trading history. The Company estimated the expected term of options granted using the “simplified method,” which is the mid-point between the vesting date and the ending date of the contractual term. The Company did not rely on the historical holding periods of the Company’s options due to the limited availability of exercise data. The Company used a risk-free interest rate based on the U.S. Treasury yield curve in effect for bonds with maturities consistent with the expected term of the option.</w:t>
      </w:r>
    </w:p>
    <w:p>
      <w:pPr>
        <w:pStyle w:val="TextBody"/>
        <w:spacing w:lineRule="auto" w:line="288" w:before="200" w:after="180"/>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issued time-based RSUs to employees under the 2021 Plan. The RSUs automatically convert to shares of Class A common stock on a one-for-one basis as the awards vest. The Company measures the value of RSUs at fair value based on the closing price of the underlying Class A common stock on the grant date. The RSUs granted generally vest over a four year vesting period from the grant date, however, the Company also granted certain RSUs during the three </w:t>
      </w:r>
      <w:r>
        <w:br w:type="page"/>
      </w: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months ended December 31, 2021, which were vesting beginning 12 months from the grant date and vesting immediately on the grant date. The following table summarizes the activity related to the Company's time-based RSUs:</w:t>
      </w:r>
    </w:p>
    <w:tbl>
      <w:tblPr>
        <w:tblW w:w="9521" w:type="dxa"/>
        <w:jc w:val="center"/>
        <w:tblInd w:w="0" w:type="dxa"/>
        <w:tblCellMar>
          <w:top w:w="28" w:type="dxa"/>
          <w:left w:w="28" w:type="dxa"/>
          <w:bottom w:w="28" w:type="dxa"/>
          <w:right w:w="28" w:type="dxa"/>
        </w:tblCellMar>
      </w:tblPr>
      <w:tblGrid>
        <w:gridCol w:w="966"/>
        <w:gridCol w:w="849"/>
        <w:gridCol w:w="854"/>
        <w:gridCol w:w="884"/>
        <w:gridCol w:w="884"/>
        <w:gridCol w:w="887"/>
        <w:gridCol w:w="109"/>
        <w:gridCol w:w="109"/>
        <w:gridCol w:w="109"/>
        <w:gridCol w:w="1132"/>
        <w:gridCol w:w="1132"/>
        <w:gridCol w:w="1606"/>
      </w:tblGrid>
      <w:tr>
        <w:trPr/>
        <w:tc>
          <w:tcPr>
            <w:tcW w:w="966"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Unit</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12,589,558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granted</w:t>
            </w:r>
          </w:p>
        </w:tc>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vested</w:t>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(398,369)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forfeited</w:t>
            </w:r>
          </w:p>
        </w:tc>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r>
      <w:tr>
        <w:trPr/>
        <w:tc>
          <w:tcPr>
            <w:tcW w:w="2669" w:type="dxa"/>
            <w:gridSpan w:val="3"/>
            <w:tcBorders/>
            <w:shd w:fill="auto" w:val="clear"/>
            <w:vAlign w:val="center"/>
          </w:tcPr>
          <w:p>
            <w:pPr>
              <w:pStyle w:val="TableContents"/>
              <w:spacing w:before="0" w:after="283"/>
              <w:rPr>
                <w:sz w:val="4"/>
                <w:szCs w:val="4"/>
              </w:rPr>
            </w:pPr>
            <w:r>
              <w:rPr>
                <w:sz w:val="4"/>
                <w:szCs w:val="4"/>
              </w:rPr>
            </w:r>
          </w:p>
        </w:tc>
        <w:tc>
          <w:tcPr>
            <w:tcW w:w="2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870" w:type="dxa"/>
            <w:gridSpan w:val="3"/>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12,122,759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r>
    </w:tbl>
    <w:p>
      <w:pPr>
        <w:pStyle w:val="TextBody"/>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unrecognized stock-based compensation cost related to the unvested portion of the Company’s RSUs was $60.2 million, which is expected to be recognized on a graded-vesting basis over a weighted-average period of 1.6 years.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Earn-out RSUs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grant date fair value determined for Triggering Event I, II and III was $1.82, $1.39 and $0.94 per unit, respectively. Any re-allocated RSUs due to the Sema4 Legacy option holders’ forfeiture activities during the three months ended March 31, 2022 were accounted for as new grants and the fair value determined for Triggering Event I, II and III was $0.29, $0.21 and $0.12 per unit, respectively. Based on the grant date fair value, the Company expects to record total expense related to the earn-out RSU awards of $2.7 million without considering the impact of the Sema4 Legacy option holders’ forfeiture activities. The Company expects to recognize the stock-compensation cost over the longer of the derived service period or service period.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Stock Appreciation Rights (SAR) Activity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There were no outstanding SARs as of March 31, 2022.</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the Company recorded a reversal of stock-based compensation of $5.2 million due to forfeiture activities upon employee terminations. Stock-based compensation expense for all awards granted and outstanding is included within the condensed consolidated statements of operations and comprehensive loss as follows (in thousands):</w:t>
      </w:r>
    </w:p>
    <w:tbl>
      <w:tblPr>
        <w:tblW w:w="6009" w:type="dxa"/>
        <w:jc w:val="left"/>
        <w:tblInd w:w="0" w:type="dxa"/>
        <w:tblCellMar>
          <w:top w:w="28" w:type="dxa"/>
          <w:left w:w="28" w:type="dxa"/>
          <w:bottom w:w="28" w:type="dxa"/>
          <w:right w:w="28" w:type="dxa"/>
        </w:tblCellMar>
      </w:tblPr>
      <w:tblGrid>
        <w:gridCol w:w="1247"/>
        <w:gridCol w:w="1099"/>
        <w:gridCol w:w="1104"/>
        <w:gridCol w:w="211"/>
        <w:gridCol w:w="721"/>
        <w:gridCol w:w="109"/>
        <w:gridCol w:w="109"/>
        <w:gridCol w:w="109"/>
        <w:gridCol w:w="109"/>
        <w:gridCol w:w="211"/>
        <w:gridCol w:w="826"/>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spacing w:before="0" w:after="0"/>
        <w:ind w:left="0" w:right="0" w:firstLine="360"/>
        <w:jc w:val="both"/>
        <w:rPr/>
      </w:pPr>
      <w:r>
        <w:rPr/>
      </w:r>
    </w:p>
    <w:p>
      <w:pPr>
        <w:pStyle w:val="TextBody"/>
        <w:spacing w:lineRule="auto" w:line="33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for the three months ended March 31, 2022 are recorded at the Company’s estimated annual effective income tax rate, subject to adjustments for discrete events, should they occur. The Company’s estimated annual effective tax rate was 0.0% for the three months ended March 31, 2022. The primary reconciling item between the federal statutory </w:t>
      </w:r>
      <w:r>
        <w:br w:type="page"/>
      </w: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rate of 21.0% for these periods and the Company’s overall effective tax rate of 0.0% was related to the effects of the valuation allowance recorded against the full amount of its net deferred tax assets. </w:t>
      </w:r>
    </w:p>
    <w:p>
      <w:pPr>
        <w:pStyle w:val="TextBody"/>
        <w:spacing w:before="0" w:after="0"/>
        <w:jc w:val="both"/>
        <w:rPr/>
      </w:pPr>
      <w:r>
        <w:rPr/>
      </w:r>
    </w:p>
    <w:p>
      <w:pPr>
        <w:pStyle w:val="TextBody"/>
        <w:spacing w:lineRule="auto" w:line="333"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March 31, 2022 since management believes that based on the earnings history of the Company, it is more likely than not that the benefits of these assets will not be realized.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13. Net Loss per Share</w:t>
      </w:r>
      <w:r>
        <w:rPr>
          <w:color w:val="000000"/>
        </w:rPr>
        <w:t xml:space="preserv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and diluted loss per share attributable to common stockholders was calculated as follows (amounts in thousands, except for share and per share amounts): </w:t>
      </w:r>
    </w:p>
    <w:tbl>
      <w:tblPr>
        <w:tblW w:w="10117" w:type="dxa"/>
        <w:jc w:val="left"/>
        <w:tblInd w:w="0" w:type="dxa"/>
        <w:tblCellMar>
          <w:top w:w="28" w:type="dxa"/>
          <w:left w:w="28" w:type="dxa"/>
          <w:bottom w:w="28" w:type="dxa"/>
          <w:right w:w="28" w:type="dxa"/>
        </w:tblCellMar>
      </w:tblPr>
      <w:tblGrid>
        <w:gridCol w:w="2616"/>
        <w:gridCol w:w="2300"/>
        <w:gridCol w:w="2313"/>
        <w:gridCol w:w="264"/>
        <w:gridCol w:w="922"/>
        <w:gridCol w:w="109"/>
        <w:gridCol w:w="109"/>
        <w:gridCol w:w="109"/>
        <w:gridCol w:w="109"/>
        <w:gridCol w:w="211"/>
        <w:gridCol w:w="901"/>
        <w:gridCol w:w="154"/>
      </w:tblGrid>
      <w:tr>
        <w:trPr/>
        <w:tc>
          <w:tcPr>
            <w:tcW w:w="2616" w:type="dxa"/>
            <w:tcBorders/>
            <w:shd w:fill="auto" w:val="clear"/>
            <w:vAlign w:val="center"/>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283"/>
              <w:rPr>
                <w:sz w:val="4"/>
                <w:szCs w:val="4"/>
              </w:rPr>
            </w:pPr>
            <w:r>
              <w:rPr>
                <w:sz w:val="4"/>
                <w:szCs w:val="4"/>
              </w:rPr>
            </w:r>
          </w:p>
        </w:tc>
        <w:tc>
          <w:tcPr>
            <w:tcW w:w="231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Denominator for basic and diluted earnings per share-weighted-average common shares </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244,368,743 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549,778 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Prior Merger, the Company has retroactively adjusted the weighted-average number of shares of common stock outstanding prior to the Prior Merger by multiplying them by the conversion ratio of 123.8339 used to determine the number of shares of common stock into which they converted. The common stock issued as a result of the redeemable convertible preferred stock conversion upon closing of the Prior Merger was included in the basic and diluted earnings/(loss) per share calculation on a prospective basis.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consummation of the Prior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Prior Merger, all outstanding Legacy Sema4 Class B common stock has been retroactively converted to the Sema4 Holdings Class A common stock.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outstanding shares of potentially dilutive securities that were excluded from the computation of diluted net loss per share attributable to common stockholders for the period presented because including them would have been anti-dilutive: </w:t>
      </w:r>
    </w:p>
    <w:tbl>
      <w:tblPr>
        <w:tblW w:w="9136" w:type="dxa"/>
        <w:jc w:val="left"/>
        <w:tblInd w:w="0" w:type="dxa"/>
        <w:tblCellMar>
          <w:top w:w="28" w:type="dxa"/>
          <w:left w:w="28" w:type="dxa"/>
          <w:bottom w:w="28" w:type="dxa"/>
          <w:right w:w="28" w:type="dxa"/>
        </w:tblCellMar>
      </w:tblPr>
      <w:tblGrid>
        <w:gridCol w:w="1989"/>
        <w:gridCol w:w="1745"/>
        <w:gridCol w:w="1755"/>
        <w:gridCol w:w="750"/>
        <w:gridCol w:w="331"/>
        <w:gridCol w:w="255"/>
        <w:gridCol w:w="255"/>
        <w:gridCol w:w="255"/>
        <w:gridCol w:w="255"/>
        <w:gridCol w:w="822"/>
        <w:gridCol w:w="364"/>
        <w:gridCol w:w="360"/>
      </w:tblGrid>
      <w:tr>
        <w:trPr/>
        <w:tc>
          <w:tcPr>
            <w:tcW w:w="1989"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 and RSUs to purchase Class A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41,012,055 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29,608,717 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warrants</w:t>
            </w:r>
          </w:p>
        </w:tc>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21,994,972</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earn-out shares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16,611,117 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earn-out RSUs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2,410,459 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(on an if-converted basis)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171,535,214 </w:t>
            </w:r>
          </w:p>
        </w:tc>
        <w:tc>
          <w:tcPr>
            <w:tcW w:w="3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82,028,603 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201,143,931 </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00" w:after="283"/>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14. Subsequent Events</w:t>
      </w:r>
    </w:p>
    <w:p>
      <w:pPr>
        <w:pStyle w:val="TextBody"/>
        <w:spacing w:before="0" w:after="0"/>
        <w:ind w:left="0" w:right="0" w:firstLine="360"/>
        <w:jc w:val="both"/>
        <w:rPr/>
      </w:pPr>
      <w:r>
        <w:rPr/>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GeneDx Acquisition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the Company completed the acquisition (the “Acquisition”) of GeneDx LLC (“GeneDx”), from OPKO Health Inc. (“OPKO”). Sema4 acquired GeneDx for an upfront payment of $150 million in cash, subject to adjustment, plus 80 million shares of Sema4’s Class A common stock, with up to an additional $150 million payable if certain revenue-based milestones are achieved over the next two years (which will be payable in cash or shares of Sema4’s Class A common stock at Sema4’s discretion). Based on the closing stock price of Sema4’s Class A common stock as of April 29, 2022, the trading day on the closing of the transaction, the total upfront consideration represents approximately $322 million, subject to adjustment, and the total aggregate consideration including potential milestones is approximately $472 million. The transaction was announced on January 18, 2022 and the issuance of the shares of Sema4’s Class A common stock in connection with the acquisition, among other proposals, received approval from Sema4 stockholders on April 27, 2022.</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Subscription Agreements and Acquisition PIPE Investment (Private Placement)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Acquisition of GeneDx, the Company also closed a private placement financing (the “Acquisition PIPE Investment”) in which it issued 50 million shares of Sema4’s Class A common stock at a price of $4.00 per share with a syndicate of institutional investors, receiving gross proceeds of $200 million. </w:t>
      </w:r>
    </w:p>
    <w:p>
      <w:pPr>
        <w:pStyle w:val="TextBody"/>
        <w:spacing w:lineRule="auto" w:line="276" w:before="200" w:after="283"/>
        <w:rPr>
          <w:rFonts w:ascii="Times New Roman;sans-serif" w:hAnsi="Times New Roman;sans-serif"/>
          <w:b/>
          <w:i/>
          <w:color w:val="000000"/>
          <w:sz w:val="20"/>
        </w:rPr>
      </w:pPr>
      <w:r>
        <w:rPr>
          <w:rFonts w:ascii="Times New Roman;sans-serif" w:hAnsi="Times New Roman;sans-serif"/>
          <w:b/>
          <w:i/>
          <w:color w:val="000000"/>
          <w:sz w:val="20"/>
        </w:rPr>
        <w:t>Restructuring</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 2022, the Company’s Compensation Committee of the Board of Directors approved by written consent for the Company to implement an employee restructuring plan, which is intended to reduce costs and optimize its organizational and operational efficiency. The Company’s management executed the plan and expects to recognize expenses of $5.4 million during the second quarter of 2022. The costs primarily consist of the cost of benefits provided pursuant to the severance programs for the employees impacted by the plan and third party consulting costs expected to be incurred.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unaudited condensed consolidated financial statements and related notes appearing elsewhere in this Quarterly Report and our audited financial statements for the year ended December 31, 2021 and the related notes in our Annual Report on Form 10-K for the year ended December 31, 2021.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 2017, we signed a contribution and funding agreement and other agreements with Icahn School of Medicine at Mount Sinai, or ISMMS, whereby ISMMS contributed certain assets and liabilities related to our operations, provided certain services to us, and also committed to funding us up to ### in future capital contributions in exchange for equity in Legacy Sema4, of which ### was drawn as of December 31, 2019. Following the transaction, we commenced operations as a commercial entity that could effectively engage diverse patient populations and health care institutions at scale. </w:t>
      </w:r>
    </w:p>
    <w:p>
      <w:pPr>
        <w:pStyle w:val="TextBody"/>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since established and deployed our comprehensive and integrated genomic and clinical data platform and established a mature diagnostic testing business. We now maintain a database that includes more than 12 million de-identified individual clinical records, many with genomic profiles. We also manage a data asset over 49 petabytes in size, that has been expanding at more than 1 petabyte per month with an accelerating growth rate.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we derive the majority of our revenue from our diagnostic test solutions. Our diagnostic business generates revenue and engages with healthcare professionals working with patients primarily through our Women’s Health and Oncology solutions.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Women’s Health solutions sequence and analyze an industry-leading number of genes and use interpretive information tools to translate raw sequencing and clinical data efficiently and accurately into digestible clinical reports that guide decision-making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the risk of cancer or informs on cancer treatment. We believe our Signal Whole Exome and Transcriptome solution is one of the most comprehensive molecular profiling solutions from a commercial entity to receive New York State approval. Beginning in May of 2020 through March 31, 2022, we also provided diagnostic testing services to identify the presence of COVID-19.</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expanded beyond diagnostic testing to enter into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color w:val="000000"/>
        </w:rPr>
        <w:t>“</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 xml:space="preserve">for more information.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Number of resulted tests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test is resulted once the appropriate workflow is completed and details are provided to the ordered patients or healthcare professional for reviews, which corresponds to the timing of our revenue recognition. We believe the number of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resulted tests in any period is important and useful to our investors because it directly correlates with long-term patient relationships and the size of our genomic database.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Success obtaining and maintaining reimbursement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Ability to lower the costs associated with performing our tests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Increasing adoption of our services by existing and new customers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Investment in platform innovation to support commercial growth</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seeking to leverage and deploy our Centrellis and Traversa platforms to develop a pipeline of future disease-specific research and diagnostic and therapeutic products and services. We have limited experience in the development or commercialization of clinical or research products in connection with our database and our Centrellis platform.</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Key Performance Indicators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financial condition together with our condensed consolidated financial statements and the related notes and other financial information included elsewhere in this report.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is a key indicator that we use to assess the operational efficiency of our business. Once the appropriate workflow is completed, the test is resulted and details are provided to ordered patients or healthcare professionals for reviews.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resulted 151,264 tests in our laboratories, 66,339 tests of which were for COVID-19, compared to the three months ended March 31, 2021, in which we resulted 237,729 tests in our laboratories, 170,784 of which were for COVID-19. This 27% increase in resulted volumes, excluding COVID-19 tests volumes, largely resulted from an increase in our oncology testing.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COVID-19 has had, and continues to have, an extensive impact on the global health and economic environments since the initial outbreak in March 2020.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test volumes have since improved, we continue to experience changes in the mix of tests due to the impact of COVID-19.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 and the economic impact on local, regional, national and international markets and supply chains. Therefore, COVID-19 could continue to have a material impact on our results of operations, cash flows, and financial condition for the foreseeable future.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Coronavirus Aid, Relief and Economic Security Act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(the “PRF”), and $2.8 million received under the Employee Retention Credit (the “ERC”). In 2021, we received an additional $5.6 million under the PRF.</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Funds provided under the PRF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funds received under the PRF distribution have been met. As a result, we recorded the funds received under the PRF in other income in the statements of operations and comprehensive loss during the periods in which we received the funds.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Funds provided under the ERC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funds received under the ERC and recorded the proceeds in other liabilities on the condensed consolidated balance sheets.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this time, we are not certain of the availability, extent or impact of any future relief provided under the CARES Act or other stimulus initiatives.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and our wholly-owned subsidiaries, Orion Merger Sub I, Inc., or Merger Sub I, and Orion Merger Sub II, LLC, or Merger Sub II, entered into an Agreement and Plan of Merger and Reorganization (which we refer to, as amended, as the “Merger Agreement”), with GeneDx, Inc., a New Jersey corporation, or GeneDx, and a wholly-owned subsidiary of OPKO Health, Inc., or OPKO, GeneDx Holding 2, Inc., or Holdco, and OPKO to acquire 100% of GeneDx (which we refer to as the “Acquisition”). Subject to the terms and conditions of the Merger Agreement, we agreed to pay consideration to OPKO for the Acquisition of (i) $150 million in cash at the closing of the Acquisition, subject to certain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adjustments as provided in the Merger Agreement, (ii) 80 million shares of our Class A common stock to be issued at the closing of the Acquisition and (iii) up to $150 million payable following the closing of the Acquisition, if certain revenue-based milestones are achieved for each of the fiscal years ending December 31, 2022 and December 31, 2023. These milestone payments, if and to the extent earned under the terms of the Merger Agreement, will be satisfied through the payment and/or issuance of a combination of cash and shares of our Class A common stock (valued at $4.86 per share), with such mix to be determined in our sole discretion.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closed on April 29, 2022. We expect to leverage the combined health information database of Sema4 and GeneDx to partner with additional health systems and biopharma companies to transform patient care and therapeutic development and enable precision medicine for all.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execution of the Merger Agreement, we entered into subscription agreements with certain institutional investors, pursuant to, and on the terms and subject to the conditions of which, these investors collectively subscribed for 50 million shares of our Class A common stock for an aggregate purchase price equal to $200 million (which we refer to as the “Acquisition PIPE Investment”). The Acquisition PIPE Investment was consummated substantially concurrently with the closing of the Acquisition.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 As discussed above, we discontinued COVID-19 testing services as of March 31, 2022 and no longer provide such testing services. </w:t>
      </w:r>
    </w:p>
    <w:p>
      <w:pPr>
        <w:pStyle w:val="TextBody"/>
        <w:spacing w:before="0" w:after="0"/>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when control of the promised goods or services is transferred to the customer in an amount that reflects the consideration which we expect to be entitled to in exchange for those goods or services. </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Diagnostic Test Revenue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generate revenue from performing diagnostic testing services for three groups of customers: healthcare professionals working with patients with third-party insurance coverage or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Other Revenue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providing diagnostic testing and related data aggregation reporting services under both short-term and long-term project-based collaboration and service agreements with third parties. The terms of these contracts generally include non-refundable upfront payments, which we record as contract liabilities, and variable payments based upon the achievement of certain milestones during the contract term.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pStyle w:val="TextBody"/>
        <w:spacing w:lineRule="auto" w:line="288" w:before="200" w:after="180"/>
        <w:rPr>
          <w:rFonts w:ascii="Times New Roman;sans-serif" w:hAnsi="Times New Roman;sans-serif"/>
          <w:b/>
          <w:i/>
          <w:color w:val="000000"/>
          <w:sz w:val="20"/>
        </w:rPr>
      </w:pPr>
      <w:r>
        <w:rPr>
          <w:rFonts w:ascii="Times New Roman;sans-serif" w:hAnsi="Times New Roman;sans-serif"/>
          <w:b/>
          <w:i/>
          <w:color w:val="000000"/>
          <w:sz w:val="20"/>
        </w:rPr>
        <w:t>Cost of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of services reflect the aggregate costs incurred in performing services. These costs include expenses for reagents and laboratory supplies, personnel-related expenses (comprising salaries and benefits) and stock-based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for employees directly involved in revenue generating activities, shipping and handling fees, costs of third-party reference lab testing and phlebotomy services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pStyle w:val="TextBody"/>
        <w:spacing w:before="0" w:after="0"/>
        <w:ind w:left="0" w:right="0" w:firstLine="360"/>
        <w:jc w:val="both"/>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Selling and Marketing Expenses</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expenses primarily consist of personnel-related expenses (comprising salaries, and benefits) and stock-based compensation for employees performing commercial sales, account management, marketing, and allocation of genetic counseling services related to medical education. Selling and marketing costs are expensed as incurred. </w:t>
      </w:r>
    </w:p>
    <w:p>
      <w:pPr>
        <w:pStyle w:val="TextBody"/>
        <w:spacing w:before="0" w:after="0"/>
        <w:ind w:left="0" w:right="0" w:firstLine="360"/>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Related Party Expenses</w:t>
      </w:r>
    </w:p>
    <w:p>
      <w:pPr>
        <w:pStyle w:val="TextBody"/>
        <w:spacing w:before="0" w:after="0"/>
        <w:ind w:left="0" w:right="0" w:firstLine="360"/>
        <w:rPr/>
      </w:pPr>
      <w:r>
        <w:rPr/>
      </w:r>
    </w:p>
    <w:p>
      <w:pPr>
        <w:pStyle w:val="TextBody"/>
        <w:spacing w:lineRule="auto" w:line="268"/>
        <w:ind w:left="0" w:right="0" w:firstLine="360"/>
        <w:jc w:val="both"/>
        <w:rPr/>
      </w:pPr>
      <w:r>
        <w:rPr>
          <w:rFonts w:ascii="Times New Roman;sans-serif" w:hAnsi="Times New Roman;sans-serif"/>
          <w:b w:val="false"/>
          <w:color w:val="000000"/>
          <w:sz w:val="20"/>
        </w:rPr>
        <w:t xml:space="preserve">Related party expenses consist of amounts due to ISMMS for expenses under our Transition Services Agreement, or TSA, with ISMMS which expired at the end of the first quarter of 2021, and other service agreements. Additional information can be found in the audited financial statements in Note 7, </w:t>
      </w:r>
      <w:r>
        <w:rPr>
          <w:color w:val="000000"/>
        </w:rPr>
        <w:t>“</w:t>
      </w:r>
      <w:r>
        <w:rPr>
          <w:rFonts w:ascii="Times New Roman;sans-serif" w:hAnsi="Times New Roman;sans-serif"/>
          <w:b w:val="false"/>
          <w:i/>
          <w:color w:val="000000"/>
          <w:sz w:val="20"/>
        </w:rPr>
        <w:t>Related Party Transactions”</w:t>
      </w:r>
      <w:r>
        <w:rPr>
          <w:color w:val="000000"/>
        </w:rPr>
        <w:t xml:space="preserve"> </w:t>
      </w:r>
      <w:r>
        <w:rPr>
          <w:rFonts w:ascii="Times New Roman;sans-serif" w:hAnsi="Times New Roman;sans-serif"/>
          <w:b w:val="false"/>
          <w:color w:val="000000"/>
          <w:sz w:val="20"/>
        </w:rPr>
        <w:t xml:space="preserve">included within our Annual Report on Form 10-K for the year ended December 31, 2021, and our unaudited condensed consolidated financial statements in Note 7, </w:t>
      </w:r>
      <w:r>
        <w:rPr>
          <w:color w:val="000000"/>
        </w:rPr>
        <w:t>“</w:t>
      </w:r>
      <w:r>
        <w:rPr>
          <w:rFonts w:ascii="Times New Roman;sans-serif" w:hAnsi="Times New Roman;sans-serif"/>
          <w:b w:val="false"/>
          <w:i/>
          <w:color w:val="000000"/>
          <w:sz w:val="20"/>
        </w:rPr>
        <w:t xml:space="preserve">Related Party Transactions” </w:t>
      </w:r>
      <w:r>
        <w:rPr>
          <w:rFonts w:ascii="Times New Roman;sans-serif" w:hAnsi="Times New Roman;sans-serif"/>
          <w:b w:val="false"/>
          <w:color w:val="000000"/>
          <w:sz w:val="20"/>
        </w:rPr>
        <w:t xml:space="preserve">included within this Quarterly Report.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related party expenses to decrease as we establish our own internal and external resources to fulfill the administrative and other services we have historically procured from ISMMS.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Interest Income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of interest earned on money market funds.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of interest costs related to our finance leases and our long-term debt arrangements, including unused line fee and the amortization of deferred transaction costs related to the loan and security agreement entered into with Silicon Valley Bank to provide a $125 million revolving credit facility described elsewhere in this report. No amounts have been drawn under the revolving credit facility as of March 31, 2022.</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Other Income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consists of funding received under the CARES Act. We recognized $5.6 million of additional funding received under the CARES Act during the first quarter of 2021 and the amount is included in other income for the three months ended March 31,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2022 and 2021</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 (in thousands):</w:t>
      </w:r>
    </w:p>
    <w:tbl>
      <w:tblPr>
        <w:tblW w:w="8753" w:type="dxa"/>
        <w:jc w:val="left"/>
        <w:tblInd w:w="0" w:type="dxa"/>
        <w:tblCellMar>
          <w:top w:w="28" w:type="dxa"/>
          <w:left w:w="28" w:type="dxa"/>
          <w:bottom w:w="28" w:type="dxa"/>
          <w:right w:w="28" w:type="dxa"/>
        </w:tblCellMar>
      </w:tblPr>
      <w:tblGrid>
        <w:gridCol w:w="2184"/>
        <w:gridCol w:w="1909"/>
        <w:gridCol w:w="1951"/>
        <w:gridCol w:w="211"/>
        <w:gridCol w:w="796"/>
        <w:gridCol w:w="109"/>
        <w:gridCol w:w="109"/>
        <w:gridCol w:w="109"/>
        <w:gridCol w:w="109"/>
        <w:gridCol w:w="211"/>
        <w:gridCol w:w="901"/>
        <w:gridCol w:w="154"/>
      </w:tblGrid>
      <w:tr>
        <w:trPr/>
        <w:tc>
          <w:tcPr>
            <w:tcW w:w="2184" w:type="dxa"/>
            <w:tcBorders/>
            <w:shd w:fill="auto" w:val="clear"/>
            <w:vAlign w:val="center"/>
          </w:tcPr>
          <w:p>
            <w:pPr>
              <w:pStyle w:val="TableContents"/>
              <w:spacing w:before="0" w:after="283"/>
              <w:rPr>
                <w:sz w:val="4"/>
                <w:szCs w:val="4"/>
              </w:rPr>
            </w:pPr>
            <w:r>
              <w:rPr>
                <w:sz w:val="4"/>
                <w:szCs w:val="4"/>
              </w:rPr>
            </w:r>
          </w:p>
        </w:tc>
        <w:tc>
          <w:tcPr>
            <w:tcW w:w="1909" w:type="dxa"/>
            <w:tcBorders/>
            <w:shd w:fill="auto" w:val="clear"/>
            <w:vAlign w:val="center"/>
          </w:tcPr>
          <w:p>
            <w:pPr>
              <w:pStyle w:val="TableContents"/>
              <w:spacing w:before="0" w:after="283"/>
              <w:rPr>
                <w:sz w:val="4"/>
                <w:szCs w:val="4"/>
              </w:rPr>
            </w:pPr>
            <w:r>
              <w:rPr>
                <w:sz w:val="4"/>
                <w:szCs w:val="4"/>
              </w:rPr>
            </w:r>
          </w:p>
        </w:tc>
        <w:tc>
          <w:tcPr>
            <w:tcW w:w="19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044" w:type="dxa"/>
            <w:gridSpan w:val="3"/>
            <w:tcBorders/>
            <w:shd w:fill="auto" w:val="clear"/>
            <w:tcMar>
              <w:top w:w="0" w:type="dxa"/>
              <w:left w:w="0" w:type="dxa"/>
              <w:bottom w:w="0" w:type="dxa"/>
              <w:right w:w="0" w:type="dxa"/>
            </w:tcMar>
            <w:vAlign w:val="center"/>
          </w:tcPr>
          <w:p>
            <w:pPr>
              <w:pStyle w:val="TableContents"/>
              <w:spacing w:before="53" w:after="30"/>
              <w:ind w:left="0" w:right="0" w:firstLine="360"/>
              <w:jc w:val="both"/>
              <w:rPr/>
            </w:pPr>
            <w:r>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(1)</w:t>
            </w:r>
          </w:p>
        </w:tc>
      </w:tr>
      <w:tr>
        <w:trPr/>
        <w:tc>
          <w:tcPr>
            <w:tcW w:w="6044" w:type="dxa"/>
            <w:gridSpan w:val="3"/>
            <w:tcBorders/>
            <w:shd w:fill="auto" w:val="clear"/>
            <w:tcMar>
              <w:top w:w="0" w:type="dxa"/>
              <w:left w:w="0" w:type="dxa"/>
              <w:bottom w:w="0" w:type="dxa"/>
              <w:right w:w="0" w:type="dxa"/>
            </w:tcMar>
            <w:vAlign w:val="center"/>
          </w:tcPr>
          <w:p>
            <w:pPr>
              <w:pStyle w:val="TableContents"/>
              <w:spacing w:before="53" w:after="30"/>
              <w:ind w:left="0" w:right="0" w:firstLine="360"/>
              <w:jc w:val="both"/>
              <w:rPr/>
            </w:pPr>
            <w:r>
              <w:rPr/>
            </w:r>
          </w:p>
        </w:tc>
        <w:tc>
          <w:tcPr>
            <w:tcW w:w="27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53" w:after="30"/>
              <w:ind w:left="0" w:right="0" w:firstLine="360"/>
              <w:jc w:val="both"/>
              <w:rPr/>
            </w:pPr>
            <w:r>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(1) 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Revenue</w:t>
      </w:r>
    </w:p>
    <w:tbl>
      <w:tblPr>
        <w:tblW w:w="6956" w:type="dxa"/>
        <w:jc w:val="left"/>
        <w:tblInd w:w="0" w:type="dxa"/>
        <w:tblCellMar>
          <w:top w:w="28" w:type="dxa"/>
          <w:left w:w="28" w:type="dxa"/>
          <w:bottom w:w="28" w:type="dxa"/>
          <w:right w:w="28" w:type="dxa"/>
        </w:tblCellMar>
      </w:tblPr>
      <w:tblGrid>
        <w:gridCol w:w="733"/>
        <w:gridCol w:w="644"/>
        <w:gridCol w:w="648"/>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733"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decreased by $10.3 million, or 16%, to $53.9 million for the three months ended March 31, 2022, from $64.2 million for the three months ended March 31, 2021.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Diagnostic test revenue decreased by $10.3 million, or 16%, to $52.5 million for the three months ended March 31, 2022, from $62.8 million for the three months ended March 31, 2021. The decrease was primarily attributable to a decrease in COVID-19 test volumes of 61%. Lower demand and the absence of new contracts during the three months ended March 31, 2022, a result of the decision to discontinue COVID-19 testing services at the end of the first quarter of 2022, were the key contributors for the decline in COVID-19 revenue. This was partially offset by oncology testing volumes, which increased by 159%. Women’s health testing volume, including carrier screening and NIPT testing, increased by 23%, which was partially offset by a lower average selling price.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increased by a nominal amount for the three months ended March 31, 2022, from the three months ended March 31, 2021.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Cost of Services</w:t>
      </w:r>
    </w:p>
    <w:tbl>
      <w:tblPr>
        <w:tblW w:w="6325" w:type="dxa"/>
        <w:jc w:val="left"/>
        <w:tblInd w:w="0" w:type="dxa"/>
        <w:tblCellMar>
          <w:top w:w="28" w:type="dxa"/>
          <w:left w:w="28" w:type="dxa"/>
          <w:bottom w:w="28" w:type="dxa"/>
          <w:right w:w="28" w:type="dxa"/>
        </w:tblCellMar>
      </w:tblPr>
      <w:tblGrid>
        <w:gridCol w:w="504"/>
        <w:gridCol w:w="444"/>
        <w:gridCol w:w="446"/>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decreased by $20.2 million, or 29%, to $48.3 million for the three months ended March 31, 2022, from $68.5 million for the three months ended March 31, 2021. The decrease was primarily driven by the following components: a $17.1 million decrease in stock-based compensation expense due to the higher expense recorded in the first quarter of 2021 as a result of the increased fair value of the awards and related expenses recorded in the first quarter of 2021 under liability accounting; a $1.8 million decrease in the inventory obsolescence write-off as a result of discontinuing COVID-19 testing; and a $1.3 million decrease in overall personnel-related expenses driven by reallocation of certain costs between departments during the fourth quarter of 2021 as a result of a change in estimate.</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7240" w:type="dxa"/>
        <w:jc w:val="left"/>
        <w:tblInd w:w="0" w:type="dxa"/>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decreased by $31.8 million, or 60%, to $21.3 million for the three months ended March 31, 2022, from $53.1 million for the three months ended March 31, 2021. The decrease was primarily attributable to a $33.8 million decrease in stock-based compensation expense due to the higher expense recorded in the first quarter of 2021 as a result of the increased fair value of the awards and related expenses recorded in the first quarter of 2021 under liability accounting and a decrease in cost incurred for reagents and laboratory supplies and laboratory software of $1.6 million for research and development activities. These decreases were offset by a $2.6 million increase in other personnel-related expenses driven by headcount and a $0.6 million increase in depreciation expense.</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Selling and Marketing</w:t>
      </w:r>
    </w:p>
    <w:tbl>
      <w:tblPr>
        <w:tblW w:w="6746" w:type="dxa"/>
        <w:jc w:val="left"/>
        <w:tblInd w:w="0" w:type="dxa"/>
        <w:tblCellMar>
          <w:top w:w="28" w:type="dxa"/>
          <w:left w:w="28" w:type="dxa"/>
          <w:bottom w:w="28" w:type="dxa"/>
          <w:right w:w="28" w:type="dxa"/>
        </w:tblCellMar>
      </w:tblPr>
      <w:tblGrid>
        <w:gridCol w:w="694"/>
        <w:gridCol w:w="611"/>
        <w:gridCol w:w="615"/>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8"/>
        <w:gridCol w:w="218"/>
        <w:gridCol w:w="316"/>
      </w:tblGrid>
      <w:tr>
        <w:trPr/>
        <w:tc>
          <w:tcPr>
            <w:tcW w:w="69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 decreased by $5.8 million, or 16%, to $29.5 million for the three months ended March 31, 2022, from $35.4 million for the three months ended March 31, 2021. The decrease was primarily attributable to a $15.8 million decrease in stock-based compensation expense due to the higher expense recorded in the first quarter of 2021 as a result of the increased fair value of the awards and related expenses recorded in the first quarter of 2021 under liability accounting. This decrease was partially offset by a $5.9 million increase in other personnel-related expenses driven by an increase in headcount, a $1.3 million increase in consulting service expenses to support revenue cycle transformation initiatives and a $1.2 million increase in travel and business expenses due to the lifting of COVID-19 travel restrictions. Additionally, there was an increase of $0.6 million in other lab services for genetic counseling related to medical education, and an increase of $0.5 million in information technology-related expenses.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345" w:type="dxa"/>
        <w:jc w:val="left"/>
        <w:tblInd w:w="0" w:type="dxa"/>
        <w:tblCellMar>
          <w:top w:w="28" w:type="dxa"/>
          <w:left w:w="28" w:type="dxa"/>
          <w:bottom w:w="28" w:type="dxa"/>
          <w:right w:w="28" w:type="dxa"/>
        </w:tblCellMar>
      </w:tblPr>
      <w:tblGrid>
        <w:gridCol w:w="837"/>
        <w:gridCol w:w="735"/>
        <w:gridCol w:w="737"/>
        <w:gridCol w:w="211"/>
        <w:gridCol w:w="721"/>
        <w:gridCol w:w="109"/>
        <w:gridCol w:w="109"/>
        <w:gridCol w:w="109"/>
        <w:gridCol w:w="109"/>
        <w:gridCol w:w="211"/>
        <w:gridCol w:w="826"/>
        <w:gridCol w:w="109"/>
        <w:gridCol w:w="109"/>
        <w:gridCol w:w="109"/>
        <w:gridCol w:w="109"/>
        <w:gridCol w:w="211"/>
        <w:gridCol w:w="796"/>
        <w:gridCol w:w="109"/>
        <w:gridCol w:w="109"/>
        <w:gridCol w:w="109"/>
        <w:gridCol w:w="109"/>
        <w:gridCol w:w="218"/>
        <w:gridCol w:w="218"/>
        <w:gridCol w:w="316"/>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by $59.2 million, or 58%, to $42.8 million for the three months ended March 31, 2022, from $102.0 million for the three months ended March 31, 2021. The decrease was primarily attributable to a $80.6 million decrease in stock-based compensation expense due to the higher expense recorded in the first quarter of 2021 as a result of the increased fair value of the awards and related expenses recorded in the first quarter of 2021 under liability accounting. This was partially offset by an increase in expenses of $6.5 million for professional services incurred in connection with the Acquisition that are not capitalized, an increase in personnel-related costs of $10.0 million driven by an increase in headcount, a $2.4 million increase in information technology related expenses due to increased cloud storage requirements, a $1.7 million increase in insurance expenses driven by the commencement of director’s insurance policy, and a $0.5 million increase due to reallocation of certain costs between departments during the fourth quarter of 2021 as a result of a change in estimate.</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Related Party Expenses</w:t>
      </w:r>
    </w:p>
    <w:tbl>
      <w:tblPr>
        <w:tblW w:w="6611" w:type="dxa"/>
        <w:jc w:val="left"/>
        <w:tblInd w:w="0" w:type="dxa"/>
        <w:tblCellMar>
          <w:top w:w="28" w:type="dxa"/>
          <w:left w:w="28" w:type="dxa"/>
          <w:bottom w:w="28" w:type="dxa"/>
          <w:right w:w="28" w:type="dxa"/>
        </w:tblCellMar>
      </w:tblPr>
      <w:tblGrid>
        <w:gridCol w:w="722"/>
        <w:gridCol w:w="634"/>
        <w:gridCol w:w="638"/>
        <w:gridCol w:w="226"/>
        <w:gridCol w:w="659"/>
        <w:gridCol w:w="116"/>
        <w:gridCol w:w="116"/>
        <w:gridCol w:w="116"/>
        <w:gridCol w:w="116"/>
        <w:gridCol w:w="226"/>
        <w:gridCol w:w="659"/>
        <w:gridCol w:w="116"/>
        <w:gridCol w:w="109"/>
        <w:gridCol w:w="109"/>
        <w:gridCol w:w="109"/>
        <w:gridCol w:w="211"/>
        <w:gridCol w:w="541"/>
        <w:gridCol w:w="109"/>
        <w:gridCol w:w="109"/>
        <w:gridCol w:w="109"/>
        <w:gridCol w:w="109"/>
        <w:gridCol w:w="218"/>
        <w:gridCol w:w="218"/>
        <w:gridCol w:w="316"/>
      </w:tblGrid>
      <w:tr>
        <w:trPr/>
        <w:tc>
          <w:tcPr>
            <w:tcW w:w="722"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party expenses decreased by $0.5 million, or 29%, to $1.3 million for the three months ended March 31, 2022, from $1.8 million for the three months ended March 31, 2021. The decrease was primarily attributable to the discontinued fees related to information technology support pursuant to the TSA with ISMMS as a result of the termination of the agreement after the first quarter of 2021 and a decrease in rent and facility expenses driven by a reduction of office and lab space leased from ISMMS pursuant to the TSA.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Interest Income</w:t>
      </w:r>
    </w:p>
    <w:tbl>
      <w:tblPr>
        <w:tblW w:w="5625" w:type="dxa"/>
        <w:jc w:val="left"/>
        <w:tblInd w:w="0" w:type="dxa"/>
        <w:tblCellMar>
          <w:top w:w="28" w:type="dxa"/>
          <w:left w:w="28" w:type="dxa"/>
          <w:bottom w:w="28" w:type="dxa"/>
          <w:right w:w="28" w:type="dxa"/>
        </w:tblCellMar>
      </w:tblPr>
      <w:tblGrid>
        <w:gridCol w:w="494"/>
        <w:gridCol w:w="433"/>
        <w:gridCol w:w="437"/>
        <w:gridCol w:w="294"/>
        <w:gridCol w:w="503"/>
        <w:gridCol w:w="152"/>
        <w:gridCol w:w="152"/>
        <w:gridCol w:w="152"/>
        <w:gridCol w:w="152"/>
        <w:gridCol w:w="294"/>
        <w:gridCol w:w="503"/>
        <w:gridCol w:w="152"/>
        <w:gridCol w:w="109"/>
        <w:gridCol w:w="109"/>
        <w:gridCol w:w="109"/>
        <w:gridCol w:w="211"/>
        <w:gridCol w:w="256"/>
        <w:gridCol w:w="109"/>
        <w:gridCol w:w="109"/>
        <w:gridCol w:w="109"/>
        <w:gridCol w:w="109"/>
        <w:gridCol w:w="180"/>
        <w:gridCol w:w="181"/>
        <w:gridCol w:w="316"/>
      </w:tblGrid>
      <w:tr>
        <w:trPr/>
        <w:tc>
          <w:tcPr>
            <w:tcW w:w="49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a nominal amount for the three months ended March 31, 2022 from the three months ended March 31, 2021.</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Interest Expense</w:t>
      </w:r>
    </w:p>
    <w:tbl>
      <w:tblPr>
        <w:tblW w:w="5864" w:type="dxa"/>
        <w:jc w:val="left"/>
        <w:tblInd w:w="0" w:type="dxa"/>
        <w:tblCellMar>
          <w:top w:w="28" w:type="dxa"/>
          <w:left w:w="28" w:type="dxa"/>
          <w:bottom w:w="28" w:type="dxa"/>
          <w:right w:w="28" w:type="dxa"/>
        </w:tblCellMar>
      </w:tblPr>
      <w:tblGrid>
        <w:gridCol w:w="516"/>
        <w:gridCol w:w="452"/>
        <w:gridCol w:w="456"/>
        <w:gridCol w:w="242"/>
        <w:gridCol w:w="622"/>
        <w:gridCol w:w="125"/>
        <w:gridCol w:w="125"/>
        <w:gridCol w:w="125"/>
        <w:gridCol w:w="125"/>
        <w:gridCol w:w="242"/>
        <w:gridCol w:w="622"/>
        <w:gridCol w:w="125"/>
        <w:gridCol w:w="109"/>
        <w:gridCol w:w="109"/>
        <w:gridCol w:w="109"/>
        <w:gridCol w:w="211"/>
        <w:gridCol w:w="436"/>
        <w:gridCol w:w="109"/>
        <w:gridCol w:w="109"/>
        <w:gridCol w:w="109"/>
        <w:gridCol w:w="109"/>
        <w:gridCol w:w="180"/>
        <w:gridCol w:w="181"/>
        <w:gridCol w:w="316"/>
      </w:tblGrid>
      <w:tr>
        <w:trPr/>
        <w:tc>
          <w:tcPr>
            <w:tcW w:w="51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$0.1 million, or 12%, to $0.8 million for the three months ended March 31, 2022, from $0.7 million for the three months ended March 31, 2021. The increase was driven by the unused line fee and amortization of deferred transaction costs related to the loan and security agreement entered into with Silicon Valley Bank at the end of 2021.</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Other Income </w:t>
      </w:r>
    </w:p>
    <w:tbl>
      <w:tblPr>
        <w:tblW w:w="6088" w:type="dxa"/>
        <w:jc w:val="left"/>
        <w:tblInd w:w="0" w:type="dxa"/>
        <w:tblCellMar>
          <w:top w:w="28" w:type="dxa"/>
          <w:left w:w="28" w:type="dxa"/>
          <w:bottom w:w="28" w:type="dxa"/>
          <w:right w:w="28" w:type="dxa"/>
        </w:tblCellMar>
      </w:tblPr>
      <w:tblGrid>
        <w:gridCol w:w="440"/>
        <w:gridCol w:w="386"/>
        <w:gridCol w:w="389"/>
        <w:gridCol w:w="249"/>
        <w:gridCol w:w="480"/>
        <w:gridCol w:w="129"/>
        <w:gridCol w:w="129"/>
        <w:gridCol w:w="129"/>
        <w:gridCol w:w="129"/>
        <w:gridCol w:w="249"/>
        <w:gridCol w:w="729"/>
        <w:gridCol w:w="129"/>
        <w:gridCol w:w="109"/>
        <w:gridCol w:w="109"/>
        <w:gridCol w:w="109"/>
        <w:gridCol w:w="211"/>
        <w:gridCol w:w="691"/>
        <w:gridCol w:w="109"/>
        <w:gridCol w:w="109"/>
        <w:gridCol w:w="109"/>
        <w:gridCol w:w="109"/>
        <w:gridCol w:w="269"/>
        <w:gridCol w:w="271"/>
        <w:gridCol w:w="316"/>
      </w:tblGrid>
      <w:tr>
        <w:trPr/>
        <w:tc>
          <w:tcPr>
            <w:tcW w:w="44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21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200" w:after="283"/>
        <w:jc w:val="both"/>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decreased by $5.6 million, to zero for the three months ended March 31, 2022, from $5.6 million for the three months ended March 31, 2021. This was attributable to the $5.6 million in funding that was received and recognized as other income under the CARES Act in the first quarter of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Reconciliation of Non-GAAP Financial Measures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all expenditures or future requirements for capital expenditures or contractual commitments;</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our working capital needs;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provision for income taxes, which may be a necessary element of our costs and ability to operate;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costs of replacing the assets being depreciated, which will often have to be replaced in the future;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non-cash component of employee compensation expense;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impact of earnings or charges resulting from matters we consider not to be reflective, on a recurring basis, of our ongoing operations.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Adjusted Gross Profit and Adjusted Gross Margin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Gross Profit is a non-GAAP financial measure that we define as revenue less cost of services, excluding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revenue to our Adjusted Gross Profit and Adjusted Gross Margin for the three months ended March 31, 2022 and 2021:</w:t>
      </w:r>
    </w:p>
    <w:tbl>
      <w:tblPr>
        <w:tblW w:w="5560" w:type="dxa"/>
        <w:jc w:val="left"/>
        <w:tblInd w:w="0" w:type="dxa"/>
        <w:tblCellMar>
          <w:top w:w="28" w:type="dxa"/>
          <w:left w:w="28" w:type="dxa"/>
          <w:bottom w:w="28" w:type="dxa"/>
          <w:right w:w="28" w:type="dxa"/>
        </w:tblCellMar>
      </w:tblPr>
      <w:tblGrid>
        <w:gridCol w:w="1085"/>
        <w:gridCol w:w="956"/>
        <w:gridCol w:w="959"/>
        <w:gridCol w:w="415"/>
        <w:gridCol w:w="255"/>
        <w:gridCol w:w="255"/>
        <w:gridCol w:w="255"/>
        <w:gridCol w:w="255"/>
        <w:gridCol w:w="255"/>
        <w:gridCol w:w="255"/>
        <w:gridCol w:w="255"/>
        <w:gridCol w:w="360"/>
      </w:tblGrid>
      <w:tr>
        <w:trPr/>
        <w:tc>
          <w:tcPr>
            <w:tcW w:w="1085"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9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$53,941</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$64,201</w:t>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48,316</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68,524</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color w:val="000000"/>
                <w:sz w:val="20"/>
              </w:rPr>
              <w:t>Gross Profit (Loss)</w:t>
            </w:r>
            <w:r>
              <w:rPr>
                <w:color w:val="000000"/>
              </w:rPr>
              <w:t xml:space="preserve"> </w:t>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5,625</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(4,323)</w:t>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18,475</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Restructuring costs</w:t>
            </w:r>
            <w:r>
              <w:rPr>
                <w:color w:val="000000"/>
              </w:rPr>
              <w:t xml:space="preserve"> </w:t>
            </w:r>
            <w:r>
              <w:rPr>
                <w:rFonts w:ascii="Times New Roman;sans-serif" w:hAnsi="Times New Roman;sans-serif"/>
                <w:b w:val="false"/>
                <w:color w:val="000000"/>
                <w:sz w:val="13"/>
              </w:rPr>
              <w:t>(1)</w:t>
            </w:r>
          </w:p>
        </w:tc>
        <w:tc>
          <w:tcPr>
            <w:tcW w:w="9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color w:val="000000"/>
                <w:sz w:val="20"/>
              </w:rPr>
              <w:t>Adjusted Gross Profit</w:t>
            </w:r>
            <w:r>
              <w:rPr>
                <w:color w:val="000000"/>
              </w:rPr>
              <w:t xml:space="preserve"> </w:t>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$7,112</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$14,152</w:t>
            </w:r>
          </w:p>
        </w:tc>
      </w:tr>
      <w:tr>
        <w:trPr/>
        <w:tc>
          <w:tcPr>
            <w:tcW w:w="3000" w:type="dxa"/>
            <w:gridSpan w:val="3"/>
            <w:tcBorders/>
            <w:shd w:fill="BFE4FF" w:val="clear"/>
            <w:tcMar>
              <w:top w:w="0" w:type="dxa"/>
              <w:left w:w="0" w:type="dxa"/>
              <w:bottom w:w="0" w:type="dxa"/>
              <w:right w:w="0" w:type="dxa"/>
            </w:tcMar>
            <w:vAlign w:val="center"/>
          </w:tcPr>
          <w:p>
            <w:pPr>
              <w:pStyle w:val="TableContents"/>
              <w:spacing w:lineRule="auto" w:line="288" w:before="53" w:after="30"/>
              <w:jc w:val="both"/>
              <w:rPr/>
            </w:pPr>
            <w:r>
              <w:rPr>
                <w:rFonts w:ascii="Times New Roman;sans-serif" w:hAnsi="Times New Roman;sans-serif"/>
                <w:b/>
                <w:color w:val="000000"/>
                <w:sz w:val="20"/>
                <w:highlight w:val="cyan"/>
              </w:rPr>
              <w:t>Adjusted Gross Margin</w:t>
            </w:r>
            <w:r>
              <w:rPr>
                <w:color w:val="000000"/>
                <w:highlight w:val="cyan"/>
              </w:rPr>
              <w:t xml:space="preserve"> </w:t>
            </w:r>
          </w:p>
        </w:tc>
        <w:tc>
          <w:tcPr>
            <w:tcW w:w="925"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22%</w:t>
            </w:r>
          </w:p>
        </w:tc>
      </w:tr>
    </w:tbl>
    <w:p>
      <w:pPr>
        <w:pStyle w:val="TextBody"/>
        <w:spacing w:lineRule="auto" w:line="288" w:before="20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(1)Represents costs incurred for restructuring activities, which include severance packages offered to impacted employees and third party consulting costs incurred in the first quarter of 2022.</w: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spacing w:before="0" w:after="0"/>
        <w:ind w:left="0" w:right="0" w:firstLine="360"/>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non-GAAP financial measure that we define as net loss adjusted for interest expense, net, depreciation and amortization, stock-based compensation expenses, transaction and acquisition costs, restructuring costs, change in fair market value of warrant and earn-out contingent liabilities and other income. We believe Adjusted EBITDA is useful in evaluating our operating performance compared to that of other companies in our industry, as this metric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generally eliminates the effects of certain factors that may vary from company to company for reasons unrelated to overall operating performance.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our net loss to Adjusted EBITDA for the three months ended March 31, 2022 and 2021:</w:t>
      </w:r>
    </w:p>
    <w:tbl>
      <w:tblPr>
        <w:tblW w:w="9301" w:type="dxa"/>
        <w:jc w:val="left"/>
        <w:tblInd w:w="0" w:type="dxa"/>
        <w:tblCellMar>
          <w:top w:w="28" w:type="dxa"/>
          <w:left w:w="28" w:type="dxa"/>
          <w:bottom w:w="28" w:type="dxa"/>
          <w:right w:w="28" w:type="dxa"/>
        </w:tblCellMar>
      </w:tblPr>
      <w:tblGrid>
        <w:gridCol w:w="2266"/>
        <w:gridCol w:w="1975"/>
        <w:gridCol w:w="2014"/>
        <w:gridCol w:w="211"/>
        <w:gridCol w:w="796"/>
        <w:gridCol w:w="109"/>
        <w:gridCol w:w="109"/>
        <w:gridCol w:w="109"/>
        <w:gridCol w:w="109"/>
        <w:gridCol w:w="211"/>
        <w:gridCol w:w="901"/>
        <w:gridCol w:w="491"/>
      </w:tblGrid>
      <w:tr>
        <w:trPr/>
        <w:tc>
          <w:tcPr>
            <w:tcW w:w="2266" w:type="dxa"/>
            <w:tcBorders/>
            <w:shd w:fill="auto" w:val="clear"/>
            <w:vAlign w:val="center"/>
          </w:tcPr>
          <w:p>
            <w:pPr>
              <w:pStyle w:val="TableContents"/>
              <w:spacing w:before="0" w:after="283"/>
              <w:rPr>
                <w:sz w:val="4"/>
                <w:szCs w:val="4"/>
              </w:rPr>
            </w:pPr>
            <w:r>
              <w:rPr>
                <w:sz w:val="4"/>
                <w:szCs w:val="4"/>
              </w:rPr>
            </w:r>
          </w:p>
        </w:tc>
        <w:tc>
          <w:tcPr>
            <w:tcW w:w="1975" w:type="dxa"/>
            <w:tcBorders/>
            <w:shd w:fill="auto" w:val="clear"/>
            <w:vAlign w:val="center"/>
          </w:tcPr>
          <w:p>
            <w:pPr>
              <w:pStyle w:val="TableContents"/>
              <w:spacing w:before="0" w:after="283"/>
              <w:rPr>
                <w:sz w:val="4"/>
                <w:szCs w:val="4"/>
              </w:rPr>
            </w:pPr>
            <w:r>
              <w:rPr>
                <w:sz w:val="4"/>
                <w:szCs w:val="4"/>
              </w:rPr>
            </w:r>
          </w:p>
        </w:tc>
        <w:tc>
          <w:tcPr>
            <w:tcW w:w="20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Interest expense, net </w:t>
            </w:r>
            <w:r>
              <w:rPr>
                <w:rFonts w:ascii="Times New Roman;sans-serif" w:hAnsi="Times New Roman;sans-serif"/>
                <w:b w:val="false"/>
                <w:color w:val="000000"/>
                <w:sz w:val="13"/>
              </w:rPr>
              <w:t>(1)</w:t>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164,962 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Transaction and acquisition costs </w:t>
            </w:r>
            <w:r>
              <w:rPr>
                <w:rFonts w:ascii="Times New Roman;sans-serif" w:hAnsi="Times New Roman;sans-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Restructuring costs</w:t>
            </w:r>
            <w:r>
              <w:rPr>
                <w:color w:val="000000"/>
              </w:rPr>
              <w:t xml:space="preserve"> </w:t>
            </w:r>
            <w:r>
              <w:rPr>
                <w:rFonts w:ascii="Times New Roman;sans-serif" w:hAnsi="Times New Roman;sans-serif"/>
                <w:b w:val="false"/>
                <w:color w:val="000000"/>
                <w:sz w:val="13"/>
              </w:rPr>
              <w:t>(3)</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Change in fair market value of warrant and earn-out contingent liabilities </w:t>
            </w:r>
            <w:r>
              <w:rPr>
                <w:rFonts w:ascii="Times New Roman;sans-serif" w:hAnsi="Times New Roman;sans-serif"/>
                <w:b w:val="false"/>
                <w:color w:val="000000"/>
                <w:sz w:val="13"/>
              </w:rPr>
              <w:t>(4)</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income </w:t>
            </w:r>
            <w:r>
              <w:rPr>
                <w:rFonts w:ascii="Times New Roman;sans-serif" w:hAnsi="Times New Roman;sans-serif"/>
                <w:b w:val="false"/>
                <w:color w:val="000000"/>
                <w:sz w:val="13"/>
              </w:rPr>
              <w:t>(5)</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w:t>
            </w:r>
          </w:p>
        </w:tc>
        <w:tc>
          <w:tcPr>
            <w:tcW w:w="491" w:type="dxa"/>
            <w:tcBorders/>
            <w:shd w:fill="FFFFFF" w:val="clear"/>
            <w:tcMar>
              <w:top w:w="0" w:type="dxa"/>
              <w:left w:w="0" w:type="dxa"/>
              <w:bottom w:w="0" w:type="dxa"/>
              <w:right w:w="0" w:type="dxa"/>
            </w:tcMar>
            <w:vAlign w:val="center"/>
          </w:tcPr>
          <w:p>
            <w:pPr>
              <w:pStyle w:val="TableContents"/>
              <w:spacing w:before="0" w:after="283"/>
              <w:ind w:left="0" w:right="0" w:firstLine="360"/>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(24,839)</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(1)Represents the total of interest expense related to our finance leases and interest-bearing loans and interest income on money market funds. This also includes the unused line fee and amortization of deferred transaction costs related to the loan and security agreement entered into with Silicon Valley Bank.</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(2)Represents professional service costs incurred in connection with pursuing the business combination transaction that did not meet the requirement for capitalization in 2021. For the first quarter of 2022, this represents professional service costs incurred in connection with the Acquisition transaction, which include due diligence and legal costs.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(3)Represents costs incurred for restructuring activities, which include severance packages offered to impacted employees and third party consulting costs incurred in the first quarter of 2022.</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(4)Represents the change in fair market value of the liabilities associated with our public warrants and private placement warrants and the earn-out shares issuable under the terms of the merger agreement related to our business combination with CMLS.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(5)For the three months ended March 31, 2021, primarily consists of funding received under the CARES Act Provider Relief Fund.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2021, we completed the business combination with CMLS, consummated the related private placement financing, and received net cash proceeds of $510 million. Management determined that the cash proceeds received from the business combination provides us with sufficient liquidity to meet our obligations for at least twelve months from the date of this Quarterly Report. </w:t>
      </w:r>
    </w:p>
    <w:p>
      <w:pPr>
        <w:pStyle w:val="TextBody"/>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15, 2021, we entered into a loan and security agreement, or the SVB Agreement, with Silicon Valley Bank, or SVB, whereby SVB agreed to provide a $125 million revolving credit facility with a maturity date of November 15, 2024. No amounts were drawn as of December 31, 2021. Advances under the SVB Agreement will bear interest at a floating rate per annum equal to the greater of (1) 4.00% and (2) the prime rate plus an applicable margin.</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upon the closing of the Acquisition of GeneDx on April 29, 2022, we received gross proceeds of $200 million from the issuance of 50 million shares of our Class A common stock pursuant to the Acquisition PIPE Investment. The gross proceeds were partially used to pay for the cash consideration of the Acquisition and transaction costs incurred in connection with the Acquisition. </w:t>
      </w:r>
    </w:p>
    <w:p>
      <w:pPr>
        <w:pStyle w:val="TextBody"/>
        <w:spacing w:before="0" w:after="0"/>
        <w:ind w:left="0" w:right="0" w:firstLine="36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Accordingly, the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Material Cash Requirements for Known Contractual Obligations and Commitments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The following is a description of commitments for known and reasonably likely cash requirements as of March 31, 2022 and December 31, 2021. We anticipate fulfilling such commitments with our existing cash and cash equivalents, which amounted to $315.0 million and $400.6 million as of March 31, 2022 and December 31, 2021, respectively, or through additional capital raised to finance our operations; see </w:t>
      </w:r>
      <w:r>
        <w:rPr>
          <w:rFonts w:ascii="Times New Roman;sans-serif" w:hAnsi="Times New Roman;sans-serif"/>
          <w:b w:val="false"/>
          <w:i/>
          <w:color w:val="000000"/>
          <w:sz w:val="20"/>
        </w:rPr>
        <w:t>"Liquidity and Capital Resources"</w:t>
      </w:r>
      <w:r>
        <w:rPr>
          <w:rFonts w:ascii="Times New Roman;sans-serif" w:hAnsi="Times New Roman;sans-serif"/>
          <w:b w:val="false"/>
          <w:color w:val="000000"/>
          <w:sz w:val="20"/>
        </w:rPr>
        <w:t>.</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200" w:after="283"/>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Our future minimum payments under non-cancellable operating lease agreements were $74.3 million as of March 31, 2022 and $68.3 million as of December 31, 2021. The timing of these future payments, by year, can be found in our audited financial statements in Note 9, </w:t>
      </w:r>
      <w:r>
        <w:rPr>
          <w:color w:val="000000"/>
        </w:rPr>
        <w:t>“</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 xml:space="preserve">included within our Annual Report on Form 10-K for the year ended December 31, 2021, and our unaudited condensed consolidated financial statements in Note 9, </w:t>
      </w:r>
      <w:r>
        <w:rPr>
          <w:color w:val="000000"/>
        </w:rPr>
        <w:t>“</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included within this Quarterly Report, respectively.</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Our future payments under finance leases were $64.5 million as of March 31, 2022. The timing of these future payments, by year, can be found in our audited financial statements in Note 9, </w:t>
      </w:r>
      <w:r>
        <w:rPr>
          <w:color w:val="000000"/>
        </w:rPr>
        <w:t>“</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 xml:space="preserve">included within our Annual Report on Form 10-K for the year ended December 31, 2021, and our unaudited condensed consolidated financial statements in Note 9, </w:t>
      </w:r>
      <w:r>
        <w:rPr>
          <w:color w:val="000000"/>
        </w:rPr>
        <w:t>“</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included within this Quarterly Report,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Cash Flows</w:t>
      </w:r>
    </w:p>
    <w:tbl>
      <w:tblPr>
        <w:tblW w:w="5664" w:type="dxa"/>
        <w:jc w:val="left"/>
        <w:tblInd w:w="0" w:type="dxa"/>
        <w:tblCellMar>
          <w:top w:w="28" w:type="dxa"/>
          <w:left w:w="28" w:type="dxa"/>
          <w:bottom w:w="28" w:type="dxa"/>
          <w:right w:w="28" w:type="dxa"/>
        </w:tblCellMar>
      </w:tblPr>
      <w:tblGrid>
        <w:gridCol w:w="1107"/>
        <w:gridCol w:w="975"/>
        <w:gridCol w:w="978"/>
        <w:gridCol w:w="211"/>
        <w:gridCol w:w="796"/>
        <w:gridCol w:w="109"/>
        <w:gridCol w:w="109"/>
        <w:gridCol w:w="109"/>
        <w:gridCol w:w="109"/>
        <w:gridCol w:w="211"/>
        <w:gridCol w:w="796"/>
        <w:gridCol w:w="154"/>
      </w:tblGrid>
      <w:tr>
        <w:trPr/>
        <w:tc>
          <w:tcPr>
            <w:tcW w:w="1107"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three months ended March 31, 2022 was $81.5 million, which was primarily attributable to a net loss of $76.9 million and a change in fair value of the warrant and earn-out liabilities of $13.2 million, partially offset by non-cash depreciation and amortization of $5.8 million and non-cash stock-based compensation expense of $17.6 million. The net change in our operating assets and liabilities primarily reflected a $11.1 million increase in accounts receivable primarily from institutional payors, a $2.9 million increase in inventories driven by an increase in reagents, a $1.6 million increase in prepaid expenses and other current assets mainly driven by new insurance policy premiums purchased during the current period, a $3.9 million increase in accounts payable and accrued expenses due to the timing of vendor payments, and a $6.6 million decrease in other current liabilities mainly driven by the decrease in employee payroll and compensation related accruals.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three months ended March 31, 2021 was $42.2 million, which was primarily attributable to a net loss of $191.8 million and a net change in our operating assets and liabilities of $22.3 million, partially offset by non-cash depreciation and amortization of $4.9 million and non-cash stock-based compensation expense of $165.0 million. The net change in our operating assets and liabilities primarily reflected an $9.8 million increase in inventories driven by a higher volume of purchases to support increasing testing volumes, a $6.3 million increase in prepaid expenses and other current assets mainly driven by professional services costs directly related to our business combination with CMLS, a $4.0 million increase in accounts payable and accrued expenses due to the timing of vendor payments, and a $9.1 million decrease in other current liabilities mainly driven by a decline in our bonus accrual following bonus payments in March 2021.</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three months ended March 31, 2022 was $3.9 million, which was attributable to $1.4 million in purchases of property and equipment and $2.5 million of costs related to development of internal-use software assets.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during the three months ended March 31, 2021 was $5.0 million, which was attributable to $2.1 million in purchases of property and equipment and $2.9 million of costs related to development of internal-use software assets.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three months ended March 31, 2022 was $0.2 million, which was attributable to $0.9 million of finance lease principal payments which was offset by proceeds of $0.7 million from the exercise of stock options.</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three months ended March 31, 2021 was $2.3 million, which was attributable to $1.3 million in payments for deferred transaction costs related to our business combination with CMLS, $1.0 million in principal payments on our finance lease obligations and $0.4 million in principal payments on our long-term debt obligations existed during the period, offset by $0.4 million cash received from stock option exercise.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unaudited condensed consolidated financial statements, which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Except as described in Note 2, </w:t>
      </w:r>
      <w:r>
        <w:rPr>
          <w:color w:val="000000"/>
        </w:rPr>
        <w:t>“</w:t>
      </w:r>
      <w:r>
        <w:rPr>
          <w:rFonts w:ascii="Times New Roman;sans-serif" w:hAnsi="Times New Roman;sans-serif"/>
          <w:b w:val="false"/>
          <w:i/>
          <w:color w:val="000000"/>
          <w:sz w:val="20"/>
        </w:rPr>
        <w:t>Summary of Significant Accounting Policies–Recent Accounting Pronouncement Issued but Not Yet Adopted,”</w:t>
      </w:r>
      <w:r>
        <w:rPr>
          <w:color w:val="000000"/>
        </w:rPr>
        <w:t xml:space="preserve"> </w:t>
      </w:r>
      <w:r>
        <w:rPr>
          <w:rFonts w:ascii="Times New Roman;sans-serif" w:hAnsi="Times New Roman;sans-serif"/>
          <w:b w:val="false"/>
          <w:color w:val="000000"/>
          <w:sz w:val="20"/>
        </w:rPr>
        <w:t>to our unaudited condensed consolidated financial statements included in this Quarterly Report, there have been no material changes to our critical accounting policies and estimates as compared to the critical accounting policies and estimates disclosed in our audited consolidated financial statements and notes thereto included within our Annual Report on Form 10-K for the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considered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completion of the Business Combination, 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Additional information on recent accounting pronouncements can be found in the audited financial statements in Note 2, </w:t>
      </w:r>
      <w:r>
        <w:rPr>
          <w:color w:val="000000"/>
        </w:rPr>
        <w:t>“</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 xml:space="preserve">included within our Annual Report on Form 10-K for the year ended December 31, 2021, and our unaudited condensed consolidated financial statements in Note 2, </w:t>
      </w:r>
      <w:r>
        <w:rPr>
          <w:color w:val="000000"/>
        </w:rPr>
        <w:t>“</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included within this Quarterly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18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These risks primarily relate to interest rates. Our cash, cash equivalents, and restricted cash consists of bank deposits and money market funds, which totaled $315.9 million at March 31, 2022 and $401.5 million as of December 31, 2021.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Our loan and financing obligation are recorded at amortized cost and include variable interest rate term. Therefore, change in interest rates can impact our interest payments we are obligated to pay. Additional information on our long-term debt can be found in Sema4’s audited financial statements in Note 8, </w:t>
      </w:r>
      <w:r>
        <w:rPr>
          <w:color w:val="000000"/>
        </w:rPr>
        <w:t>“</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 xml:space="preserve">and Sema4’s unaudited condensed consolidated financial statements in Note 8, </w:t>
      </w:r>
      <w:r>
        <w:rPr>
          <w:color w:val="000000"/>
        </w:rPr>
        <w:t>“</w:t>
      </w:r>
      <w:r>
        <w:rPr>
          <w:rFonts w:ascii="Times New Roman;sans-serif" w:hAnsi="Times New Roman;sans-serif"/>
          <w:b w:val="false"/>
          <w:i/>
          <w:color w:val="000000"/>
          <w:sz w:val="20"/>
        </w:rPr>
        <w:t>Long-Term Debt.”</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Rules 13a-15 and 15d-15 under the Exchange Act, our Chief Executive Officer and Chief Financial Officer carried out an evaluation of the effectiveness of the design and operation of our disclosure controls and procedures as of March 31, 2022. Based on that evaluation, our Chief Executive Officer and Chief Financial Officer concluded that our disclosure controls and procedures were not effective as of March 31, 2022 because of the material weaknesses in internal control over financial reporting as of December 31, 2021 that we previously identified in Item 9A. “Controls and Procedures” of our Annual Report on Form 10-K for the year ended December 31, 2021 and had not been fully remediated as of March 31, 2022.</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identified material weaknesses in internal control over financial reporting, our management has concluded that our condensed consolidated financial statements included in the Quarterly Report on Form 10-Q are fairly stated in all material respects in accordance with accounting principles generally accepted in the United States of America.</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Previously Reported Material Weaknesses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more detail in Item 9A. “Controls and Procedures” of our Annual Report on Form 10-K for the year ended December 31, 2021, the material weaknesses identified related to the fact that we did not design and maintain accounting policies, procedures and controls to ensure complete, accurate and timely financial reporting in accordance with U.S. GAAP.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Remediation Plan</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actively engaged and committed to taking the steps necessary to remediate the control deficiencies that constituted the material weaknesses, and these remediation activities are continuing in 2022. In addition to the remediation actions undertaken during 2021 and described in more detail in Item 9A. “Controls and Procedures” of our Annual Report on Form 10-K for the year ended December 31, 2021, we expect to engage in additional activities, including, but not limited to:</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Hiring more technical accounting resources to enhance our control environment;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Implementing improvements to our ERP system to enhance the accuracy of our financial records, enable the enforcement of systematic segregation of duties, and to improve our information technology general controls environment.</w:t>
      </w:r>
    </w:p>
    <w:p>
      <w:pPr>
        <w:pStyle w:val="TextBody"/>
        <w:jc w:val="both"/>
        <w:rPr/>
      </w:pPr>
      <w:r>
        <w:rPr/>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 internal control over financial reporting and disclosure controls and procedures, and we will make any changes to the design of our plan and take such other actions that we deem appropriate given the circumstances. </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There was no change in our internal control over financial reporting that occurred during the three months ended March 31, 2022 covered by this Quarterly Report on Form 10-Q that has materially affected, or is reasonably likely to materially affect, our internal control over financial reporting, other than as described herein. We are continuing to take steps to remediate the material weaknesses in our internal control over financial reporting, as discussed above.</w:t>
      </w:r>
      <w:r>
        <w:rPr>
          <w:color w:val="000000"/>
        </w:rPr>
        <w:t xml:space="preserve"> </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Inherent Limitation on the Effectiveness of Internal Control</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pStyle w:val="TextBody"/>
        <w:spacing w:before="20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6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and our subsidiary, are currently not a party to, and our property is not currently the subject of, any material pending legal proceedings; however, we may become involved in various claims and legal actions arising in the ordinary course of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carefully review and consider the following risk factors and the other information contained in this Quarterly Report on Form 10-Q before deciding whether to invest in our Class A common stock.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Class A common stock could decline, and you could lose all or part of your investment. We may face additional risks and uncertainties that are not presently known to us, or that we currently deem immaterial, which may also impair our business or financial condition. The following discussion should be read in conjunction with the unaudited condensed consolidated financial statements and notes thereto included herein.</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spacing w:lineRule="auto" w:line="26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a number of risks and uncertainties, including those risks discussed at length below. These risks include, among others, the following: </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The ongoing COVID-19 pandemic has affected and may further materially and adversely affect our business and financial results.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face intense competition. If we do not continue to innovate and provide products and services that are useful to users, we may not remain competitive, which could harm our business and operating results.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have limited experience with the development and commercialization of our databases and our health information and genomic platforms.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If we fail to comply with federal and state laboratory licensing requirements or standards, we could lose the ability to perform our tests or experience disruptions to our business.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rely on highly skilled personnel in a broad array of disciplines and, if we are unable to hire, retain or motivate these individuals, or maintain our corporate culture, we may not be able to maintain the quality of our services or grow effectively.</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need to scale our infrastructure in advance of demand for our products and services, and our failure to generate sufficient demand for our products and services would have a negative impact on our business and our ability to attain profitability.</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rely on a limited number of suppliers or, in some cases, single suppliers, for some of our laboratory instruments and materials and may not be able to find replacements or immediately transition to alternative suppliers or service providers.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Uncertainty in the development and commercialization of our enhanced or new tests or services could materially adversely affect our business, financial condition and results of operations.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Our operating results could be subject to significant fluctuation, which could increase the volatility of our stock and warrant prices and cause losses to our stockholders.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may need to raise additional capital to fund our existing operations, develop additional products and services, commercialize new products and services or expand our operations and may have difficulties raising capital depending on financial market conditions.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expect to make significant investments in our continued research and development of new products and services, which may not be successful.</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 and we will incur increased costs and demands on management as a result of compliance with internal control requirements, which could harm our operating results.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rely on third-party laboratories to perform certain elements of our service offerings.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As a result of the Acquisition, OPKO became a substantial holder of shares of our Class A common stock and sales by OPKO into the market in the future could cause the market price of our Class A common stock to drop significantly, even if our business is doing well.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be successful following the Acquisition is dependent upon the efforts of our key personnel, including the key personnel of GeneDx. The loss of key personnel could negatively impact our operations and profitability our financial condition could suffer as a result.</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Future changes in FDA enforcement discretion for LDTs could subject our operations to much more significant regulatory requirements.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Compliance with the HIPAA security, privacy and breach notification regulations may increase our costs.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face uncertainty related to healthcare reform, pricing, coverage and reimbursement, which could reduce our revenue.</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Our inability to effectively protect our proprietary products, processes, and technologies, including the confidentiality of our trade secrets, could harm our competitive position.</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will incur increased costs and demands on management as a result of compliance with laws and regulations applicable to public companies, which could harm our operating results.</w:t>
      </w:r>
    </w:p>
    <w:p>
      <w:pPr>
        <w:pStyle w:val="TextBody"/>
        <w:spacing w:lineRule="auto" w:line="268" w:before="200" w:after="283"/>
        <w:rPr>
          <w:rFonts w:ascii="Times New Roman;sans-serif" w:hAnsi="Times New Roman;sans-serif"/>
          <w:b/>
          <w:color w:val="000000"/>
          <w:sz w:val="20"/>
        </w:rPr>
      </w:pPr>
      <w:r>
        <w:rPr>
          <w:rFonts w:ascii="Times New Roman;sans-serif" w:hAnsi="Times New Roman;sans-serif"/>
          <w:b/>
          <w:color w:val="000000"/>
          <w:sz w:val="20"/>
        </w:rPr>
        <w:t>Risks Related to Our Business, Industry and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ongoing COVID-19 pandemic has affected and may further materially and adversely affect our business and financial results.</w:t>
      </w:r>
    </w:p>
    <w:p>
      <w:pPr>
        <w:pStyle w:val="TextBody"/>
        <w:spacing w:before="0" w:after="0"/>
        <w:ind w:left="0" w:right="0" w:firstLine="360"/>
        <w:jc w:val="both"/>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ongoing COVID-19 pandemic, together with related precautionary measures in response to the initial outbreak and resurgences, materially disrupted our business during certain periods in 2020 and 2021 and may continue to disrupt our business for an unknown period of time. Since the initial outbreak, we experienced a significant impact to our 2020 and 2021 operating results, including our order volumes, revenues, margins, and cash utilization, among other measures and may experience further impacts in future periods depending on the evolution of the COVID-19 pandemic.</w:t>
      </w:r>
    </w:p>
    <w:p>
      <w:pPr>
        <w:pStyle w:val="TextBody"/>
        <w:spacing w:before="0" w:after="0"/>
        <w:ind w:left="0" w:right="0" w:firstLine="360"/>
        <w:jc w:val="both"/>
        <w:rPr/>
      </w:pPr>
      <w:r>
        <w:rPr/>
      </w:r>
    </w:p>
    <w:p>
      <w:pPr>
        <w:pStyle w:val="TextBody"/>
        <w:spacing w:lineRule="auto" w:line="268"/>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2020 and 2021, both we and our partners also undertook a number of precautionary measures in response to the virus, including requiring employees to work remotely, restricting travel and limiting interactions in person, and we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expect to adjust our precautionary measures at our various locations based on local recovery levels, vaccination rates and applicable governmental regulations. Our business could be negatively affected in the future if it takes excessive, ineffective or inadequate precautions.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ongoing COVID-19 pandemic has materially impacted our business in 2020 and 2021 and may continue to impact our business for an unknown period of time. Such impacts have included and may include the following: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Restrictions on travel, commerce and shipping may prevent patients and pathologists from shipping samples to our clinical laboratories;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Illnesses, quarantines, financial hardships, restrictions on travel, commerce and shipping, or other consequences of the pandemic, may disrupt our supply chain or other business relationships, and we or other parties may assert rights under force majeure clauses to excuse performance;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have experienced, and for an extended period of time may continue to experience, reduced volumes at our clinical laboratories and we may need to suspend operations at some or all of our clinical laboratories;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have taken, and may take additional, cost cutting measures, which may hinder our efforts to commercialize our products or delay the development of future products and services. Further, we might not realize all of the cost savings we expect to achieve as a result of those efforts;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and our partners have postponed or cancelled clinical studies, which may delay or prevent our launch of future products and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Some or all of our workforce, much of which continues to work remotely in an effort to reduce the spread of COVID-19, may be infected by the virus or otherwise distracted;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combination of factors, including infection from the virus, supply shortfalls, and inability to obtain or maintain equipment, could adversely affect our lab capacity and our ability to meet the demand for our testing services;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may inaccurately estimate the duration or severity of the COVID-19 pandemic, which could cause us to misalign our staffing, spending, activities and precautionary measures with current or future market conditions.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Despite our efforts, the ultimate impact of the COVID-19 pandemic, or the impact of the emergence of new strains of the virus and any future resurgences of COVID-19 or variant strains, depends on factors beyond our knowledge or control, including availability and distribution of effective medical treatments and vaccines, the duration and severity of the pandemic, third-party actions taken to contain its spread and mitigate its public health effects and short- and long-term changes in the behaviors of medical professionals and patients resulting from the pandemic.</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economic consequences of the COVID-19 pandemic have, and may continue to,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Class A common stock or other equity or equity-linked securities. If these market conditions persist when and if we need to raise capital, and if we are able to sell shares of our Class A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net interest deduction limitations. The CARES Act and similar legislation intended to provide assistance related to the COVID-19 pandemic also authorized $175.0 billion in funding to be distributed by the U.S. Department of Health and Human Services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2020, we received $5.4 million as part of the stimulus, comprised of $2.6 million received under the PRF and $2.8 million received under the ERC. In 2021, we received an additional $5.6 million under the PRF distribution. Funds provided under the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Funds provided under the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funds received under the ERC distribution and recorded the proceeds in other liabilities on the balance sheets as of March 31, 2022 and December 31, 2021.</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Other companies or institutions may develop and market novel or improved technologies, which may make our technologies less competitive or obsolete.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women’s health and oncology screening products, health information services, and analytics, and data science services, and other diagnostic products. These competitors include: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companies that offer clinical, research and data clinical services, molecular genetic testing and other clinical diagnostics, life science research and drug discovery services, data services and healthcare analytics, and consumer genetics products;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academic and scientific institutions;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governmental agencies;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public and private research organizations.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compete successfully in our existing markets, including women’s health and oncology,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face intense competition. If we do not continue to innovate and provide products and services that are useful to users, we may not remain competitive, which could harm our business and operating results.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health information and data science products and services, our operating results could be harmed.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payers as a result of such audits, and we could be adversely affected if we are required to repay other payers for alleged overpayments due to lack of compliance with their reimbursement policies. In addition, we have experienced, and may continue to experience, delays in reimbursement when we transition to being an in-network provider with a payer.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limited experience with the development and commercialization of our databases and our health information and genomic platforms.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limited experience with the development or commercialization of clinical or research products in connection with the databases we manage and to which we have access, including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(“GxP”), and data quality and integrity controls.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Ethical, legal and social concerns related to the use of genomic medicine and health information analysis could reduce demand for our tests.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federal and state laboratory licensing requirements or standards, we could lose the ability to perform our tests or experience disruptions to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would also be required to maintain in-state licenses if we were to conduct testing in other states. Several states require the licensure of out-of-state laboratories that accept specimens from certain states.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having laboratory licenses in New York, our clinical reference laboratories are approved on test-specific bases for the tests they run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College of American Pathologists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pStyle w:val="TextBody"/>
        <w:spacing w:before="0" w:after="0"/>
        <w:ind w:left="0" w:right="0" w:firstLine="360"/>
        <w:jc w:val="both"/>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Additional Risks Related to GeneDx’s Business and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GeneDx needs to scale its infrastructure in advance of demand for its tests, and its failure to generate sufficient demand for its tests would have a negative impact on its business and its ability to attain profitability.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GeneDx’s success depends in large part on its ability to extend its market position, to provide customers with high-quality test reports quickly and at a lower price than its competitors, and to achieve sufficient test volume to realize economies of scale. GeneDx’s overall test volumes grew from approximately 134 thousand to 169 thousand tests processed during the years ended December 31, 2020 and 2021. In addition, GeneDx regularly evaluates and refines its testing process, often significantly updating its workflows, including with respect to exome sequencing and whole genome sequencing. In order to execute GeneDx’s business model, it intends to continue to invest heavily in order to significantly scale its infrastructure, including GeneDx’s testing capacity, particularly, with respect to exome sequencing and whole genome sequencing to supplement its panel testing capabilities, and information systems, expand its commercial operations, customer service, billing and systems processes and enhance its internal quality assurance program. GeneDx expects that much of this growth will be in advance of demand for its tests. GeneDx’s and Sema4’s current and future expense levels are to a large extent fixed and are largely based on investment plans and estimates of future revenue. Because the timing and amount of revenue from GeneDx’s tests is difficult to forecast, when revenue does not meet expectations, GeneDx may not be able to adjust its spending promptly or reduce spending to levels commensurate with its revenue. Even if GeneDx successfully scales its infrastructure and operations, there can be no assurance that tests will increase at levels consistent with the growth of GeneDx’s infrastructure. If GeneDx fails to generate demand commensurate with this growth or if it fails to scale its infrastructure sufficiently in advance of demand to successfully meet such demand, its business, prospects, financial condition and results of operations could be adversely affected.</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GeneDx is not able to continue to generate substantial demand of its tests, its commercial success will be negatively affected.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GeneDx’s business model assumes that it will be able to generate significant test volume, particularly with respect to exome sequencing and whole genome sequencing in addition to its panel testing offerings, and it may not succeed in continuing to drive adoption of its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GeneDx’s, there may be distrust as to the reliability of such information when compared with more limited and focused genetic tests. To generate further demand for GeneDx’s tests, GeneDx will need to continue to make clinicians aware of the benefits of its tests, including the price, the breadth of its testing options, and the benefits of having additional genetic data available from which to make treatment decisions. A lack of or delay in clinical acceptance of GeneDx’s exome sequencing and whole genome sequencing testing, or its legacy broad-based panels testing, would negatively impact sales and market acceptance of GeneDx’s tests and limit its revenue growth and potential profitability. Genetic testing is expensive and many potential customers may be sensitive to pricing. In addition, potential customers may not adopt GeneDx’s tests if adequate reimbursement is not available, or if GeneDx is not able to maintain low prices relative to its competitors.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GeneDx is not able to generate demand for its tests at sufficient volume, or if it takes significantly more time to generate this demand than GeneDx anticipates, GeneDx’s business, prospects, financial condition and results of operations could be materially harmed.</w:t>
      </w:r>
    </w:p>
    <w:p>
      <w:pPr>
        <w:pStyle w:val="TextBody"/>
        <w:spacing w:lineRule="auto" w:line="288" w:before="200" w:after="283"/>
        <w:ind w:left="0" w:right="0" w:firstLine="360"/>
        <w:jc w:val="both"/>
        <w:rPr/>
      </w:pPr>
      <w:r>
        <w:rPr>
          <w:rFonts w:ascii="Times New Roman;sans-serif" w:hAnsi="Times New Roman;sans-serif"/>
          <w:b w:val="false"/>
          <w:color w:val="000000"/>
          <w:sz w:val="20"/>
        </w:rPr>
        <w:t>GeneDx has devoted a portion of its resources to the development and commercialization of exome sequencing and whole genome sequencing, and to research and development activities related to such sequencing and the analysis thereof, including clinical and regulatory initiatives to obtain diagnostic clearance and marketing approval. The demand for these regulated products is relatively unproven, and GeneDx may not be successful in achieving market awareness and demand for these products through its and, following completion of the Acquisition, Sema4’s sales and marketing operations</w:t>
      </w:r>
      <w:r>
        <w:rPr>
          <w:rFonts w:ascii="Times New Roman;sans-serif" w:hAnsi="Times New Roman;sans-serif"/>
          <w:b w:val="false"/>
          <w:color w:val="008080"/>
          <w:sz w:val="24"/>
        </w:rPr>
        <w:t>.</w:t>
      </w:r>
    </w:p>
    <w:p>
      <w:pPr>
        <w:pStyle w:val="TextBody"/>
        <w:spacing w:before="0" w:after="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GeneDx’s laboratories become inoperable due to disasters, health epidemics or for any other reasons, it will be unable to perform tests and its business will be harmed.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GeneDx performs all of its tests at its production facilities in Gaithersburg, Maryland. GeneDx’s laboratories and the equipment it uses to perform its tests would be costly to replace and could require substantial lead time to replace and qualify for use. GeneDx’s laboratories may be harmed or rendered inoperable by natural or man-made disasters, including flooding, fire and power outages, or by health epidemics, which may render it difficult or impossible for GeneDx to perform its tests for some period of time. The inability to perform GeneDx’s tests or the backlog that could develop if its laboratories are inoperable for even a short period of time may result in the loss of customers or harm its reputation. Although GeneDx maintains insurance for damage to its property and the disruption of its business, this insurance may not be sufficient to cover all potential losses and may not continue to be available to GeneDx on acceptable terms, if at all.</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Model</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highly skilled personnel in a broad array of disciplines and, if we are unable to hire, retain or motivate these individuals, or maintain our corporate culture, we may not be able to maintain the quality of our services or grow effectively.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loss of any member or change in structure of our senior management team could adversely affect our business.</w:t>
      </w:r>
    </w:p>
    <w:p>
      <w:pPr>
        <w:pStyle w:val="TextBody"/>
        <w:spacing w:before="0" w:after="0"/>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Chief Executive Officer, Katherine Stueland, and our founder, President and Chief Research &amp; Development Officer, Dr. Eric Schadt,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particular, in connection with the closing of the Acquisition, Dr. Schadt ceased serving as our Chief Executive Officer and we have not yet entered into a new employment agreement with Dr. Schadt. We also do not carry key person insurance for any of our executives or employees.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founder, President and Chief Research &amp; Development Officer, Eric Schadt, and certain other of our employees have performed, and will continue to perform, duties for or on behalf of Mount Sinai.</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founder, President and Chief Research &amp; Development Officer, Eric Schadt, and certain of our other employees continue to perform duties for or on behalf of the Mount Sinai Health System, which refer to together with its related entities as Mount Sinai. In the case of Dr. Schadt, in addition to serving as our president and Chief Research &amp; Development Officer and as a director, Dr. Schadt also serves as the Dean for Precision Medicine and a professor at Icahn School of Medicine at Mount Sinai (“ISMMS”). We expect Dr. Schadt to continue to devote a substantial amount of time to the research and development responsibilities for our company while maintaining certain duties for Mount Sinai. Though we do not expect Dr. Schadt’s role as our President and Chief Research &amp; Development Officer and a director to conflict with his roles at Mount Sinai, there can be no guarantee that such conflicts will not occur in the future.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manage our future growth effectively, which could make it difficult to execute our business strategy.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need to scale our infrastructure in advance of demand for our products and services, and our failure to generate sufficient demand for our products and services would have a negative impact on our business and our ability to attain profitability.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International expansion of our business could expose us to business, regulatory, political, operational, financial and economic risks associated with doing business outside of the United States.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approvals, permits and licenses;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failure by us, our collaborators or our distributors to obtain regulatory clearance, authorization or approval for the use of our products and services in various countries;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additional potentially relevant third-party patent rights;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complexities and difficulties in obtaining intellectual property protection and enforcing our intellectual property;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staffing and managing foreign operations, including repatriating foreign earned profits;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complexities associated with managing multiple payer reimbursement regimes, government payers or patient self-pay systems;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negotiating favorable reimbursement negotiations with governmental authorities;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logistics and regulations associated with shipping samples, including infrastructure conditions and transportation delays;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limits in our ability to penetrate international markets if we are not able to conduct our clinical diagnostic services locally;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financial risks, such as longer payment cycles, difficulty collecting accounts receivable, the impact of local and regional financial crises on demand and payment for our products and services and exposure to foreign currency exchange rate fluctuations;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international regulations and license requirements that may restrict foreign investment in and operation of the internet, IT infrastructure, data centers and other sectors, and international transfers of data;</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natural disasters, political and economic instability, including wars, terrorism and political unrest, and outbreak of disease;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boycotts, curtailment of trade and other business restrictions; and</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regulatory and compliance risks that relate to maintaining accurate information and control over sales and distributors’ activities that may fall within the purview of the Foreign Corrupt Practices Act of 1977 (“FCPA”), its books and records provisions, or its anti-bribery provisions or laws similar to the FCPA in other jurisdictions in which we may in the future operate, such as the United Kingdom’s Bribery Act of 2010 and anti-bribery requirements of member states in the European Union (“EU”).</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significantly harm our future international expansion and operations and, consequently, our revenue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Unfavorable U.S. or global economic conditions could adversely affect our business, financial condition or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general conditions in the global economy and financial markets. A severe or prolonged economic downturn or increase in inflation rates could result in a variety of risks to our business, including weakened demand for our products and services and our ability to raise additional capital when needed on favorable terms, if at all. A weak declining or inflationary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a limited number of suppliers or, in some cases, single suppliers, for some of our laboratory instruments and materials and may not be able to find replacements or immediately transition to alternative suppliers or service providers.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sourced and will continue to source components of our diagnostic testing workflow, including sequencers and other laboratory equipment, reagents, lab supplies and other laboratory services and materials and related services, from third parties.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current and future products and services may never achieve significant commercial market acceptance.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collaborators may not succeed in achieving significant commercial market acceptance for our current or future products and services due to a number of factors,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demonstrate the utility of our platforms including Centrellis and Traversa,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rate of adoption of our platforms and related products and services by academic institutions, clinicians, patients, key opinion leaders, advocacy groups and Biopharma companies;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impact of our investments in product and services, and technological innovation and commercial growth.</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customers and collaborators, including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estimated the sizes of the markets for our current and future products and services, and these markets may be smaller than we estimate.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Uncertainty in the development and commercialization of our enhanced or new tests or services could materially adversely affect our business, financial condition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relatively limited experience developing and commercializing products and services outside of the fields of women’s health and oncology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U.S. Food and Drug Administration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our products and services do not perform as expected, we may not realize the expected benefits of such products and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Class A common stock, which could result in additional dilution of the percentage ownership of our stockholders and could cause the price of our Class A common stock and warrants to decline.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relationships are not successful, our ability to develop and improve of products, services and technologies, and to successfully execute our commercial strategy regarding such products, services and technologies, could be compromised.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deploy and maintain effective sales, marketing and medical affairs capabilities, we will have difficulty achieving market awareness and selling our products and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never become profitable.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Sema4 has incurred losses since Sema4 was formed and we expect to continue to generate significant operating losses for the foreseeable future. As of March 31, 2022 and December 31, 2021, we have an accumulated deficit of approximately $652.3 million and $575.4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operating results could be subject to significant fluctuation, which could increase the volatility of our stock and warrant prices and cause losses to our stockholders.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and results of operations may fluctuate significantly, depending on a variety of factors, including the following:</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success in marketing and selling, and changes in demand for, our tests, and the level of reimbursement and collection obtained for such tests;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success in collecting payments from third-party payors, patients and collaborative partners, variation in the timing of these payments and recognition of these payments as revenues;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pricing of our tests, including potential changes in CMS or other reimbursement rates;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circumstances affecting our ability to provide our tests, including weather events, supply shortages, or regulatory or other circumstances that adversely affect our ability to manufacture our tests or process tests in our clinical laboratories;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fluctuations in the amount and timing of our selling and marketing costs and our ability to manage costs and expenses and effectively implement our business;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research and development activities, including the timing of clinical trials;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collect, use, and commercialize data in a changing regulatory environment at a time when the public is growing increasingly concerned about privacy.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revenue growth rate could decline over time, and it may experience downward pressure on our operating margins in the future.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these factors and the evolving nature of our business, our historical projected revenue growth rate and historical gross operating margins may not be indicative of our future performance.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to fund our existing operations, develop additional products and services, commercialize new products and services or expand our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Sema4 has incurred net losses and negative cash flows from operations since its inception, including net losses of $245.4 million, $241.3 million and $29.7 million for the years ended December 31, 2021, 2020 and 2019, respectively. The net loss was $76.9 million for the three months ended March 31, 2022. As of March 31, 2022, we had an accumulated deficit of $652.3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consider raising additional capital in the future to expand our business, to pursue strategic investments, to take advantage of financing opportunities or for other reasons, including to:</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increase our sales and marketing efforts to drive market adoption of our current and future products and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fund development efforts for our current and future products and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expand our products and services into other disease indications and clinical applications;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acquire, license or invest in technologies;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acquire or invest in complementary businesses or assets;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finance capital expenditures and general and administrative expenses.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Our present and future funding requirements will depend on many factors,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achieve revenue growth;</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rate of progress in establishing payer coverage and reimbursement arrangements with commercial third-party payors and government payers;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cost of expanding our laboratory operations and offerings, including our sales and marketing efforts;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rate of progress in, and cost of the sales and marketing activities associated with, establishing adoption of our Centrellis solution;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rate of progress in, and cost of research and development activities associated with, products and services in research and early development;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effect of competing technological, product and market developments;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costs related to international expansion;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potential cost of and delays in product development as a result of any regulatory oversight applicable to our products and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expect to make significant investments in our continued research and development of new products and services, which may not be successful.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March 31, 2022.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did not design and maintain accounting policies, processes and controls to analyze, account for and report our revenue arrangements in accordance with ASC 606, Revenue from Contracts with Customers, and ASC 605, Revenue Recognition.</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 xml:space="preserve">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 </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Our accounting and operating systems lacked controls over access, and program change management that are needed to ensure access to financial data is adequately restricted to appropriate personnel.</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pStyle w:val="TextBody"/>
        <w:spacing w:lineRule="auto" w:line="288" w:before="200" w:after="283"/>
        <w:ind w:left="0" w:right="0" w:firstLine="360"/>
        <w:jc w:val="both"/>
        <w:rPr/>
      </w:pPr>
      <w:r>
        <w:rPr>
          <w:rFonts w:ascii="Times New Roman;sans-serif" w:hAnsi="Times New Roman;sans-serif"/>
          <w:b w:val="false"/>
          <w:color w:val="000000"/>
          <w:sz w:val="20"/>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For a discussion of our remediation plan and actions, see “Item 4. Controls and Procedures.” However, as noted above, as</w:t>
      </w:r>
      <w:r>
        <w:rPr>
          <w:color w:val="000000"/>
        </w:rPr>
        <w:t xml:space="preserve"> </w:t>
      </w:r>
      <w:r>
        <w:rPr>
          <w:rFonts w:ascii="Times New Roman;sans-serif" w:hAnsi="Times New Roman;sans-serif"/>
          <w:b w:val="false"/>
          <w:color w:val="000000"/>
          <w:sz w:val="20"/>
        </w:rPr>
        <w:t>of March 31, 2022, the material weaknesses have not yet been fully remediated.</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rPr/>
      </w:pPr>
      <w:r>
        <w:rPr/>
      </w:r>
    </w:p>
    <w:p>
      <w:pPr>
        <w:pStyle w:val="TextBody"/>
        <w:spacing w:lineRule="auto" w:line="288" w:before="0" w:after="180"/>
        <w:ind w:left="0" w:right="0" w:firstLine="360"/>
        <w:jc w:val="both"/>
        <w:rPr/>
      </w:pPr>
      <w:r>
        <w:rPr>
          <w:rFonts w:ascii="Times New Roman;sans-serif" w:hAnsi="Times New Roman;sans-serif"/>
          <w:b w:val="false"/>
          <w:color w:val="000000"/>
          <w:sz w:val="20"/>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Times New Roman;sans-serif" w:hAnsi="Times New Roman;sans-serif"/>
          <w:b w:val="false"/>
          <w:i/>
          <w:color w:val="000000"/>
          <w:sz w:val="20"/>
        </w:rPr>
        <w:t>Risks Related to Being a Public Company—Our internal controls over financial reporting may not be effective and our independent registered public accounting firm may not be able to certify as to their effectiveness, which could have a significant and adverse effect on our business and reputation.</w:t>
      </w:r>
      <w:r>
        <w:rPr>
          <w:color w:val="000000"/>
        </w:rPr>
        <w:t>”</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 forwards and certain other tax attributes may be limited.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our total gross deferred tax assets were $160.5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stock-based compensation and other tax deductible temporary differences.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under Section 382 of the Internal Revenue Code of 1986, as amended (“Internal Revenue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with CMLS or the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Key Relationships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third-party laboratories to perform certain elements of our service offerings.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have sufficient alternative backup if one or more of the third-party laboratories that we contract with are unable to satisfy their obligations to us with sufficient performance, quality and timeliness, including as a result of the ongoing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third-party payors, including some state Medicaid payers,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Mount Sinai, a related party, and its clinicians for a portion of our test volume in connection with our diagnostic solutions and for data programs, and we have entered into certain other arrangements with Mount Sinai.</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Mount Sinai, which is a related party, and its clinicians for a portion of our test volumes in connection with our diagnostic solutions and for a significant portion of the de-identified clinical records in our databases. In addition, we sublease certain facilities from Mount Sinai, we provide certain research and data services to Mount Sinai, and we and Mount Sinai have entered into certain collaborative and commercial arrangements. Furthermore, we may in the future enter into other contracts for services or other engagements with Mount Sinai.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ISMMS is one of our significant stockholders. ISMMS may choose to dispose of some or all of the shares of our Class A common stock held by it. Any disposal of shares of Class A common stock by ISMMS, or the perception that these sales could occur, could cause the market price of our stock or warrants to decline.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commercial courier delivery services to transport samples to our facilities in a timely and cost-efficient manner and if these delivery services are disrupted, our business could be harmed.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Acquisitions</w:t>
      </w:r>
    </w:p>
    <w:p>
      <w:pPr>
        <w:pStyle w:val="TextBody"/>
        <w:spacing w:before="0" w:after="0"/>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As a result of the Acquisition, OPKO became a substantial holder of shares of our Class A common stock and sales by OPKO into the market in the future could cause the market price of our Class A common stock to drop significantly, even if our business is doing well.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Acquisition, OPKO became the owner of 80 million shares of Class A common stock as of the Closing Date. OPKO is subject to transfer restrictions and requirements to dispose of its shares in marketed sales processes under the shareholder agreements that were entered into in connection with the Acquisition, but those restrictions and requirements are finite and subject to exceptions.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shares held by OPKO or the other holders party such shareholder agreements are sold, or if it is perceived that they will be sold in the public market, the trading price of our Class A common stock could decline. </w:t>
      </w:r>
    </w:p>
    <w:p>
      <w:pPr>
        <w:pStyle w:val="TextBody"/>
        <w:spacing w:before="20" w:after="283"/>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ability to be successful following the Acquisition is dependent upon the efforts of our key personnel, including the key personnel of GeneDx. The loss of key personnel could negatively impact our operations and profitability our financial condition could suffer as a result.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be successful following the Acquisition is dependent upon the efforts of our key personnel, including the key personnel of GeneDx (who became our employees as of the closing of the Acquisition (the “Closing”)). Although our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key personnel are expected to continue remain with the Company in their current roles, it is possible that we will lose some key personnel, the loss of which could negatively impact the operations and profitability of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GeneDx’s success depends to a significant degree upon the continued contributions of senior management, certain of whom would be difficult to replace. Departure by certain of GeneDx’s officers could have a material adverse effect on GeneDx’s business, financial condition, or operating results. The services of such personnel may not continue to be available to us. </w:t>
      </w:r>
    </w:p>
    <w:p>
      <w:pPr>
        <w:pStyle w:val="TextBody"/>
        <w:spacing w:before="20" w:after="283"/>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have incurred and will continue to incur significant transaction and transition costs in connection with the Acquisition.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significant, non-recurring costs in connection with consummating the Acquisition. Furthermore, we expect to incur additional significant, non-recurring costs in connection with the integration of the businesses of our company and GeneDx. We may also incur additional costs to retain key employees. </w:t>
      </w:r>
    </w:p>
    <w:p>
      <w:pPr>
        <w:pStyle w:val="TextBody"/>
        <w:spacing w:before="20" w:after="283"/>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anticipated benefits of the Acquisition may not be realized fully or at all or may take longer to realize than expected.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involves the integration of two companies that have previously operated independently. Prior to the announcement, we and GeneDx did not conduct any integration planning for the two companies, and our ability to do so prior to consummation of the Acquisition was limited by applicable law. Following the Closing, we are devoting significant management attention and resources to integrating the two businesses. Delays in this process could adversely affect the combined company’s business, financial results, financial condition and stock price. Even if we are able to integrate the two companies’ business operations successfully, there can be no assurance that this integration will result in the realization of the full benefits of synergies, cost savings, innovation and operational efficiencies that we expected from this integration or that these benefits will be achieved within the anticipated time frame.</w:t>
      </w:r>
    </w:p>
    <w:p>
      <w:pPr>
        <w:pStyle w:val="TextBody"/>
        <w:spacing w:before="20" w:after="283"/>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If the Acquisition’s benefits do not meet the expectations of investors, stockholders or financial analysts, the market price of our securities may decline.</w:t>
      </w:r>
    </w:p>
    <w:p>
      <w:pPr>
        <w:pStyle w:val="TextBody"/>
        <w:spacing w:lineRule="auto" w:line="288" w:before="200" w:after="283"/>
        <w:ind w:left="0" w:right="0" w:firstLine="360"/>
        <w:jc w:val="both"/>
        <w:rPr/>
      </w:pPr>
      <w:r>
        <w:rPr>
          <w:rFonts w:ascii="Times New Roman;sans-serif" w:hAnsi="Times New Roman;sans-serif"/>
          <w:b w:val="false"/>
          <w:color w:val="000000"/>
          <w:sz w:val="20"/>
        </w:rPr>
        <w:t>If the benefits of the Acquisition do not meet the expectations of investors or securities analysts, the market price of our securities may decline. For additional factors that may affect the trading price of our securities see “</w:t>
      </w:r>
      <w:r>
        <w:rPr>
          <w:color w:val="000000"/>
        </w:rPr>
        <w:t>—</w:t>
      </w:r>
      <w:r>
        <w:rPr>
          <w:rFonts w:ascii="Times New Roman;sans-serif" w:hAnsi="Times New Roman;sans-serif"/>
          <w:b w:val="false"/>
          <w:i/>
          <w:color w:val="000000"/>
          <w:sz w:val="20"/>
        </w:rPr>
        <w:t>Risks Related to Being a Public Company—If we do not meet the expectations of investors, stockholders or financial analysts, the market price of our securities may decline</w:t>
      </w:r>
      <w:r>
        <w:rPr>
          <w:rFonts w:ascii="Times New Roman;sans-serif" w:hAnsi="Times New Roman;sans-serif"/>
          <w:b w:val="false"/>
          <w:color w:val="000000"/>
          <w:sz w:val="20"/>
        </w:rPr>
        <w:t>.”</w:t>
      </w:r>
    </w:p>
    <w:p>
      <w:pPr>
        <w:pStyle w:val="TextBody"/>
        <w:spacing w:before="20" w:after="283"/>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have been the target of transaction related lawsuits as result of the Acquisition, which could result in substantial costs, and we have also assumed GeneDx’s risks arising from various legal proceedings.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two lawsuits were filed in federal courts against us and our directors. The complaints assert claims under Section 14(a) and Section 20(a) of the Exchange Act, and Rule 14a-19 promulgated thereunder, generally allege that the proxy statement we mailed to our stockholders in connection with the approval of certain matters related to the Acquisition misrepresented and/or omitted certain purportedly material information, and seek a variety of equitable and injunctive relief. In addition, five purported stockholders of our company have sent us demand letters making similar allegations about the proxy statement and demanding we provide supplemental disclosures. Although we believe that these allegations, claims and demands are without merit, we cannot predict the outcome of these legal proceedings, or whether additional stockholders will file lawsuits.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of the Closing, we assumed GeneDx’s risks arising from legal proceedings. Furthermore, following the Closing of the Acquisition, the strategies or motivations of a party or parties with respect to actual or potential litigation against us may change. We cannot predict with certainty the eventual outcome of GeneDx’s pending or future legal proceedings and the ultimate outcome of such matters could be material to our results of operations, cash flows and financial condition.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the Acquisition may result in post-transaction disputes with OPKO or the other counterparties to the Merger Agreement and the related agreements regarding a number of matters, including any post-closing adjustments to the Cash Consideration, the occurrence or non-occurrence of any Milestone Event (as defined in the Merger Agreement for the Acquisition) or payment of any Milestone Payment (as defined in the Merger Agreement) or any liabilities for which we or OPKO believes it was indemnified under the Merger Agreement.</w:t>
      </w:r>
    </w:p>
    <w:p>
      <w:pPr>
        <w:pStyle w:val="TextBody"/>
        <w:spacing w:before="20" w:after="283"/>
        <w:ind w:left="0" w:right="0" w:firstLine="360"/>
        <w:jc w:val="both"/>
        <w:rPr/>
      </w:pPr>
      <w:r>
        <w:rPr/>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seek to grow our business through additional acquisitions of complementary products or technologies, and the failure to manage these acquisitions, or the failure to integrate them with our existing business, could have a material adverse effect on our business, financial condition and operating results.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consider additional opportunities to acquire other products or technologies that may enhance our product platform or technology, expand the breadth of our markets or customer base, or advance our business strategies. Potential acquisitions involve numerous risks, including:</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problems assimilating the acquired products or technologies;</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issues maintaining uniform standards, procedures, controls and policies;</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unanticipated costs associated with acquisitions;</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diversion of management’s attention from our existing business;</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risks associated with entering new markets in which we have limited or no experience; and</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increased legal and accounting costs relating to the acquisitions or compliance with regulatory matters.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Regulatory and Compliance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increased compliance risks as a result of our rapid growth, including our dependence on our sales, marketing and billing efforts.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use hazardous materials in a manner that causes injury, we could be liable for resulting damages.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and our partners will have to maintain compliance with FDA requirements for research, products and services and failure to maintain compliance with FDA requirements may prevent or delay the marketing of our products and services.</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Future changes in FDA enforcement discretion for LDTs could subject our operations to much more significant regulatory requirements.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We currently offer a laboratory-develop test (“LDT”), version of certain tests. The FDA has a policy of enforcement discretion with respect to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(“CDRH”), have expressed significant concerns regarding disparities between some LDTs and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 xml:space="preserve">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Recently, the FDA has also taken a more active role in certain diagnostic areas, including the oversight of pharmacogenetic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we begin to manufacture, label and market additional clinical diagnostic products for commercial diagnostic use in the United States, we may be required to obtain either clearance, marketing authorization or approval from the FDA,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200" w:after="283"/>
        <w:jc w:val="both"/>
        <w:rPr/>
      </w:pPr>
      <w:r>
        <w:rPr>
          <w:rFonts w:ascii="Times New Roman;sans-serif" w:hAnsi="Times New Roman;sans-serif"/>
          <w:b w:val="false"/>
          <w:color w:val="000000"/>
          <w:sz w:val="20"/>
        </w:rPr>
        <w:t xml:space="preserve">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diagnostic test that is designed, manufactured and used within a single properly licensed laboratory.</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request to down classify the device into Class II or Class I, which would not require a PMA. In the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process, the FDA must determine that general and special controls are sufficient to provide reasonable assurance of the safety and effectiveness of a 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The 510(k),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classification pathway usually takes from six to 12 months, but for many applicants can take up to 18 months or more.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FDA can delay, limit or deny clearance, authorization or approval of a device for many reasons,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inability to demonstrate to the satisfaction of the FDA that the products are safe or effective for their intended uses;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disagreement of the FDA with the design, conduct or implementation of the clinical trials or the analysis or interpretation of data from preclinical studies, analytical studies or clinical trials;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serious and unexpected adverse device effects experienced by participants in clinical trials;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data from preclinical studies, analytical studies and clinical trials may be insufficient to support clearance, authorization or approval, where required;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inability to demonstrate that the clinical and other benefits of the device outweigh the risks;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FDA may identify deficiencies in our marketing application;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FDA may identify deficiencies in our or our collaborators’ manufacturing processes, facilities or analytical methods;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potential for policies or regulations of the FDA or applicable foreign regulatory bodies to change significantly in a manner rendering clinical data or regulatory filings insufficient for clearance, authorization or approval; and</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FDA or foreign regulatory authorities may audit clinical trial data and conclude that the data is not sufficiently reliable to support a PMA.</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Any modification to a 510(k)-cleared device that significantly affects its safety or effectiveness, or that constitutes a major change in its intended use, could require a new 510(k) clearance, a new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authorization or approval of a PMA. The FDA requires every manufacturer to make this determination in the first instance, but the FDA may review any manufacturer’s decision. The FDA may not agree with our decisions regarding whether new clearances, authorizations or approvals are necessary.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FDA disagrees with our determination, which it may not review until we submit an annual report or the FDA conducts an inspection or other inquiry, and requires us to seek new clearances, authorizations or approvals for modifications to our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various complex laws and regulations applicable to clinical diagnostics. We could be subject to significant fines and penalties if we or our partners fail to comply with these laws and regulations.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provider of clinical diagnostic products and services, we and our partners are subject to extensive and frequently changing federal, state, local and foreign laws and regulations governing various aspects of our business.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 clinical laboratory and healthcare industry is subject to significant governmental certification and licensing regulations, as well as federal, state and foreign laws regarding: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test ordering and billing practices;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marketing, sales and pricing practices;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health information privacy and security, including HIPAA and comparable state laws;</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insurance;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anti-markup legislation;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fraud and abuse;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consumer protection.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required to comply with FDA regulations, including with respect to our labeling and promotion activities. In addition, advertising and marketing of our clinical products are subject to regulation by the Federal Trade Commission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Compliance with the HIPAA security, privacy and breach notification regulations may increase our costs.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HIPAA privacy, security and breach notification regulations, including the expanded requirements under HITECH, establish comprehensive federal standards with respect to the uses and disclosures of protected health information (“PHI”), by health plans, healthcare providers and healthcare clearinghouses, in addition to setting standards to protect the confidentiality, integrity and security of PHI. The regulations establish a complex regulatory framework on a variety of subjects,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patient’s rights to access, amend and receive an accounting of certain disclosures of PHI;</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requirements to notify individuals if there is a breach of their PHI;</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contents of notices of privacy practices for PHI;</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administrative, technical and physical safeguards required of entities that use or receive PHI;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deidentification of PHI;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protection of computing systems maintaining electronic PHI.</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practices intended to meet the requirements of the HIPAA privacy, security and breach notification regulations, as required by law. We are required to comply with federal privacy, security and breach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notification regulations as well as varying state privacy, security and breach notification laws and regulations, which may be more stringent than federal HIPAA requirements. In addition, for healthcare data transfers from other countries relating to citizens and/or residents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Some of our activities may subject it to risks under federal and state laws prohibiting ‘kickbacks’ and false or fraudulent claims.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2018, Congress passed the Eliminating Kickbacks in Recovery Act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including compensating employees on a percentage basis,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one court has addressed the application of EKRA. That case was decided by the United States District Court of Hawaii and involved a lawsuit between a laboratory and an employee. The Court ruled that the commission-based compensation provisions of the laboratory employee’s contract did not violate EKRA. Although this may be a favorable interpretation of EKRA for laboratory compensation structures, we cannot be assured that courts in our jurisdiction will reach the same conclusion or that the decision will not be overturned if there is an appeal.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Complying with numerous statutes and regulations pertaining to our business is an expensive and time-consuming process, and any failure to comply could result in substantial penalties.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other extensive federal, state, local and foreign laws and regulations, all of which are subject to change. These laws and regulations currently include, among others: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HIPAA, which establishes comprehensive federal standards with respect to the privacy and security of protected health information and requirements for the use of certain standardized electronic transactions;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General Data Protection Regulation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EKRA, which prohibits payments for referrals to recovery homes, clinical treatment facilities, and laboratories and reaches beyond federal health care programs, to include private insurance;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federal false claims law, which imposes liability on any person or entity that, among other things, knowingly presents, or causes to be presented, a false or fraudulent claim for payment to the federal government;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21st Century Cures Act information blocking prohibition, which prohibits covered actors from engaging in certain practices that are likely to interfere with the access, exchange, or use of electronic health information;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state laws that limit or prohibit the provision of certain payments and other transfers of value to certain covered healthcare providers;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prohibition on reassignment of Medicare claims, which, subject to certain exceptions, precludes the reassignment of Medicare claims to any other party;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similar foreign laws and regulations that may apply to us in the countries in which we operate or may operate in the future; and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laws that relate to maintaining accurate information and control over activities that may fall within the purview of the U.S. Foreign Corrupt Practices Act, its books and records provisions, or anti-bribery provisions.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face uncertainty related to healthcare reform, pricing, coverage and reimbursement, which could reduce our revenue.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Coverage of our screening products that we may develop may also depend, in whole or in part, on whether payers determine, or courts and/or regulatory authorities determine, coverage is required under applicable federal or state laws mandating coverage of certain cancer screening services.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payers may disagree about how these 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the U.S., we would largely depend on public or government-controlled payers for coverage of our oncology tests. As compared to many more routine diagnostic tests, our oncology tests are more complicated, expensive and are performed in a central, specialized lab. In order to accommodate the unique characteristics of our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payers covering the test or the number of orders placed. Public payers could condition reimbursement of our tests upon performance of our tests locally or, even in laboratories owned or operated by the payers.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payers or patients.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Product and professional liability suits against us could result in expensive and time-consuming litigation, payment of substantial damages and increases in our insurance rates.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Errors, defects, or mistakes in our products or services, and operations could harm our reputation, decrease market acceptance of our products or services.</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increasingly complex taxation rules and practices, which may affect how we conduct our business and our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 and Trade Secrets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inability to effectively protect our proprietary products, processes, and technologies, including the confidentiality of our trade secrets, could harm our competitive position.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deems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we lose, we may lose some of our intellectual property rights. Furthermore, these lawsuits may divert the attention of our management and technical personnel.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Any inability to effectively protect our proprietary technologies under certain jurisdictions and legal regimes could harm our competitive position.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adversely affect our ability to obtain commercially relevant or competitively advantageous patent protection for our products.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patent regulations or standards are modified, such changes could have a negative impact on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There have been several cases involving “gene patents” and diagnostic claims that have been considered by the U.S. Supreme Court. In March 2012, the Supreme Court </w:t>
      </w:r>
      <w:r>
        <w:rPr>
          <w:rFonts w:ascii="Times New Roman;sans-serif" w:hAnsi="Times New Roman;sans-serif"/>
          <w:b w:val="false"/>
          <w:i/>
          <w:color w:val="000000"/>
          <w:sz w:val="20"/>
        </w:rPr>
        <w:t>in Mayo Collaborative Services v. Prometheus Laboratories, Inc,</w:t>
      </w:r>
      <w:r>
        <w:rPr>
          <w:color w:val="000000"/>
        </w:rPr>
        <w:t xml:space="preserve"> </w:t>
      </w:r>
      <w:r>
        <w:rPr>
          <w:rFonts w:ascii="Times New Roman;sans-serif" w:hAnsi="Times New Roman;sans-serif"/>
          <w:b w:val="false"/>
          <w:color w:val="000000"/>
          <w:sz w:val="20"/>
        </w:rPr>
        <w:t xml:space="preserve">found a patented diagnostic method claim unpatentable because the relationship between a metabolite concentration and optimized dosage was a patent-ineligible “law of nature.” In June 2013, the Supreme Court ruled in </w:t>
      </w:r>
      <w:r>
        <w:rPr>
          <w:rFonts w:ascii="Times New Roman;sans-serif" w:hAnsi="Times New Roman;sans-serif"/>
          <w:b w:val="false"/>
          <w:i/>
          <w:color w:val="000000"/>
          <w:sz w:val="20"/>
        </w:rPr>
        <w:t>ACLU v. Myriad Genetics, Inc,</w:t>
      </w:r>
      <w:r>
        <w:rPr>
          <w:color w:val="000000"/>
        </w:rPr>
        <w:t xml:space="preserve"> </w:t>
      </w:r>
      <w:r>
        <w:rPr>
          <w:rFonts w:ascii="Times New Roman;sans-serif" w:hAnsi="Times New Roman;sans-serif"/>
          <w:b w:val="false"/>
          <w:color w:val="000000"/>
          <w:sz w:val="20"/>
        </w:rPr>
        <w:t xml:space="preserve">that an isolated genomic DNA sequence is not patent eligible while cDNA is eligible. The </w:t>
      </w:r>
      <w:r>
        <w:rPr>
          <w:rFonts w:ascii="Times New Roman;sans-serif" w:hAnsi="Times New Roman;sans-serif"/>
          <w:b w:val="false"/>
          <w:i/>
          <w:color w:val="000000"/>
          <w:sz w:val="20"/>
        </w:rPr>
        <w:t>Prometheus and Myriad</w:t>
      </w:r>
      <w:r>
        <w:rPr>
          <w:color w:val="000000"/>
        </w:rPr>
        <w:t xml:space="preserve"> </w:t>
      </w:r>
      <w:r>
        <w:rPr>
          <w:rFonts w:ascii="Times New Roman;sans-serif" w:hAnsi="Times New Roman;sans-serif"/>
          <w:b w:val="false"/>
          <w:color w:val="000000"/>
          <w:sz w:val="20"/>
        </w:rPr>
        <w:t>decisions, as well as subsequent case law, affect the legal concept of subject matter eligibility by seemingly narrowing the scope of the statute defining patentable inventions.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In December 2014 and again in 2019, the USPTO published revised guidelines for patent examiners to apply when examining process claims for patent eligibility in view of several recent Supreme Court decisions, including </w:t>
      </w:r>
      <w:r>
        <w:rPr>
          <w:rFonts w:ascii="Times New Roman;sans-serif" w:hAnsi="Times New Roman;sans-serif"/>
          <w:b w:val="false"/>
          <w:i/>
          <w:color w:val="000000"/>
          <w:sz w:val="20"/>
        </w:rPr>
        <w:t>Mayo, Association for Molecular Pathology v. Myriad Genetics, Inc.</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Alice Corporation Pty. Ltd. v. CLS Bank International</w:t>
      </w:r>
      <w:r>
        <w:rPr>
          <w:rFonts w:ascii="Times New Roman;sans-serif" w:hAnsi="Times New Roman;sans-serif"/>
          <w:b w:val="false"/>
          <w:color w:val="000000"/>
          <w:sz w:val="20"/>
        </w:rPr>
        <w:t xml:space="preserve">, and others. The guidance indicates that claims directed to a law of nature, a natural phenomenon, or an abstract idea that do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substantive changes to patent law, whether new or associated with the America Invents Act — which substantially revised the U.S. patent system —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not able to adequately protect our trade secrets and other proprietary information, including the databases we manage and to which we have access, the value of our technology and products could be significantly diminished.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we may not be able to build name recognition in our markets of interest, and our business may be adversely affected.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or other proceedings resulting from either third-party claims of patent infringement, or asserting infringement by third parties of our technology, could be costly, time-consuming, and could limit our ability to commercialize our products or services.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U.S. Patent &amp; Trademark Office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use of open-source software could subject our business to possible litigation or cause us to subject our platform to unwanted open-source license conditions that could negatively impact our sales.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strategic collaborative and licensing arrangements with third parties to develop critical intellectual property. We may not be able to successfully establish and maintain such intellectual property.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Cybersecurity, Privacy and Information Technology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Interruption, interference with, or failure of our information technology and communications systems could hurt our ability to effectively provide our products and services, which could harm our reputation, financial condition, and operating results.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secure processing, storage, maintenance and transmission of this critical information are vital to our operations and business strategy, and we devote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our business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(“UDAP”), statutes may also vary significantly.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United Kingdom’s decision to leave the EU, often referred to as Brexit, has created uncertainty with regard to data protection regulation in the United Kingdom. The relationship between the United Kingdom and the EU remains uncertain, for example how data transfers between the United Kingdom and the EU and other jurisdictions will be treated and the role of the United Kingdom’s supervisory authority. For example, on June 28, 2021, the European Commission adopted the adequacy decision (the “UK Adequacy Decision”) in the wake of a non-binding vote by the European Parliament against the then-draft UK Adequacy Decision the month prior. Consequently, personal data can continue to flow from the EEA to the United Kingdom without the need for appropriate safeguards. The UK Adequacy Decision includes a “sunset clause”, rendering the decision valid for four years only, after which it will be reviewed by the European Commission and renewed only if the European Commission considers that the United Kingdom continues to ensure an adequate level of data protection. The European Commission also stated that it would intervene at any point within the four years if the United Kingdom deviates from the level of protection presently in place. If this adequacy decision reversed by the European Commission, it would require that companies implement protection measures such as the standard contractual clauses for data transfers between the EU and the United Kingdom.</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depend on our scientific computing and information technology and management systems and any failure of these systems could harm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payers,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transfer data stored outside of the United States could be limited by international regulations or other action by foreign governments, which could adversely affect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 </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Being a Public Company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will incur increased costs and demands on management as a result of compliance with laws and regulations applicable to public companies, which could harm our operating results.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incur significant legal, accounting and other expenses, including costs associated with public company reporting requirements. In addition, the Sarbanes-Oxley Act of 2002 (the “Sarbanes-Oxley Act”) as well as rules implemented by the SEC and the Nasdaq Stock Market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Dodd-Frank Wall Street Reform and Consumer Protection Act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 market for our securities may not continue, which would adversely affect the liquidity and price of our securities.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do not meet the expectations of investors, stockholders or financial analysts, the market price of our securities may decline.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Factors affecting the trading price of our securities may include: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or anticipated fluctuations in our quarterly financial results or the quarterly financial results of companies perceived to be similar to us;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the market’s expectations about our operating results;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public’s reaction to our press releases, our other public announcements and our filings with the SEC;</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speculation in the press or investment community;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announcements of technological innovation, new products, acquisitions, strategic alliances, significant agreements by us or competitors;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success of competitors;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operating results falling below our financial guidance or other projections or failing to meet the expectation of securities analysts or investors in a particular period;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financial estimates and recommendations by securities analysts concerning us or the market in general;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operating and stock price performance of other companies that investors deem comparable to us;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market new and enhanced products on a timely basis;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laws and regulations affecting our business;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commencement of, or involvement in, litigation involving us;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risks that the Acquisition disrupts our current plans and operations or affects our ability to retain or recruit key employees;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risks related to the Acquisition diverting management’s or employees’ attention from ongoing business operations;</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effect of the Acquisition on our business relationships (including, without limitation customers, strategic partners, collaborators and suppliers), operating results and business generally;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amount of the costs, fees, expenses and charges related to the Acquisition;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volume of shares of our Class A common stock available for public sale;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any major change in our Board or management;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sales of substantial amounts of Class A common stock by our directors, officers or significant stockholders or the perception that such sales could occur;</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expiration of the market stand-off or contractual lock-up agreements;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realization of any of the risk factors described herein;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additions or departures of key personnel;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failure to comply with the requirements of the Nasdaq;</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failure to comply with the Sarbanes-Oxley Act or other laws or regulations;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potential or perceived control, accounting or reporting problems;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accounting principles, policies and guidelines;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general economic and political conditions such as recessions, inflation and interest rates, fuel prices, international currency fluctuations and acts of war or terrorism.</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Changes in laws, regulations or rules, or a failure to comply with any laws, regulations or rules, may adversely affect our business, investments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applicable laws, regulations or rules, as interpreted and applied, could have a material adverse effect on our business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Charter and Restated Bylaws, as well as provisions of Delaware law, could impair a takeover attempt.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(which we refer to as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no cumulative voting in the election of directors, which limits the ability of minority stockholders to elect director candidates;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the Board;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requirement that directors may only be removed from the Board for cause;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right of our Board to elect a director to fill a vacancy created by the expansion of our Board or the resignation, death or removal of a director in certain circumstances, which prevents stockholders from being able to fill vacancies on our Board;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requirement that changes or amendments to certain provisions of our Charter must be approved by holders of at least two-thirds of our Class A common stock;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JOBS Act permits “emerging growth companies” like us to take advantage of certain exemptions from various reporting requirements applicable to other public companies that are not emerging growth companies.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$1.07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Class A common stock held by non-affiliates exceeds $250 million as of the prior June 30, or (ii) our annual revenues exceeded $100 million during such completed fiscal year and the market value of our Class A common stock held by non-affiliates exceeds $700 million as of the prior June 30.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provides that, subject to limited exceptions, the Court of Chancery of the State of Delaware and federal court within the State of Delaware will be exclusive forums for any: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derivative action or proceeding brought on our behalf;</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action asserting a claim of breach of a fiduciary duty owed by, or other wrongdoing by, any of our directors, officers, stockholders, employees or agents to us or our stockholders;</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action asserting a claim against the us or any of our directors, officers, stockholders, employees or agents arising pursuant to any provision of the General Corporation Law, our Charter or our Restated Bylaws or as to which the General Corporation Law confers jurisdiction on the Court of Chancery of the State of Delaware: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action to interpret, apply, enforce or determine the validity of our Charter or our Bylaws; or</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other action asserting a claim against us or any of our directors, officers, stockholders, employees or agents that is governed by the internal affairs doctrine.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our Bylaws and the choice of forum provision in our Charter.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Charter to be inapplicable or unenforceable in an action, we may incur additional costs associated with resolving such action in other jurisdictions, which could harm our business, results of operations and financial condition.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stockholders will not be deemed to have waived our compliance with the federal securities laws and the regulations promulgated thereunder.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or holding any interest in any of our securities shall be deemed to have notice of and consented to our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 and Warrants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redeem unexpired public warrants prior to their exercise at a time that is disadvantageous to warrant holders, thereby making their public warrants worthless.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w:t>
      </w:r>
      <w:r>
        <w:br w:type="page"/>
      </w: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the Former Sponsor, or its permitted transferees.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warrants are exercisable for our Class A common stock, which will increase the number of shares eligible for future resale in the public market and result in dilution to our stockholders.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our public warrants are exercisable for 14,758,305 shares of Class A common stock at $11.50 per share. Our private warrants are exercisable for 7,236,667 shares of Class A common stock at $11.50 per share. The additional shares of our Class A common stock issuable upon exercise of our warrants will result in dilution to the then existing holders of our Class A common stock and increase the number of shares eligible for resale in the public market. Sales of substantial numbers of such shares in the public market could adversely affect the market price of our Class A common stock.</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warrants are accounted for as liabilities and the changes in value of our warrants could have a material effect on our financial results.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on our balance sheet as of March 31, 2022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Future resales of our Class A common stock could cause the market price of our Class A common stock to drop significantly, even if our business is doing well.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outstanding 377,249,186 shares of Class A common stock as of April 30, 2022. We have filed a registration statement which registers the offer and sale from time to time by certain selling stockholders of up to 160,864,198 shares of our Class A common stock, although the 110,864,198 shares registered on behalf of OPKO pursuant to this registration statement will be subject to transfer restrictions pursuant to the shareholder agreements that were entered into in connection with the Acquisition. In addition, we have filed a separate registration statement that the registers the offer and sale from time to time by certain selling security holders of up to an additional 229,657,978 shares of our Class A common stock. Furthermore, beginning on July 29, 2022, Rule 144 will become available for the resale of any shares that are restricted or control securities, subject to volume and other restrictions as applicable under Rule 144. To the extent shares are sold into the market pursuant to this prospectus, under Rule 144 or otherwise, particularly in substantial quantities and including following the end of the transfer restrictions provided for in the shareholder agreements in the case of OPKO and the other holders party such shareholder agreements, the market price of our Class A common stock could decline.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the public warrants will ever be in the money, and they may expire worthless and the terms of our public warrants may be amended.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for the public warrants is $11.50 per share of Class A common stock. There is no guarantee that the public warrants will ever be in the money prior to their expiration, and as such, the public warrants may expire worthless.</w:t>
      </w:r>
    </w:p>
    <w:p>
      <w:pPr>
        <w:pStyle w:val="TextBody"/>
        <w:spacing w:before="200" w:after="283"/>
        <w:jc w:val="both"/>
        <w:rPr/>
      </w:pPr>
      <w:r>
        <w:rPr/>
      </w:r>
    </w:p>
    <w:p>
      <w:pPr>
        <w:pStyle w:val="TextBody"/>
        <w:spacing w:before="200" w:after="283"/>
        <w:ind w:left="0" w:right="0" w:firstLine="360"/>
        <w:jc w:val="both"/>
        <w:rPr/>
      </w:pPr>
      <w:r>
        <w:rPr/>
      </w:r>
    </w:p>
    <w:p>
      <w:pPr>
        <w:pStyle w:val="TextBody"/>
        <w:spacing w:before="200" w:after="283"/>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360"/>
        <w:rPr/>
      </w:pPr>
      <w:r>
        <w:rPr/>
      </w:r>
    </w:p>
    <w:p>
      <w:pPr>
        <w:pStyle w:val="TextBody"/>
        <w:spacing w:lineRule="auto" w:line="268" w:before="0" w:after="0"/>
        <w:rPr/>
      </w:pPr>
      <w:r>
        <w:rPr>
          <w:rFonts w:ascii="Times New Roman;sans-serif" w:hAnsi="Times New Roman;sans-serif"/>
          <w:b/>
          <w:color w:val="000000"/>
          <w:sz w:val="20"/>
        </w:rPr>
        <w:t>Issuer Purchases of Equity Securitie</w:t>
      </w:r>
      <w:r>
        <w:rPr>
          <w:rFonts w:ascii="Times New Roman;sans-serif" w:hAnsi="Times New Roman;sans-serif"/>
          <w:b w:val="false"/>
          <w:color w:val="000000"/>
          <w:sz w:val="20"/>
        </w:rPr>
        <w:t>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rPr/>
      </w:pPr>
      <w:r>
        <w:rPr/>
      </w:r>
    </w:p>
    <w:p>
      <w:pPr>
        <w:pStyle w:val="TextBody"/>
        <w:spacing w:lineRule="auto" w:line="268"/>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w:t>
      </w:r>
      <w:r>
        <w:br w:type="page"/>
      </w:r>
    </w:p>
    <w:p>
      <w:pPr>
        <w:pStyle w:val="TextBody"/>
        <w:spacing w:lineRule="auto" w:line="333" w:before="0" w:after="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28"/>
        <w:gridCol w:w="173"/>
        <w:gridCol w:w="165"/>
        <w:gridCol w:w="109"/>
        <w:gridCol w:w="109"/>
        <w:gridCol w:w="109"/>
        <w:gridCol w:w="1846"/>
        <w:gridCol w:w="1661"/>
        <w:gridCol w:w="1667"/>
        <w:gridCol w:w="109"/>
        <w:gridCol w:w="109"/>
        <w:gridCol w:w="109"/>
        <w:gridCol w:w="175"/>
        <w:gridCol w:w="175"/>
        <w:gridCol w:w="176"/>
        <w:gridCol w:w="109"/>
        <w:gridCol w:w="109"/>
        <w:gridCol w:w="109"/>
        <w:gridCol w:w="225"/>
        <w:gridCol w:w="225"/>
        <w:gridCol w:w="226"/>
        <w:gridCol w:w="109"/>
        <w:gridCol w:w="109"/>
        <w:gridCol w:w="109"/>
        <w:gridCol w:w="217"/>
        <w:gridCol w:w="217"/>
        <w:gridCol w:w="218"/>
        <w:gridCol w:w="109"/>
        <w:gridCol w:w="109"/>
        <w:gridCol w:w="109"/>
        <w:gridCol w:w="283"/>
        <w:gridCol w:w="283"/>
        <w:gridCol w:w="410"/>
      </w:tblGrid>
      <w:tr>
        <w:trPr/>
        <w:tc>
          <w:tcPr>
            <w:tcW w:w="22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1661" w:type="dxa"/>
            <w:tcBorders/>
            <w:shd w:fill="auto" w:val="clear"/>
            <w:vAlign w:val="center"/>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5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color w:val="000000"/>
                <w:sz w:val="18"/>
              </w:rPr>
            </w:pPr>
            <w:r>
              <w:rPr>
                <w:rFonts w:ascii="Times New Roman;sans-serif" w:hAnsi="Times New Roman;sans-serif"/>
                <w:b/>
                <w:color w:val="000000"/>
                <w:sz w:val="18"/>
              </w:rPr>
              <w:t>Description of 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Filed Herewith</w:t>
            </w:r>
          </w:p>
        </w:tc>
      </w:tr>
      <w:tr>
        <w:trPr/>
        <w:tc>
          <w:tcPr>
            <w:tcW w:w="5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left"/>
              <w:rPr/>
            </w:pPr>
            <w:hyperlink r:id="rId4">
              <w:r>
                <w:rPr>
                  <w:rStyle w:val="InternetLink"/>
                  <w:rFonts w:ascii="Times New Roman;sans-serif" w:hAnsi="Times New Roman;sans-serif"/>
                  <w:b w:val="false"/>
                  <w:color w:val="0000FF"/>
                  <w:sz w:val="18"/>
                  <w:u w:val="single"/>
                </w:rPr>
                <w:t>Agreement and Plan of Merger and Reorganization, dated as of January 14, 2022, by and among, Orion Merger Sub I, Inc., Orion Merger Sub II, LLC, GeneDx, Inc., GeneDx Holding 2, Inc. and OPKO Health, Inc.</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5">
              <w:r>
                <w:rPr>
                  <w:rStyle w:val="InternetLink"/>
                  <w:rFonts w:ascii="Times New Roman;sans-serif" w:hAnsi="Times New Roman;sans-serif"/>
                  <w:b w:val="false"/>
                  <w:color w:val="0000FF"/>
                  <w:sz w:val="18"/>
                  <w:u w:val="single"/>
                </w:rPr>
                <w:t>Third Amended and Restated Certificate of Incorporation of Sema4 Holdings Corp.</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07/28/2021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6">
              <w:r>
                <w:rPr>
                  <w:rStyle w:val="InternetLink"/>
                  <w:rFonts w:ascii="Times New Roman;sans-serif" w:hAnsi="Times New Roman;sans-serif"/>
                  <w:b w:val="false"/>
                  <w:color w:val="0000FF"/>
                  <w:sz w:val="18"/>
                  <w:u w:val="single"/>
                </w:rPr>
                <w:t>Restated Bylaws of Sema4 Holdings Corp.</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07/28/2021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7">
              <w:r>
                <w:rPr>
                  <w:rStyle w:val="InternetLink"/>
                  <w:rFonts w:ascii="Times New Roman;sans-serif" w:hAnsi="Times New Roman;sans-serif"/>
                  <w:b w:val="false"/>
                  <w:color w:val="0000FF"/>
                  <w:sz w:val="18"/>
                  <w:u w:val="single"/>
                </w:rPr>
                <w:t>Form of Subscription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8">
              <w:r>
                <w:rPr>
                  <w:rStyle w:val="InternetLink"/>
                  <w:rFonts w:ascii="Times New Roman;sans-serif" w:hAnsi="Times New Roman;sans-serif"/>
                  <w:b w:val="false"/>
                  <w:color w:val="0000FF"/>
                  <w:sz w:val="18"/>
                  <w:u w:val="single"/>
                </w:rPr>
                <w:t>Form of Shareholder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9">
              <w:r>
                <w:rPr>
                  <w:rStyle w:val="InternetLink"/>
                  <w:rFonts w:ascii="Times New Roman;sans-serif" w:hAnsi="Times New Roman;sans-serif"/>
                  <w:b w:val="false"/>
                  <w:color w:val="0000FF"/>
                  <w:sz w:val="18"/>
                  <w:u w:val="single"/>
                </w:rPr>
                <w:t>Form of Support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0">
              <w:r>
                <w:rPr>
                  <w:rStyle w:val="InternetLink"/>
                  <w:rFonts w:ascii="Times New Roman;sans-serif" w:hAnsi="Times New Roman;sans-serif"/>
                  <w:b w:val="false"/>
                  <w:color w:val="0000FF"/>
                  <w:sz w:val="18"/>
                  <w:u w:val="single"/>
                </w:rPr>
                <w:t>Form of Lock-Up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1">
              <w:r>
                <w:rPr>
                  <w:rStyle w:val="InternetLink"/>
                  <w:rFonts w:ascii="Times New Roman;sans-serif" w:hAnsi="Times New Roman;sans-serif"/>
                  <w:b w:val="false"/>
                  <w:color w:val="0000FF"/>
                  <w:sz w:val="18"/>
                  <w:u w:val="single"/>
                </w:rPr>
                <w:t>Separation Agreement with James Coffin dated as of January 25, 2022.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01/31/2022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2">
              <w:r>
                <w:rPr>
                  <w:rStyle w:val="InternetLink"/>
                  <w:rFonts w:ascii="Times New Roman;sans-serif" w:hAnsi="Times New Roman;sans-serif"/>
                  <w:b w:val="false"/>
                  <w:color w:val="0000FF"/>
                  <w:sz w:val="18"/>
                  <w:u w:val="single"/>
                </w:rPr>
                <w:t>Executive Chairman Agreement, dated as of January 17, 2022, by and between the Company and Jason Ryan</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03/14/2022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3">
              <w:r>
                <w:rPr>
                  <w:rStyle w:val="InternetLink"/>
                  <w:rFonts w:ascii="Times New Roman;sans-serif" w:hAnsi="Times New Roman;sans-serif"/>
                  <w:b w:val="false"/>
                  <w:color w:val="0000FF"/>
                  <w:sz w:val="18"/>
                  <w:u w:val="single"/>
                </w:rPr>
                <w:t>Certification of Principal Executive Officer Pursuant to Securities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4">
              <w:r>
                <w:rPr>
                  <w:rStyle w:val="InternetLink"/>
                  <w:rFonts w:ascii="Times New Roman;sans-serif" w:hAnsi="Times New Roman;sans-serif"/>
                  <w:b w:val="false"/>
                  <w:color w:val="0000FF"/>
                  <w:sz w:val="18"/>
                  <w:u w:val="single"/>
                </w:rPr>
                <w:t>Certification of Principal Financial Officer Pursuant to Securities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5">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6">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XBRL Instance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with applicable taxonomy extension information contained in Exhibits 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0" w:after="0"/>
        <w:rPr/>
      </w:pPr>
      <w:r>
        <w:br w:type="page"/>
      </w: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tbl>
      <w:tblPr>
        <w:tblW w:w="8160" w:type="dxa"/>
        <w:jc w:val="left"/>
        <w:tblInd w:w="0" w:type="dxa"/>
        <w:tblCellMar>
          <w:top w:w="28" w:type="dxa"/>
          <w:left w:w="28" w:type="dxa"/>
          <w:bottom w:w="28" w:type="dxa"/>
          <w:right w:w="28" w:type="dxa"/>
        </w:tblCellMar>
      </w:tblPr>
      <w:tblGrid>
        <w:gridCol w:w="124"/>
        <w:gridCol w:w="109"/>
        <w:gridCol w:w="109"/>
        <w:gridCol w:w="109"/>
        <w:gridCol w:w="2259"/>
        <w:gridCol w:w="2259"/>
        <w:gridCol w:w="31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9" w:type="dxa"/>
            <w:tcBorders/>
            <w:shd w:fill="auto" w:val="clear"/>
            <w:vAlign w:val="center"/>
          </w:tcPr>
          <w:p>
            <w:pPr>
              <w:pStyle w:val="TableContents"/>
              <w:spacing w:before="0" w:after="283"/>
              <w:rPr>
                <w:sz w:val="4"/>
                <w:szCs w:val="4"/>
              </w:rPr>
            </w:pPr>
            <w:r>
              <w:rPr>
                <w:sz w:val="4"/>
                <w:szCs w:val="4"/>
              </w:rPr>
            </w:r>
          </w:p>
        </w:tc>
        <w:tc>
          <w:tcPr>
            <w:tcW w:w="2259" w:type="dxa"/>
            <w:tcBorders/>
            <w:shd w:fill="auto" w:val="clear"/>
            <w:vAlign w:val="center"/>
          </w:tcPr>
          <w:p>
            <w:pPr>
              <w:pStyle w:val="TableContents"/>
              <w:spacing w:before="0" w:after="283"/>
              <w:rPr>
                <w:sz w:val="4"/>
                <w:szCs w:val="4"/>
              </w:rPr>
            </w:pPr>
            <w:r>
              <w:rPr>
                <w:sz w:val="4"/>
                <w:szCs w:val="4"/>
              </w:rPr>
            </w:r>
          </w:p>
        </w:tc>
        <w:tc>
          <w:tcPr>
            <w:tcW w:w="319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12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Furnished.</w:t>
            </w:r>
          </w:p>
        </w:tc>
      </w:tr>
      <w:tr>
        <w:trPr/>
        <w:tc>
          <w:tcPr>
            <w:tcW w:w="12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exhibits and schedules to this Exhibit have been omitted in accordance with </w:t>
            </w:r>
          </w:p>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Regulation S-K Item 601(a)(5). The Company agrees to furnish a copy of all omitted exhibits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schedules to the SEC upon its request.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180"/>
        <w:rPr/>
      </w:pPr>
      <w:hyperlink w:anchor="i020643f30177421dbd0e724d22f5f5d7_10">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200" w:after="283"/>
        <w:jc w:val="center"/>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Securities Exchange Act of 1934, the registrant has duly caused this report to be signed on its behalf by the undersigned, thereunto duly authorized.</w:t>
      </w:r>
    </w:p>
    <w:tbl>
      <w:tblPr>
        <w:tblW w:w="8446" w:type="dxa"/>
        <w:jc w:val="left"/>
        <w:tblInd w:w="0" w:type="dxa"/>
        <w:tblCellMar>
          <w:top w:w="28" w:type="dxa"/>
          <w:left w:w="28" w:type="dxa"/>
          <w:bottom w:w="28" w:type="dxa"/>
          <w:right w:w="28" w:type="dxa"/>
        </w:tblCellMar>
      </w:tblPr>
      <w:tblGrid>
        <w:gridCol w:w="645"/>
        <w:gridCol w:w="568"/>
        <w:gridCol w:w="571"/>
        <w:gridCol w:w="391"/>
        <w:gridCol w:w="391"/>
        <w:gridCol w:w="391"/>
        <w:gridCol w:w="1593"/>
        <w:gridCol w:w="1593"/>
        <w:gridCol w:w="2303"/>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2303"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2"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SEMA4 HOLDINGS CORP.</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 2022</w:t>
            </w:r>
          </w:p>
        </w:tc>
        <w:tc>
          <w:tcPr>
            <w:tcW w:w="11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4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4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 (Principal Executive Officer)</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 2022</w:t>
            </w:r>
          </w:p>
        </w:tc>
        <w:tc>
          <w:tcPr>
            <w:tcW w:w="11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Isaac Ro</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4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Isaac Ro</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4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0001818331/000181833122000010/exhibit21-mergeragreement2.htm" TargetMode="External"/><Relationship Id="rId5" Type="http://schemas.openxmlformats.org/officeDocument/2006/relationships/hyperlink" Target="https://www.sec.gov/Archives/edgar/data/0001818331/000162828021014760/exhibit31-super8xk.htm" TargetMode="External"/><Relationship Id="rId6" Type="http://schemas.openxmlformats.org/officeDocument/2006/relationships/hyperlink" Target="https://www.sec.gov/Archives/edgar/data/0001818331/000162828021014760/exhibit32-super8xk.htm" TargetMode="External"/><Relationship Id="rId7" Type="http://schemas.openxmlformats.org/officeDocument/2006/relationships/hyperlink" Target="https://www.sec.gov/Archives/edgar/data/0001818331/000181833122000010/exhibit101-formofsubscript.htm" TargetMode="External"/><Relationship Id="rId8" Type="http://schemas.openxmlformats.org/officeDocument/2006/relationships/hyperlink" Target="https://www.sec.gov/Archives/edgar/data/0001818331/000181833122000010/exhibit102-formofsharehold.htm" TargetMode="External"/><Relationship Id="rId9" Type="http://schemas.openxmlformats.org/officeDocument/2006/relationships/hyperlink" Target="https://www.sec.gov/Archives/edgar/data/0001818331/000181833122000010/exhibit103-formofstockhold.htm" TargetMode="External"/><Relationship Id="rId10" Type="http://schemas.openxmlformats.org/officeDocument/2006/relationships/hyperlink" Target="https://www.sec.gov/Archives/edgar/data/0001818331/000181833122000010/exhibit104-formofpipeinves.htm" TargetMode="External"/><Relationship Id="rId11" Type="http://schemas.openxmlformats.org/officeDocument/2006/relationships/hyperlink" Target="https://www.sec.gov/Archives/edgar/data/0001818331/000181833122000022/sema4-separationagreement.htm" TargetMode="External"/><Relationship Id="rId12" Type="http://schemas.openxmlformats.org/officeDocument/2006/relationships/hyperlink" Target="https://www.sec.gov/Archives/edgar/data/0001818331/000181833122000037/fw_15470948x3xsema4-execut.htm" TargetMode="External"/><Relationship Id="rId13" Type="http://schemas.openxmlformats.org/officeDocument/2006/relationships/hyperlink" Target="https://www.sec.gov/Archives/edgar/data/0001818331/000181833122000046/ceocertificationfor-ex311x.htm" TargetMode="External"/><Relationship Id="rId14" Type="http://schemas.openxmlformats.org/officeDocument/2006/relationships/hyperlink" Target="https://www.sec.gov/Archives/edgar/data/0001818331/000181833122000046/cfocertificationfor-ex312x.htm" TargetMode="External"/><Relationship Id="rId15" Type="http://schemas.openxmlformats.org/officeDocument/2006/relationships/hyperlink" Target="https://www.sec.gov/Archives/edgar/data/0001818331/000181833122000046/ceocertificationfor-ex321x.htm" TargetMode="External"/><Relationship Id="rId16" Type="http://schemas.openxmlformats.org/officeDocument/2006/relationships/hyperlink" Target="https://www.sec.gov/Archives/edgar/data/0001818331/000181833122000046/cfocertificationfor-ex322x.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95</Pages>
  <Words>61018</Words>
  <CharactersWithSpaces>399775</CharactersWithSpaces>
  <Paragraphs>2716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