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1)*</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Sema4 Holdings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Common Stock, par value $0.0001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81663L101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2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60" w:hanging="328"/>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60" w:hanging="328"/>
        <w:spacing w:after="0"/>
        <w:tabs>
          <w:tab w:leader="none" w:pos="660" w:val="left"/>
        </w:tabs>
        <w:numPr>
          <w:ilvl w:val="1"/>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25" w:lineRule="exact"/>
        <w:rPr>
          <w:rFonts w:ascii="MS PGothic" w:cs="MS PGothic" w:eastAsia="MS PGothic" w:hAnsi="MS PGothic"/>
          <w:sz w:val="18"/>
          <w:szCs w:val="18"/>
          <w:color w:val="auto"/>
        </w:rPr>
      </w:pPr>
    </w:p>
    <w:p>
      <w:pPr>
        <w:spacing w:after="0" w:line="277" w:lineRule="auto"/>
        <w:rPr>
          <w:rFonts w:ascii="MS PGothic" w:cs="MS PGothic" w:eastAsia="MS PGothic" w:hAnsi="MS PGothic"/>
          <w:sz w:val="18"/>
          <w:szCs w:val="18"/>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ind w:right="20"/>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596900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78"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0916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80" w:right="7520" w:hanging="655"/>
        <w:spacing w:after="0" w:line="230" w:lineRule="auto"/>
        <w:tabs>
          <w:tab w:leader="none" w:pos="935" w:val="left"/>
        </w:tabs>
        <w:numPr>
          <w:ilvl w:val="0"/>
          <w:numId w:val="3"/>
        </w:numPr>
        <w:rPr>
          <w:rFonts w:ascii="Arial" w:cs="Arial" w:eastAsia="Arial" w:hAnsi="Arial"/>
          <w:sz w:val="28"/>
          <w:szCs w:val="28"/>
          <w:b w:val="1"/>
          <w:bCs w:val="1"/>
          <w:color w:val="auto"/>
        </w:rPr>
      </w:pPr>
      <w:r>
        <w:rPr>
          <w:rFonts w:ascii="Arial" w:cs="Arial" w:eastAsia="Arial" w:hAnsi="Arial"/>
          <w:sz w:val="16"/>
          <w:szCs w:val="16"/>
          <w:color w:val="auto"/>
        </w:rPr>
        <w:t>NAMES OF REPORTING PERSONS MAGNETAR FINANCIAL LLC</w:t>
      </w:r>
    </w:p>
    <w:p>
      <w:pPr>
        <w:spacing w:after="0" w:line="41" w:lineRule="exact"/>
        <w:rPr>
          <w:rFonts w:ascii="Arial" w:cs="Arial" w:eastAsia="Arial" w:hAnsi="Arial"/>
          <w:sz w:val="28"/>
          <w:szCs w:val="28"/>
          <w:b w:val="1"/>
          <w:bCs w:val="1"/>
          <w:color w:val="auto"/>
        </w:rPr>
      </w:pPr>
    </w:p>
    <w:p>
      <w:pPr>
        <w:ind w:left="940"/>
        <w:spacing w:after="0"/>
        <w:rPr>
          <w:rFonts w:ascii="Arial" w:cs="Arial" w:eastAsia="Arial" w:hAnsi="Arial"/>
          <w:sz w:val="28"/>
          <w:szCs w:val="28"/>
          <w:b w:val="1"/>
          <w:bCs w:val="1"/>
          <w:color w:val="auto"/>
        </w:rPr>
      </w:pPr>
      <w:r>
        <w:rPr>
          <w:rFonts w:ascii="Arial" w:cs="Arial" w:eastAsia="Arial" w:hAnsi="Arial"/>
          <w:sz w:val="18"/>
          <w:szCs w:val="18"/>
          <w:color w:val="auto"/>
        </w:rPr>
        <w:t>CHECK THE APPROPRIATE BOX IF A MEMBER OF A GROUP (SEE INSTRUCTIONS)</w:t>
      </w:r>
    </w:p>
    <w:p>
      <w:pPr>
        <w:spacing w:after="0" w:line="94" w:lineRule="exact"/>
        <w:rPr>
          <w:sz w:val="20"/>
          <w:szCs w:val="20"/>
          <w:color w:val="auto"/>
        </w:rPr>
      </w:pPr>
    </w:p>
    <w:p>
      <w:pPr>
        <w:ind w:left="940" w:hanging="615"/>
        <w:spacing w:after="0" w:line="368" w:lineRule="exact"/>
        <w:tabs>
          <w:tab w:leader="none" w:pos="94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280" w:hanging="341"/>
        <w:spacing w:after="0" w:line="207" w:lineRule="exact"/>
        <w:tabs>
          <w:tab w:leader="none" w:pos="1280" w:val="left"/>
        </w:tabs>
        <w:numPr>
          <w:ilvl w:val="1"/>
          <w:numId w:val="4"/>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SEC USE ONLY</w:t>
      </w:r>
    </w:p>
    <w:p>
      <w:pPr>
        <w:ind w:left="320"/>
        <w:spacing w:after="0"/>
        <w:rPr>
          <w:sz w:val="20"/>
          <w:szCs w:val="20"/>
          <w:color w:val="auto"/>
        </w:rPr>
      </w:pPr>
      <w:r>
        <w:rPr>
          <w:rFonts w:ascii="Arial" w:cs="Arial" w:eastAsia="Arial" w:hAnsi="Arial"/>
          <w:sz w:val="32"/>
          <w:szCs w:val="32"/>
          <w:b w:val="1"/>
          <w:bCs w:val="1"/>
          <w:color w:val="auto"/>
        </w:rPr>
        <w:t>3</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CITIZENSHIP OR PLACE OF ORGANIZATION</w:t>
      </w:r>
    </w:p>
    <w:p>
      <w:pPr>
        <w:ind w:left="320"/>
        <w:spacing w:after="0" w:line="224" w:lineRule="auto"/>
        <w:rPr>
          <w:sz w:val="20"/>
          <w:szCs w:val="20"/>
          <w:color w:val="auto"/>
        </w:rPr>
      </w:pPr>
      <w:r>
        <w:rPr>
          <w:rFonts w:ascii="Arial" w:cs="Arial" w:eastAsia="Arial" w:hAnsi="Arial"/>
          <w:sz w:val="32"/>
          <w:szCs w:val="32"/>
          <w:b w:val="1"/>
          <w:bCs w:val="1"/>
          <w:color w:val="auto"/>
        </w:rPr>
        <w:t>4</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6760" w:type="dxa"/>
            <w:vAlign w:val="bottom"/>
            <w:tcBorders>
              <w:top w:val="single" w:sz="8" w:color="auto"/>
            </w:tcBorders>
          </w:tcPr>
          <w:p>
            <w:pPr>
              <w:jc w:val="right"/>
              <w:ind w:right="65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40" w:type="dxa"/>
            <w:vAlign w:val="bottom"/>
            <w:tcBorders>
              <w:right w:val="single" w:sz="8" w:color="auto"/>
            </w:tcBorders>
            <w:vMerge w:val="continue"/>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6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4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6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420" w:type="dxa"/>
            <w:vAlign w:val="bottom"/>
          </w:tcPr>
          <w:p>
            <w:pPr>
              <w:ind w:left="100"/>
              <w:spacing w:after="0"/>
              <w:rPr>
                <w:sz w:val="20"/>
                <w:szCs w:val="20"/>
                <w:color w:val="auto"/>
              </w:rPr>
            </w:pPr>
            <w:r>
              <w:rPr>
                <w:rFonts w:ascii="Arial" w:cs="Arial" w:eastAsia="Arial" w:hAnsi="Arial"/>
                <w:sz w:val="18"/>
                <w:szCs w:val="18"/>
                <w:color w:val="auto"/>
                <w:w w:val="96"/>
              </w:rPr>
              <w:t>SOLE DISPOSITIVE POWER</w:t>
            </w:r>
          </w:p>
        </w:tc>
        <w:tc>
          <w:tcPr>
            <w:tcW w:w="6760" w:type="dxa"/>
            <w:vAlign w:val="bottom"/>
          </w:tcPr>
          <w:p>
            <w:pPr>
              <w:jc w:val="right"/>
              <w:ind w:right="62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6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888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ind w:left="940"/>
        <w:spacing w:after="0" w:line="228" w:lineRule="auto"/>
        <w:rPr>
          <w:sz w:val="20"/>
          <w:szCs w:val="20"/>
          <w:color w:val="auto"/>
        </w:rPr>
      </w:pPr>
      <w:r>
        <w:rPr>
          <w:rFonts w:ascii="Arial" w:cs="Arial" w:eastAsia="Arial" w:hAnsi="Arial"/>
          <w:sz w:val="18"/>
          <w:szCs w:val="18"/>
          <w:color w:val="auto"/>
        </w:rPr>
        <w:t>AGGREGATE AMOUNT BENEFICIALLY OWNED BY EACH REPORTING PERSON</w:t>
      </w:r>
    </w:p>
    <w:p>
      <w:pPr>
        <w:ind w:left="320"/>
        <w:spacing w:after="0" w:line="225" w:lineRule="auto"/>
        <w:rPr>
          <w:sz w:val="20"/>
          <w:szCs w:val="20"/>
          <w:color w:val="auto"/>
        </w:rPr>
      </w:pPr>
      <w:r>
        <w:rPr>
          <w:rFonts w:ascii="Arial" w:cs="Arial" w:eastAsia="Arial" w:hAnsi="Arial"/>
          <w:sz w:val="32"/>
          <w:szCs w:val="32"/>
          <w:b w:val="1"/>
          <w:bCs w:val="1"/>
          <w:color w:val="auto"/>
        </w:rPr>
        <w:t>9</w:t>
      </w:r>
    </w:p>
    <w:p>
      <w:pPr>
        <w:ind w:left="940"/>
        <w:spacing w:after="0"/>
        <w:rPr>
          <w:sz w:val="20"/>
          <w:szCs w:val="20"/>
          <w:color w:val="auto"/>
        </w:rPr>
      </w:pPr>
      <w:r>
        <w:rPr>
          <w:rFonts w:ascii="Arial" w:cs="Arial" w:eastAsia="Arial" w:hAnsi="Arial"/>
          <w:sz w:val="18"/>
          <w:szCs w:val="18"/>
          <w:color w:val="auto"/>
        </w:rPr>
        <w:t>97,021</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ind w:left="240"/>
        <w:spacing w:after="0" w:line="220" w:lineRule="auto"/>
        <w:rPr>
          <w:sz w:val="20"/>
          <w:szCs w:val="20"/>
          <w:color w:val="auto"/>
        </w:rPr>
      </w:pPr>
      <w:r>
        <w:rPr>
          <w:rFonts w:ascii="Arial" w:cs="Arial" w:eastAsia="Arial" w:hAnsi="Arial"/>
          <w:sz w:val="32"/>
          <w:szCs w:val="32"/>
          <w:b w:val="1"/>
          <w:bCs w:val="1"/>
          <w:color w:val="auto"/>
        </w:rPr>
        <w:t>10</w:t>
      </w:r>
    </w:p>
    <w:p>
      <w:pPr>
        <w:ind w:left="940"/>
        <w:spacing w:after="0" w:line="181" w:lineRule="exact"/>
        <w:rPr>
          <w:sz w:val="20"/>
          <w:szCs w:val="20"/>
          <w:color w:val="auto"/>
        </w:rPr>
      </w:pPr>
      <w:r>
        <w:rPr>
          <w:rFonts w:ascii="MS PGothic" w:cs="MS PGothic" w:eastAsia="MS PGothic" w:hAnsi="MS PGothic"/>
          <w:sz w:val="18"/>
          <w:szCs w:val="18"/>
          <w:color w:val="auto"/>
        </w:rPr>
        <w:t>☐</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PERCENT OF CLASS REPRESENTED BY AMOUNT IN ROW (9)</w:t>
      </w:r>
    </w:p>
    <w:p>
      <w:pPr>
        <w:ind w:left="260"/>
        <w:spacing w:after="0" w:line="184" w:lineRule="auto"/>
        <w:tabs>
          <w:tab w:leader="none" w:pos="920" w:val="left"/>
        </w:tabs>
        <w:rPr>
          <w:sz w:val="20"/>
          <w:szCs w:val="20"/>
          <w:color w:val="auto"/>
        </w:rPr>
      </w:pPr>
      <w:r>
        <w:rPr>
          <w:rFonts w:ascii="Arial" w:cs="Arial" w:eastAsia="Arial" w:hAnsi="Arial"/>
          <w:sz w:val="26"/>
          <w:szCs w:val="26"/>
          <w:b w:val="1"/>
          <w:bCs w:val="1"/>
          <w:color w:val="auto"/>
        </w:rPr>
        <w:t>11</w:t>
      </w:r>
      <w:r>
        <w:rPr>
          <w:sz w:val="20"/>
          <w:szCs w:val="20"/>
          <w:color w:val="auto"/>
        </w:rPr>
        <w:tab/>
      </w:r>
      <w:r>
        <w:rPr>
          <w:rFonts w:ascii="Arial" w:cs="Arial" w:eastAsia="Arial" w:hAnsi="Arial"/>
          <w:sz w:val="15"/>
          <w:szCs w:val="15"/>
          <w:color w:val="auto"/>
        </w:rPr>
        <w:t>0.04%</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TYPE OF REPORTING PERSON (SEE INSTRUCTIONS)</w:t>
      </w:r>
    </w:p>
    <w:p>
      <w:pPr>
        <w:ind w:left="240"/>
        <w:spacing w:after="0" w:line="224"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IA,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 w:name="page3"/>
    <w:bookmarkEnd w:id="2"/>
    <w:p>
      <w:pPr>
        <w:spacing w:after="0"/>
        <w:tabs>
          <w:tab w:leader="none" w:pos="9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0916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80" w:right="7260" w:hanging="655"/>
        <w:spacing w:after="0" w:line="216" w:lineRule="auto"/>
        <w:tabs>
          <w:tab w:leader="none" w:pos="935" w:val="left"/>
        </w:tabs>
        <w:numPr>
          <w:ilvl w:val="0"/>
          <w:numId w:val="5"/>
        </w:numPr>
        <w:rPr>
          <w:rFonts w:ascii="Arial" w:cs="Arial" w:eastAsia="Arial" w:hAnsi="Arial"/>
          <w:sz w:val="30"/>
          <w:szCs w:val="30"/>
          <w:b w:val="1"/>
          <w:bCs w:val="1"/>
          <w:color w:val="auto"/>
        </w:rPr>
      </w:pPr>
      <w:r>
        <w:rPr>
          <w:rFonts w:ascii="Arial" w:cs="Arial" w:eastAsia="Arial" w:hAnsi="Arial"/>
          <w:sz w:val="17"/>
          <w:szCs w:val="17"/>
          <w:color w:val="auto"/>
        </w:rPr>
        <w:t>NAMES OF REPORTING PERSONS MAGNETAR CAPITAL PARTNERS LP</w:t>
      </w:r>
    </w:p>
    <w:p>
      <w:pPr>
        <w:spacing w:after="0" w:line="40" w:lineRule="exact"/>
        <w:rPr>
          <w:rFonts w:ascii="Arial" w:cs="Arial" w:eastAsia="Arial" w:hAnsi="Arial"/>
          <w:sz w:val="30"/>
          <w:szCs w:val="30"/>
          <w:b w:val="1"/>
          <w:bCs w:val="1"/>
          <w:color w:val="auto"/>
        </w:rPr>
      </w:pPr>
    </w:p>
    <w:p>
      <w:pPr>
        <w:ind w:left="940"/>
        <w:spacing w:after="0"/>
        <w:rPr>
          <w:rFonts w:ascii="Arial" w:cs="Arial" w:eastAsia="Arial" w:hAnsi="Arial"/>
          <w:sz w:val="30"/>
          <w:szCs w:val="30"/>
          <w:b w:val="1"/>
          <w:bCs w:val="1"/>
          <w:color w:val="auto"/>
        </w:rPr>
      </w:pPr>
      <w:r>
        <w:rPr>
          <w:rFonts w:ascii="Arial" w:cs="Arial" w:eastAsia="Arial" w:hAnsi="Arial"/>
          <w:sz w:val="18"/>
          <w:szCs w:val="18"/>
          <w:color w:val="auto"/>
        </w:rPr>
        <w:t>CHECK THE APPROPRIATE BOX IF A MEMBER OF A GROUP (SEE INSTRUCTIONS)</w:t>
      </w:r>
    </w:p>
    <w:p>
      <w:pPr>
        <w:spacing w:after="0" w:line="94" w:lineRule="exact"/>
        <w:rPr>
          <w:sz w:val="20"/>
          <w:szCs w:val="20"/>
          <w:color w:val="auto"/>
        </w:rPr>
      </w:pPr>
    </w:p>
    <w:p>
      <w:pPr>
        <w:ind w:left="940" w:hanging="615"/>
        <w:spacing w:after="0" w:line="368" w:lineRule="exact"/>
        <w:tabs>
          <w:tab w:leader="none" w:pos="940" w:val="left"/>
        </w:tabs>
        <w:numPr>
          <w:ilvl w:val="0"/>
          <w:numId w:val="6"/>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280" w:hanging="341"/>
        <w:spacing w:after="0" w:line="207" w:lineRule="exact"/>
        <w:tabs>
          <w:tab w:leader="none" w:pos="1280" w:val="left"/>
        </w:tabs>
        <w:numPr>
          <w:ilvl w:val="1"/>
          <w:numId w:val="6"/>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SEC USE ONLY</w:t>
      </w:r>
    </w:p>
    <w:p>
      <w:pPr>
        <w:ind w:left="320"/>
        <w:spacing w:after="0"/>
        <w:rPr>
          <w:sz w:val="20"/>
          <w:szCs w:val="20"/>
          <w:color w:val="auto"/>
        </w:rPr>
      </w:pPr>
      <w:r>
        <w:rPr>
          <w:rFonts w:ascii="Arial" w:cs="Arial" w:eastAsia="Arial" w:hAnsi="Arial"/>
          <w:sz w:val="32"/>
          <w:szCs w:val="32"/>
          <w:b w:val="1"/>
          <w:bCs w:val="1"/>
          <w:color w:val="auto"/>
        </w:rPr>
        <w:t>3</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CITIZENSHIP OR PLACE OF ORGANIZATION</w:t>
      </w:r>
    </w:p>
    <w:p>
      <w:pPr>
        <w:ind w:left="320"/>
        <w:spacing w:after="0" w:line="224" w:lineRule="auto"/>
        <w:rPr>
          <w:sz w:val="20"/>
          <w:szCs w:val="20"/>
          <w:color w:val="auto"/>
        </w:rPr>
      </w:pPr>
      <w:r>
        <w:rPr>
          <w:rFonts w:ascii="Arial" w:cs="Arial" w:eastAsia="Arial" w:hAnsi="Arial"/>
          <w:sz w:val="32"/>
          <w:szCs w:val="32"/>
          <w:b w:val="1"/>
          <w:bCs w:val="1"/>
          <w:color w:val="auto"/>
        </w:rPr>
        <w:t>4</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6760" w:type="dxa"/>
            <w:vAlign w:val="bottom"/>
            <w:tcBorders>
              <w:top w:val="single" w:sz="8" w:color="auto"/>
            </w:tcBorders>
          </w:tcPr>
          <w:p>
            <w:pPr>
              <w:jc w:val="right"/>
              <w:ind w:right="65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40" w:type="dxa"/>
            <w:vAlign w:val="bottom"/>
            <w:tcBorders>
              <w:right w:val="single" w:sz="8" w:color="auto"/>
            </w:tcBorders>
            <w:vMerge w:val="continue"/>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6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4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6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420" w:type="dxa"/>
            <w:vAlign w:val="bottom"/>
          </w:tcPr>
          <w:p>
            <w:pPr>
              <w:ind w:left="100"/>
              <w:spacing w:after="0"/>
              <w:rPr>
                <w:sz w:val="20"/>
                <w:szCs w:val="20"/>
                <w:color w:val="auto"/>
              </w:rPr>
            </w:pPr>
            <w:r>
              <w:rPr>
                <w:rFonts w:ascii="Arial" w:cs="Arial" w:eastAsia="Arial" w:hAnsi="Arial"/>
                <w:sz w:val="18"/>
                <w:szCs w:val="18"/>
                <w:color w:val="auto"/>
                <w:w w:val="96"/>
              </w:rPr>
              <w:t>SOLE DISPOSITIVE POWER</w:t>
            </w:r>
          </w:p>
        </w:tc>
        <w:tc>
          <w:tcPr>
            <w:tcW w:w="6760" w:type="dxa"/>
            <w:vAlign w:val="bottom"/>
          </w:tcPr>
          <w:p>
            <w:pPr>
              <w:jc w:val="right"/>
              <w:ind w:right="62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6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888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ind w:left="940"/>
        <w:spacing w:after="0" w:line="228" w:lineRule="auto"/>
        <w:rPr>
          <w:sz w:val="20"/>
          <w:szCs w:val="20"/>
          <w:color w:val="auto"/>
        </w:rPr>
      </w:pPr>
      <w:r>
        <w:rPr>
          <w:rFonts w:ascii="Arial" w:cs="Arial" w:eastAsia="Arial" w:hAnsi="Arial"/>
          <w:sz w:val="18"/>
          <w:szCs w:val="18"/>
          <w:color w:val="auto"/>
        </w:rPr>
        <w:t>AGGREGATE AMOUNT BENEFICIALLY OWNED BY EACH REPORTING PERSON</w:t>
      </w:r>
    </w:p>
    <w:p>
      <w:pPr>
        <w:ind w:left="320"/>
        <w:spacing w:after="0" w:line="225" w:lineRule="auto"/>
        <w:rPr>
          <w:sz w:val="20"/>
          <w:szCs w:val="20"/>
          <w:color w:val="auto"/>
        </w:rPr>
      </w:pPr>
      <w:r>
        <w:rPr>
          <w:rFonts w:ascii="Arial" w:cs="Arial" w:eastAsia="Arial" w:hAnsi="Arial"/>
          <w:sz w:val="32"/>
          <w:szCs w:val="32"/>
          <w:b w:val="1"/>
          <w:bCs w:val="1"/>
          <w:color w:val="auto"/>
        </w:rPr>
        <w:t>9</w:t>
      </w:r>
    </w:p>
    <w:p>
      <w:pPr>
        <w:ind w:left="940"/>
        <w:spacing w:after="0"/>
        <w:rPr>
          <w:sz w:val="20"/>
          <w:szCs w:val="20"/>
          <w:color w:val="auto"/>
        </w:rPr>
      </w:pPr>
      <w:r>
        <w:rPr>
          <w:rFonts w:ascii="Arial" w:cs="Arial" w:eastAsia="Arial" w:hAnsi="Arial"/>
          <w:sz w:val="18"/>
          <w:szCs w:val="18"/>
          <w:color w:val="auto"/>
        </w:rPr>
        <w:t>97,021</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ind w:left="240"/>
        <w:spacing w:after="0" w:line="220" w:lineRule="auto"/>
        <w:rPr>
          <w:sz w:val="20"/>
          <w:szCs w:val="20"/>
          <w:color w:val="auto"/>
        </w:rPr>
      </w:pPr>
      <w:r>
        <w:rPr>
          <w:rFonts w:ascii="Arial" w:cs="Arial" w:eastAsia="Arial" w:hAnsi="Arial"/>
          <w:sz w:val="32"/>
          <w:szCs w:val="32"/>
          <w:b w:val="1"/>
          <w:bCs w:val="1"/>
          <w:color w:val="auto"/>
        </w:rPr>
        <w:t>10</w:t>
      </w:r>
    </w:p>
    <w:p>
      <w:pPr>
        <w:ind w:left="940"/>
        <w:spacing w:after="0" w:line="181" w:lineRule="exact"/>
        <w:rPr>
          <w:sz w:val="20"/>
          <w:szCs w:val="20"/>
          <w:color w:val="auto"/>
        </w:rPr>
      </w:pPr>
      <w:r>
        <w:rPr>
          <w:rFonts w:ascii="MS PGothic" w:cs="MS PGothic" w:eastAsia="MS PGothic" w:hAnsi="MS PGothic"/>
          <w:sz w:val="18"/>
          <w:szCs w:val="18"/>
          <w:color w:val="auto"/>
        </w:rPr>
        <w:t>☐</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PERCENT OF CLASS REPRESENTED BY AMOUNT IN ROW (9)</w:t>
      </w:r>
    </w:p>
    <w:p>
      <w:pPr>
        <w:ind w:left="260"/>
        <w:spacing w:after="0" w:line="184" w:lineRule="auto"/>
        <w:tabs>
          <w:tab w:leader="none" w:pos="920" w:val="left"/>
        </w:tabs>
        <w:rPr>
          <w:sz w:val="20"/>
          <w:szCs w:val="20"/>
          <w:color w:val="auto"/>
        </w:rPr>
      </w:pPr>
      <w:r>
        <w:rPr>
          <w:rFonts w:ascii="Arial" w:cs="Arial" w:eastAsia="Arial" w:hAnsi="Arial"/>
          <w:sz w:val="26"/>
          <w:szCs w:val="26"/>
          <w:b w:val="1"/>
          <w:bCs w:val="1"/>
          <w:color w:val="auto"/>
        </w:rPr>
        <w:t>11</w:t>
      </w:r>
      <w:r>
        <w:rPr>
          <w:sz w:val="20"/>
          <w:szCs w:val="20"/>
          <w:color w:val="auto"/>
        </w:rPr>
        <w:tab/>
      </w:r>
      <w:r>
        <w:rPr>
          <w:rFonts w:ascii="Arial" w:cs="Arial" w:eastAsia="Arial" w:hAnsi="Arial"/>
          <w:sz w:val="15"/>
          <w:szCs w:val="15"/>
          <w:color w:val="auto"/>
        </w:rPr>
        <w:t>0.04%</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TYPE OF REPORTING PERSON (SEE INSTRUCTIONS)</w:t>
      </w:r>
    </w:p>
    <w:p>
      <w:pPr>
        <w:ind w:left="240"/>
        <w:spacing w:after="0" w:line="224"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HC, PN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3" w:name="page4"/>
    <w:bookmarkEnd w:id="3"/>
    <w:p>
      <w:pPr>
        <w:spacing w:after="0"/>
        <w:tabs>
          <w:tab w:leader="none" w:pos="9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0916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both"/>
        <w:ind w:left="980" w:right="7460" w:hanging="655"/>
        <w:spacing w:after="0" w:line="216" w:lineRule="auto"/>
        <w:tabs>
          <w:tab w:leader="none" w:pos="935" w:val="left"/>
        </w:tabs>
        <w:numPr>
          <w:ilvl w:val="0"/>
          <w:numId w:val="7"/>
        </w:numPr>
        <w:rPr>
          <w:rFonts w:ascii="Arial" w:cs="Arial" w:eastAsia="Arial" w:hAnsi="Arial"/>
          <w:sz w:val="30"/>
          <w:szCs w:val="30"/>
          <w:b w:val="1"/>
          <w:bCs w:val="1"/>
          <w:color w:val="auto"/>
        </w:rPr>
      </w:pPr>
      <w:r>
        <w:rPr>
          <w:rFonts w:ascii="Arial" w:cs="Arial" w:eastAsia="Arial" w:hAnsi="Arial"/>
          <w:sz w:val="17"/>
          <w:szCs w:val="17"/>
          <w:color w:val="auto"/>
        </w:rPr>
        <w:t>NAMES OF REPORTING PERSONS SUPERNOVA MANAGEMENT LLC</w:t>
      </w:r>
    </w:p>
    <w:p>
      <w:pPr>
        <w:spacing w:after="0" w:line="40" w:lineRule="exact"/>
        <w:rPr>
          <w:rFonts w:ascii="Arial" w:cs="Arial" w:eastAsia="Arial" w:hAnsi="Arial"/>
          <w:sz w:val="30"/>
          <w:szCs w:val="30"/>
          <w:b w:val="1"/>
          <w:bCs w:val="1"/>
          <w:color w:val="auto"/>
        </w:rPr>
      </w:pPr>
    </w:p>
    <w:p>
      <w:pPr>
        <w:ind w:left="940"/>
        <w:spacing w:after="0"/>
        <w:rPr>
          <w:rFonts w:ascii="Arial" w:cs="Arial" w:eastAsia="Arial" w:hAnsi="Arial"/>
          <w:sz w:val="30"/>
          <w:szCs w:val="30"/>
          <w:b w:val="1"/>
          <w:bCs w:val="1"/>
          <w:color w:val="auto"/>
        </w:rPr>
      </w:pPr>
      <w:r>
        <w:rPr>
          <w:rFonts w:ascii="Arial" w:cs="Arial" w:eastAsia="Arial" w:hAnsi="Arial"/>
          <w:sz w:val="18"/>
          <w:szCs w:val="18"/>
          <w:color w:val="auto"/>
        </w:rPr>
        <w:t>CHECK THE APPROPRIATE BOX IF A MEMBER OF A GROUP (SEE INSTRUCTIONS)</w:t>
      </w:r>
    </w:p>
    <w:p>
      <w:pPr>
        <w:spacing w:after="0" w:line="94" w:lineRule="exact"/>
        <w:rPr>
          <w:sz w:val="20"/>
          <w:szCs w:val="20"/>
          <w:color w:val="auto"/>
        </w:rPr>
      </w:pPr>
    </w:p>
    <w:p>
      <w:pPr>
        <w:ind w:left="940" w:hanging="615"/>
        <w:spacing w:after="0" w:line="368" w:lineRule="exact"/>
        <w:tabs>
          <w:tab w:leader="none" w:pos="940" w:val="left"/>
        </w:tabs>
        <w:numPr>
          <w:ilvl w:val="0"/>
          <w:numId w:val="8"/>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280" w:hanging="341"/>
        <w:spacing w:after="0" w:line="207" w:lineRule="exact"/>
        <w:tabs>
          <w:tab w:leader="none" w:pos="1280" w:val="left"/>
        </w:tabs>
        <w:numPr>
          <w:ilvl w:val="1"/>
          <w:numId w:val="8"/>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SEC USE ONLY</w:t>
      </w:r>
    </w:p>
    <w:p>
      <w:pPr>
        <w:ind w:left="320"/>
        <w:spacing w:after="0"/>
        <w:rPr>
          <w:sz w:val="20"/>
          <w:szCs w:val="20"/>
          <w:color w:val="auto"/>
        </w:rPr>
      </w:pPr>
      <w:r>
        <w:rPr>
          <w:rFonts w:ascii="Arial" w:cs="Arial" w:eastAsia="Arial" w:hAnsi="Arial"/>
          <w:sz w:val="32"/>
          <w:szCs w:val="32"/>
          <w:b w:val="1"/>
          <w:bCs w:val="1"/>
          <w:color w:val="auto"/>
        </w:rPr>
        <w:t>3</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CITIZENSHIP OR PLACE OF ORGANIZATION</w:t>
      </w:r>
    </w:p>
    <w:p>
      <w:pPr>
        <w:ind w:left="320"/>
        <w:spacing w:after="0" w:line="224" w:lineRule="auto"/>
        <w:rPr>
          <w:sz w:val="20"/>
          <w:szCs w:val="20"/>
          <w:color w:val="auto"/>
        </w:rPr>
      </w:pPr>
      <w:r>
        <w:rPr>
          <w:rFonts w:ascii="Arial" w:cs="Arial" w:eastAsia="Arial" w:hAnsi="Arial"/>
          <w:sz w:val="32"/>
          <w:szCs w:val="32"/>
          <w:b w:val="1"/>
          <w:bCs w:val="1"/>
          <w:color w:val="auto"/>
        </w:rPr>
        <w:t>4</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Delaware</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6760" w:type="dxa"/>
            <w:vAlign w:val="bottom"/>
            <w:tcBorders>
              <w:top w:val="single" w:sz="8" w:color="auto"/>
            </w:tcBorders>
          </w:tcPr>
          <w:p>
            <w:pPr>
              <w:jc w:val="right"/>
              <w:ind w:right="65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40" w:type="dxa"/>
            <w:vAlign w:val="bottom"/>
            <w:tcBorders>
              <w:right w:val="single" w:sz="8" w:color="auto"/>
            </w:tcBorders>
            <w:vMerge w:val="continue"/>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6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4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6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420" w:type="dxa"/>
            <w:vAlign w:val="bottom"/>
          </w:tcPr>
          <w:p>
            <w:pPr>
              <w:ind w:left="100"/>
              <w:spacing w:after="0"/>
              <w:rPr>
                <w:sz w:val="20"/>
                <w:szCs w:val="20"/>
                <w:color w:val="auto"/>
              </w:rPr>
            </w:pPr>
            <w:r>
              <w:rPr>
                <w:rFonts w:ascii="Arial" w:cs="Arial" w:eastAsia="Arial" w:hAnsi="Arial"/>
                <w:sz w:val="18"/>
                <w:szCs w:val="18"/>
                <w:color w:val="auto"/>
                <w:w w:val="96"/>
              </w:rPr>
              <w:t>SOLE DISPOSITIVE POWER</w:t>
            </w:r>
          </w:p>
        </w:tc>
        <w:tc>
          <w:tcPr>
            <w:tcW w:w="6760" w:type="dxa"/>
            <w:vAlign w:val="bottom"/>
          </w:tcPr>
          <w:p>
            <w:pPr>
              <w:jc w:val="right"/>
              <w:ind w:right="62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6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888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ind w:left="940"/>
        <w:spacing w:after="0" w:line="228" w:lineRule="auto"/>
        <w:rPr>
          <w:sz w:val="20"/>
          <w:szCs w:val="20"/>
          <w:color w:val="auto"/>
        </w:rPr>
      </w:pPr>
      <w:r>
        <w:rPr>
          <w:rFonts w:ascii="Arial" w:cs="Arial" w:eastAsia="Arial" w:hAnsi="Arial"/>
          <w:sz w:val="18"/>
          <w:szCs w:val="18"/>
          <w:color w:val="auto"/>
        </w:rPr>
        <w:t>AGGREGATE AMOUNT BENEFICIALLY OWNED BY EACH REPORTING PERSON</w:t>
      </w:r>
    </w:p>
    <w:p>
      <w:pPr>
        <w:ind w:left="320"/>
        <w:spacing w:after="0" w:line="225" w:lineRule="auto"/>
        <w:rPr>
          <w:sz w:val="20"/>
          <w:szCs w:val="20"/>
          <w:color w:val="auto"/>
        </w:rPr>
      </w:pPr>
      <w:r>
        <w:rPr>
          <w:rFonts w:ascii="Arial" w:cs="Arial" w:eastAsia="Arial" w:hAnsi="Arial"/>
          <w:sz w:val="32"/>
          <w:szCs w:val="32"/>
          <w:b w:val="1"/>
          <w:bCs w:val="1"/>
          <w:color w:val="auto"/>
        </w:rPr>
        <w:t>9</w:t>
      </w:r>
    </w:p>
    <w:p>
      <w:pPr>
        <w:ind w:left="940"/>
        <w:spacing w:after="0"/>
        <w:rPr>
          <w:sz w:val="20"/>
          <w:szCs w:val="20"/>
          <w:color w:val="auto"/>
        </w:rPr>
      </w:pPr>
      <w:r>
        <w:rPr>
          <w:rFonts w:ascii="Arial" w:cs="Arial" w:eastAsia="Arial" w:hAnsi="Arial"/>
          <w:sz w:val="18"/>
          <w:szCs w:val="18"/>
          <w:color w:val="auto"/>
        </w:rPr>
        <w:t>97,021</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ind w:left="240"/>
        <w:spacing w:after="0" w:line="220" w:lineRule="auto"/>
        <w:rPr>
          <w:sz w:val="20"/>
          <w:szCs w:val="20"/>
          <w:color w:val="auto"/>
        </w:rPr>
      </w:pPr>
      <w:r>
        <w:rPr>
          <w:rFonts w:ascii="Arial" w:cs="Arial" w:eastAsia="Arial" w:hAnsi="Arial"/>
          <w:sz w:val="32"/>
          <w:szCs w:val="32"/>
          <w:b w:val="1"/>
          <w:bCs w:val="1"/>
          <w:color w:val="auto"/>
        </w:rPr>
        <w:t>10</w:t>
      </w:r>
    </w:p>
    <w:p>
      <w:pPr>
        <w:ind w:left="940"/>
        <w:spacing w:after="0" w:line="181" w:lineRule="exact"/>
        <w:rPr>
          <w:sz w:val="20"/>
          <w:szCs w:val="20"/>
          <w:color w:val="auto"/>
        </w:rPr>
      </w:pPr>
      <w:r>
        <w:rPr>
          <w:rFonts w:ascii="MS PGothic" w:cs="MS PGothic" w:eastAsia="MS PGothic" w:hAnsi="MS PGothic"/>
          <w:sz w:val="18"/>
          <w:szCs w:val="18"/>
          <w:color w:val="auto"/>
        </w:rPr>
        <w:t>☐</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PERCENT OF CLASS REPRESENTED BY AMOUNT IN ROW (9)</w:t>
      </w:r>
    </w:p>
    <w:p>
      <w:pPr>
        <w:ind w:left="260"/>
        <w:spacing w:after="0" w:line="184" w:lineRule="auto"/>
        <w:tabs>
          <w:tab w:leader="none" w:pos="920" w:val="left"/>
        </w:tabs>
        <w:rPr>
          <w:sz w:val="20"/>
          <w:szCs w:val="20"/>
          <w:color w:val="auto"/>
        </w:rPr>
      </w:pPr>
      <w:r>
        <w:rPr>
          <w:rFonts w:ascii="Arial" w:cs="Arial" w:eastAsia="Arial" w:hAnsi="Arial"/>
          <w:sz w:val="26"/>
          <w:szCs w:val="26"/>
          <w:b w:val="1"/>
          <w:bCs w:val="1"/>
          <w:color w:val="auto"/>
        </w:rPr>
        <w:t>11</w:t>
      </w:r>
      <w:r>
        <w:rPr>
          <w:sz w:val="20"/>
          <w:szCs w:val="20"/>
          <w:color w:val="auto"/>
        </w:rPr>
        <w:tab/>
      </w:r>
      <w:r>
        <w:rPr>
          <w:rFonts w:ascii="Arial" w:cs="Arial" w:eastAsia="Arial" w:hAnsi="Arial"/>
          <w:sz w:val="15"/>
          <w:szCs w:val="15"/>
          <w:color w:val="auto"/>
        </w:rPr>
        <w:t>0.04%</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TYPE OF REPORTING PERSON (SEE INSTRUCTIONS)</w:t>
      </w:r>
    </w:p>
    <w:p>
      <w:pPr>
        <w:ind w:left="240"/>
        <w:spacing w:after="0" w:line="224"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HC, 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4" w:name="page5"/>
    <w:bookmarkEnd w:id="4"/>
    <w:p>
      <w:pPr>
        <w:spacing w:after="0"/>
        <w:tabs>
          <w:tab w:leader="none" w:pos="960" w:val="left"/>
        </w:tabs>
        <w:rPr>
          <w:sz w:val="20"/>
          <w:szCs w:val="20"/>
          <w:color w:val="auto"/>
        </w:rPr>
      </w:pPr>
      <w:r>
        <w:rPr>
          <w:rFonts w:ascii="Arial" w:cs="Arial" w:eastAsia="Arial" w:hAnsi="Arial"/>
          <w:sz w:val="18"/>
          <w:szCs w:val="18"/>
          <w:color w:val="auto"/>
        </w:rPr>
        <w:t>CUSIP No.</w:t>
      </w:r>
      <w:r>
        <w:rPr>
          <w:sz w:val="20"/>
          <w:szCs w:val="20"/>
          <w:color w:val="auto"/>
        </w:rPr>
        <w:tab/>
      </w:r>
      <w:r>
        <w:rPr>
          <w:rFonts w:ascii="Arial" w:cs="Arial" w:eastAsia="Arial" w:hAnsi="Arial"/>
          <w:sz w:val="16"/>
          <w:szCs w:val="16"/>
          <w:color w:val="auto"/>
        </w:rPr>
        <w:t>81663L101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20916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0916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980" w:right="7520" w:hanging="655"/>
        <w:spacing w:after="0" w:line="203" w:lineRule="auto"/>
        <w:tabs>
          <w:tab w:leader="none" w:pos="945" w:val="left"/>
        </w:tabs>
        <w:numPr>
          <w:ilvl w:val="0"/>
          <w:numId w:val="9"/>
        </w:numPr>
        <w:rPr>
          <w:rFonts w:ascii="Arial" w:cs="Arial" w:eastAsia="Arial" w:hAnsi="Arial"/>
          <w:sz w:val="32"/>
          <w:szCs w:val="32"/>
          <w:b w:val="1"/>
          <w:bCs w:val="1"/>
          <w:color w:val="auto"/>
        </w:rPr>
      </w:pPr>
      <w:r>
        <w:rPr>
          <w:rFonts w:ascii="Arial" w:cs="Arial" w:eastAsia="Arial" w:hAnsi="Arial"/>
          <w:sz w:val="18"/>
          <w:szCs w:val="18"/>
          <w:color w:val="auto"/>
        </w:rPr>
        <w:t>NAMES OF REPORTING PERSONS ALEC N. LITOWITZ</w:t>
      </w:r>
    </w:p>
    <w:p>
      <w:pPr>
        <w:spacing w:after="0" w:line="40" w:lineRule="exact"/>
        <w:rPr>
          <w:rFonts w:ascii="Arial" w:cs="Arial" w:eastAsia="Arial" w:hAnsi="Arial"/>
          <w:sz w:val="32"/>
          <w:szCs w:val="32"/>
          <w:b w:val="1"/>
          <w:bCs w:val="1"/>
          <w:color w:val="auto"/>
        </w:rPr>
      </w:pPr>
    </w:p>
    <w:p>
      <w:pPr>
        <w:ind w:left="940"/>
        <w:spacing w:after="0"/>
        <w:rPr>
          <w:rFonts w:ascii="Arial" w:cs="Arial" w:eastAsia="Arial" w:hAnsi="Arial"/>
          <w:sz w:val="32"/>
          <w:szCs w:val="32"/>
          <w:b w:val="1"/>
          <w:bCs w:val="1"/>
          <w:color w:val="auto"/>
        </w:rPr>
      </w:pPr>
      <w:r>
        <w:rPr>
          <w:rFonts w:ascii="Arial" w:cs="Arial" w:eastAsia="Arial" w:hAnsi="Arial"/>
          <w:sz w:val="18"/>
          <w:szCs w:val="18"/>
          <w:color w:val="auto"/>
        </w:rPr>
        <w:t>CHECK THE APPROPRIATE BOX IF A MEMBER OF A GROUP (SEE INSTRUCTIONS)</w:t>
      </w:r>
    </w:p>
    <w:p>
      <w:pPr>
        <w:spacing w:after="0" w:line="94" w:lineRule="exact"/>
        <w:rPr>
          <w:sz w:val="20"/>
          <w:szCs w:val="20"/>
          <w:color w:val="auto"/>
        </w:rPr>
      </w:pPr>
    </w:p>
    <w:p>
      <w:pPr>
        <w:ind w:left="940" w:hanging="615"/>
        <w:spacing w:after="0" w:line="368" w:lineRule="exact"/>
        <w:tabs>
          <w:tab w:leader="none" w:pos="940" w:val="left"/>
        </w:tabs>
        <w:numPr>
          <w:ilvl w:val="0"/>
          <w:numId w:val="10"/>
        </w:numPr>
        <w:rPr>
          <w:rFonts w:ascii="Arial" w:cs="Arial" w:eastAsia="Arial" w:hAnsi="Arial"/>
          <w:sz w:val="32"/>
          <w:szCs w:val="32"/>
          <w:b w:val="1"/>
          <w:bCs w:val="1"/>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p>
      <w:pPr>
        <w:ind w:left="1280" w:hanging="341"/>
        <w:spacing w:after="0" w:line="207" w:lineRule="exact"/>
        <w:tabs>
          <w:tab w:leader="none" w:pos="1280" w:val="left"/>
        </w:tabs>
        <w:numPr>
          <w:ilvl w:val="1"/>
          <w:numId w:val="10"/>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SEC USE ONLY</w:t>
      </w:r>
    </w:p>
    <w:p>
      <w:pPr>
        <w:ind w:left="320"/>
        <w:spacing w:after="0"/>
        <w:rPr>
          <w:sz w:val="20"/>
          <w:szCs w:val="20"/>
          <w:color w:val="auto"/>
        </w:rPr>
      </w:pPr>
      <w:r>
        <w:rPr>
          <w:rFonts w:ascii="Arial" w:cs="Arial" w:eastAsia="Arial" w:hAnsi="Arial"/>
          <w:sz w:val="32"/>
          <w:szCs w:val="32"/>
          <w:b w:val="1"/>
          <w:bCs w:val="1"/>
          <w:color w:val="auto"/>
        </w:rPr>
        <w:t>3</w:t>
      </w:r>
    </w:p>
    <w:p>
      <w:pPr>
        <w:spacing w:after="0" w:line="20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CITIZENSHIP OR PLACE OF ORGANIZATION</w:t>
      </w:r>
    </w:p>
    <w:p>
      <w:pPr>
        <w:ind w:left="320"/>
        <w:spacing w:after="0" w:line="224" w:lineRule="auto"/>
        <w:rPr>
          <w:sz w:val="20"/>
          <w:szCs w:val="20"/>
          <w:color w:val="auto"/>
        </w:rPr>
      </w:pPr>
      <w:r>
        <w:rPr>
          <w:rFonts w:ascii="Arial" w:cs="Arial" w:eastAsia="Arial" w:hAnsi="Arial"/>
          <w:sz w:val="32"/>
          <w:szCs w:val="32"/>
          <w:b w:val="1"/>
          <w:bCs w:val="1"/>
          <w:color w:val="auto"/>
        </w:rPr>
        <w:t>4</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United States of America</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740" w:type="dxa"/>
            <w:vAlign w:val="bottom"/>
            <w:tcBorders>
              <w:top w:val="single" w:sz="8" w:color="auto"/>
              <w:right w:val="single" w:sz="8" w:color="auto"/>
            </w:tcBorders>
          </w:tcPr>
          <w:p>
            <w:pPr>
              <w:spacing w:after="0"/>
              <w:rPr>
                <w:sz w:val="21"/>
                <w:szCs w:val="21"/>
                <w:color w:val="auto"/>
              </w:rPr>
            </w:pPr>
          </w:p>
        </w:tc>
        <w:tc>
          <w:tcPr>
            <w:tcW w:w="320" w:type="dxa"/>
            <w:vAlign w:val="bottom"/>
            <w:tcBorders>
              <w:top w:val="single" w:sz="8" w:color="auto"/>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5</w:t>
            </w:r>
          </w:p>
        </w:tc>
        <w:tc>
          <w:tcPr>
            <w:tcW w:w="24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SOLE VOTING POWER</w:t>
            </w:r>
          </w:p>
        </w:tc>
        <w:tc>
          <w:tcPr>
            <w:tcW w:w="6760" w:type="dxa"/>
            <w:vAlign w:val="bottom"/>
            <w:tcBorders>
              <w:top w:val="single" w:sz="8" w:color="auto"/>
            </w:tcBorders>
          </w:tcPr>
          <w:p>
            <w:pPr>
              <w:jc w:val="right"/>
              <w:ind w:right="65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color w:val="auto"/>
                <w:w w:val="96"/>
              </w:rPr>
              <w:t>NUMBER OF</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1"/>
        </w:trPr>
        <w:tc>
          <w:tcPr>
            <w:tcW w:w="1740" w:type="dxa"/>
            <w:vAlign w:val="bottom"/>
            <w:tcBorders>
              <w:right w:val="single" w:sz="8" w:color="auto"/>
            </w:tcBorders>
            <w:vMerge w:val="continue"/>
          </w:tcPr>
          <w:p>
            <w:pPr>
              <w:spacing w:after="0"/>
              <w:rPr>
                <w:sz w:val="15"/>
                <w:szCs w:val="15"/>
                <w:color w:val="auto"/>
              </w:rPr>
            </w:pPr>
          </w:p>
        </w:tc>
        <w:tc>
          <w:tcPr>
            <w:tcW w:w="320" w:type="dxa"/>
            <w:vAlign w:val="bottom"/>
            <w:tcBorders>
              <w:bottom w:val="single" w:sz="8" w:color="auto"/>
              <w:right w:val="single" w:sz="8" w:color="auto"/>
            </w:tcBorders>
          </w:tcPr>
          <w:p>
            <w:pPr>
              <w:spacing w:after="0"/>
              <w:rPr>
                <w:sz w:val="15"/>
                <w:szCs w:val="15"/>
                <w:color w:val="auto"/>
              </w:rPr>
            </w:pPr>
          </w:p>
        </w:tc>
        <w:tc>
          <w:tcPr>
            <w:tcW w:w="2420" w:type="dxa"/>
            <w:vAlign w:val="bottom"/>
            <w:tcBorders>
              <w:bottom w:val="single" w:sz="8" w:color="auto"/>
            </w:tcBorders>
          </w:tcPr>
          <w:p>
            <w:pPr>
              <w:spacing w:after="0"/>
              <w:rPr>
                <w:sz w:val="15"/>
                <w:szCs w:val="15"/>
                <w:color w:val="auto"/>
              </w:rPr>
            </w:pPr>
          </w:p>
        </w:tc>
        <w:tc>
          <w:tcPr>
            <w:tcW w:w="6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4"/>
              </w:rPr>
              <w:t>SHARES</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6</w:t>
            </w:r>
          </w:p>
        </w:tc>
        <w:tc>
          <w:tcPr>
            <w:tcW w:w="2420" w:type="dxa"/>
            <w:vAlign w:val="bottom"/>
          </w:tcPr>
          <w:p>
            <w:pPr>
              <w:ind w:left="100"/>
              <w:spacing w:after="0"/>
              <w:rPr>
                <w:sz w:val="20"/>
                <w:szCs w:val="20"/>
                <w:color w:val="auto"/>
              </w:rPr>
            </w:pPr>
            <w:r>
              <w:rPr>
                <w:rFonts w:ascii="Arial" w:cs="Arial" w:eastAsia="Arial" w:hAnsi="Arial"/>
                <w:sz w:val="18"/>
                <w:szCs w:val="18"/>
                <w:color w:val="auto"/>
              </w:rPr>
              <w:t>SHARED VOTING POWER</w:t>
            </w:r>
          </w:p>
        </w:tc>
        <w:tc>
          <w:tcPr>
            <w:tcW w:w="6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BENEFICIALLY</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7"/>
              </w:rPr>
              <w:t>OWNED BY</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EACH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2420" w:type="dxa"/>
            <w:vAlign w:val="bottom"/>
          </w:tcPr>
          <w:p>
            <w:pPr>
              <w:ind w:left="100"/>
              <w:spacing w:after="0"/>
              <w:rPr>
                <w:sz w:val="20"/>
                <w:szCs w:val="20"/>
                <w:color w:val="auto"/>
              </w:rPr>
            </w:pPr>
            <w:r>
              <w:rPr>
                <w:rFonts w:ascii="Arial" w:cs="Arial" w:eastAsia="Arial" w:hAnsi="Arial"/>
                <w:sz w:val="18"/>
                <w:szCs w:val="18"/>
                <w:color w:val="auto"/>
                <w:w w:val="96"/>
              </w:rPr>
              <w:t>SOLE DISPOSITIVE POWER</w:t>
            </w:r>
          </w:p>
        </w:tc>
        <w:tc>
          <w:tcPr>
            <w:tcW w:w="6760" w:type="dxa"/>
            <w:vAlign w:val="bottom"/>
          </w:tcPr>
          <w:p>
            <w:pPr>
              <w:jc w:val="right"/>
              <w:ind w:right="623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8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REPORTING</w:t>
            </w: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PERSON</w:t>
            </w:r>
          </w:p>
        </w:tc>
        <w:tc>
          <w:tcPr>
            <w:tcW w:w="320" w:type="dxa"/>
            <w:vAlign w:val="bottom"/>
            <w:tcBorders>
              <w:bottom w:val="single" w:sz="8" w:color="auto"/>
              <w:right w:val="single" w:sz="8" w:color="auto"/>
            </w:tcBorders>
          </w:tcPr>
          <w:p>
            <w:pPr>
              <w:spacing w:after="0"/>
              <w:rPr>
                <w:sz w:val="20"/>
                <w:szCs w:val="20"/>
                <w:color w:val="auto"/>
              </w:rPr>
            </w:pPr>
          </w:p>
        </w:tc>
        <w:tc>
          <w:tcPr>
            <w:tcW w:w="2420" w:type="dxa"/>
            <w:vAlign w:val="bottom"/>
            <w:tcBorders>
              <w:bottom w:val="single" w:sz="8" w:color="auto"/>
            </w:tcBorders>
          </w:tcPr>
          <w:p>
            <w:pPr>
              <w:spacing w:after="0"/>
              <w:rPr>
                <w:sz w:val="20"/>
                <w:szCs w:val="20"/>
                <w:color w:val="auto"/>
              </w:rPr>
            </w:pPr>
          </w:p>
        </w:tc>
        <w:tc>
          <w:tcPr>
            <w:tcW w:w="67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rPr>
              <w:t>WITH:</w:t>
            </w:r>
          </w:p>
        </w:tc>
        <w:tc>
          <w:tcPr>
            <w:tcW w:w="320" w:type="dxa"/>
            <w:vAlign w:val="bottom"/>
            <w:tcBorders>
              <w:right w:val="single" w:sz="8" w:color="auto"/>
            </w:tcBorders>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180" w:type="dxa"/>
            <w:vAlign w:val="bottom"/>
            <w:gridSpan w:val="2"/>
          </w:tcPr>
          <w:p>
            <w:pPr>
              <w:ind w:left="10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339"/>
        </w:trPr>
        <w:tc>
          <w:tcPr>
            <w:tcW w:w="1740" w:type="dxa"/>
            <w:vAlign w:val="bottom"/>
            <w:tcBorders>
              <w:right w:val="single" w:sz="8" w:color="auto"/>
            </w:tcBorders>
          </w:tcPr>
          <w:p>
            <w:pPr>
              <w:spacing w:after="0"/>
              <w:rPr>
                <w:sz w:val="24"/>
                <w:szCs w:val="24"/>
                <w:color w:val="auto"/>
              </w:rPr>
            </w:pPr>
          </w:p>
        </w:tc>
        <w:tc>
          <w:tcPr>
            <w:tcW w:w="320" w:type="dxa"/>
            <w:vAlign w:val="bottom"/>
            <w:tcBorders>
              <w:right w:val="single" w:sz="8" w:color="auto"/>
            </w:tcBorders>
            <w:vMerge w:val="continue"/>
          </w:tcPr>
          <w:p>
            <w:pPr>
              <w:spacing w:after="0"/>
              <w:rPr>
                <w:sz w:val="24"/>
                <w:szCs w:val="24"/>
                <w:color w:val="auto"/>
              </w:rPr>
            </w:pPr>
          </w:p>
        </w:tc>
        <w:tc>
          <w:tcPr>
            <w:tcW w:w="2420" w:type="dxa"/>
            <w:vAlign w:val="bottom"/>
          </w:tcPr>
          <w:p>
            <w:pPr>
              <w:ind w:left="100"/>
              <w:spacing w:after="0"/>
              <w:rPr>
                <w:sz w:val="20"/>
                <w:szCs w:val="20"/>
                <w:color w:val="auto"/>
              </w:rPr>
            </w:pPr>
            <w:r>
              <w:rPr>
                <w:rFonts w:ascii="Arial" w:cs="Arial" w:eastAsia="Arial" w:hAnsi="Arial"/>
                <w:sz w:val="18"/>
                <w:szCs w:val="18"/>
                <w:color w:val="auto"/>
              </w:rPr>
              <w:t>97,021</w:t>
            </w:r>
          </w:p>
        </w:tc>
        <w:tc>
          <w:tcPr>
            <w:tcW w:w="6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740" w:type="dxa"/>
            <w:vAlign w:val="bottom"/>
            <w:tcBorders>
              <w:bottom w:val="single" w:sz="8" w:color="auto"/>
              <w:right w:val="single" w:sz="8" w:color="auto"/>
            </w:tcBorders>
          </w:tcPr>
          <w:p>
            <w:pPr>
              <w:spacing w:after="0"/>
              <w:rPr>
                <w:sz w:val="16"/>
                <w:szCs w:val="16"/>
                <w:color w:val="auto"/>
              </w:rPr>
            </w:pPr>
          </w:p>
        </w:tc>
        <w:tc>
          <w:tcPr>
            <w:tcW w:w="320" w:type="dxa"/>
            <w:vAlign w:val="bottom"/>
            <w:tcBorders>
              <w:bottom w:val="single" w:sz="8" w:color="auto"/>
              <w:right w:val="single" w:sz="8" w:color="auto"/>
            </w:tcBorders>
          </w:tcPr>
          <w:p>
            <w:pPr>
              <w:spacing w:after="0"/>
              <w:rPr>
                <w:sz w:val="16"/>
                <w:szCs w:val="16"/>
                <w:color w:val="auto"/>
              </w:rPr>
            </w:pPr>
          </w:p>
        </w:tc>
        <w:tc>
          <w:tcPr>
            <w:tcW w:w="2420" w:type="dxa"/>
            <w:vAlign w:val="bottom"/>
            <w:tcBorders>
              <w:bottom w:val="single" w:sz="8" w:color="auto"/>
            </w:tcBorders>
          </w:tcPr>
          <w:p>
            <w:pPr>
              <w:spacing w:after="0"/>
              <w:rPr>
                <w:sz w:val="16"/>
                <w:szCs w:val="16"/>
                <w:color w:val="auto"/>
              </w:rPr>
            </w:pPr>
          </w:p>
        </w:tc>
        <w:tc>
          <w:tcPr>
            <w:tcW w:w="6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19888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988820"/>
                    </a:xfrm>
                    <a:prstGeom prst="rect">
                      <a:avLst/>
                    </a:prstGeom>
                    <a:noFill/>
                  </pic:spPr>
                </pic:pic>
              </a:graphicData>
            </a:graphic>
          </wp:anchor>
        </w:drawing>
      </w:r>
    </w:p>
    <w:p>
      <w:pPr>
        <w:ind w:left="940"/>
        <w:spacing w:after="0" w:line="228" w:lineRule="auto"/>
        <w:rPr>
          <w:sz w:val="20"/>
          <w:szCs w:val="20"/>
          <w:color w:val="auto"/>
        </w:rPr>
      </w:pPr>
      <w:r>
        <w:rPr>
          <w:rFonts w:ascii="Arial" w:cs="Arial" w:eastAsia="Arial" w:hAnsi="Arial"/>
          <w:sz w:val="18"/>
          <w:szCs w:val="18"/>
          <w:color w:val="auto"/>
        </w:rPr>
        <w:t>AGGREGATE AMOUNT BENEFICIALLY OWNED BY EACH REPORTING PERSON</w:t>
      </w:r>
    </w:p>
    <w:p>
      <w:pPr>
        <w:ind w:left="320"/>
        <w:spacing w:after="0" w:line="225" w:lineRule="auto"/>
        <w:rPr>
          <w:sz w:val="20"/>
          <w:szCs w:val="20"/>
          <w:color w:val="auto"/>
        </w:rPr>
      </w:pPr>
      <w:r>
        <w:rPr>
          <w:rFonts w:ascii="Arial" w:cs="Arial" w:eastAsia="Arial" w:hAnsi="Arial"/>
          <w:sz w:val="32"/>
          <w:szCs w:val="32"/>
          <w:b w:val="1"/>
          <w:bCs w:val="1"/>
          <w:color w:val="auto"/>
        </w:rPr>
        <w:t>9</w:t>
      </w:r>
    </w:p>
    <w:p>
      <w:pPr>
        <w:ind w:left="940"/>
        <w:spacing w:after="0"/>
        <w:rPr>
          <w:sz w:val="20"/>
          <w:szCs w:val="20"/>
          <w:color w:val="auto"/>
        </w:rPr>
      </w:pPr>
      <w:r>
        <w:rPr>
          <w:rFonts w:ascii="Arial" w:cs="Arial" w:eastAsia="Arial" w:hAnsi="Arial"/>
          <w:sz w:val="18"/>
          <w:szCs w:val="18"/>
          <w:color w:val="auto"/>
        </w:rPr>
        <w:t>97,021</w:t>
      </w:r>
    </w:p>
    <w:p>
      <w:pPr>
        <w:spacing w:after="0" w:line="2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CHECK IF THE AGGREGATE AMOUNT IN ROW (9) EXCLUDES CERTAIN SHARES (SEE INSTRUCTIONS)</w:t>
      </w:r>
    </w:p>
    <w:p>
      <w:pPr>
        <w:ind w:left="240"/>
        <w:spacing w:after="0" w:line="220" w:lineRule="auto"/>
        <w:rPr>
          <w:sz w:val="20"/>
          <w:szCs w:val="20"/>
          <w:color w:val="auto"/>
        </w:rPr>
      </w:pPr>
      <w:r>
        <w:rPr>
          <w:rFonts w:ascii="Arial" w:cs="Arial" w:eastAsia="Arial" w:hAnsi="Arial"/>
          <w:sz w:val="32"/>
          <w:szCs w:val="32"/>
          <w:b w:val="1"/>
          <w:bCs w:val="1"/>
          <w:color w:val="auto"/>
        </w:rPr>
        <w:t>10</w:t>
      </w:r>
    </w:p>
    <w:p>
      <w:pPr>
        <w:ind w:left="940"/>
        <w:spacing w:after="0" w:line="181" w:lineRule="exact"/>
        <w:rPr>
          <w:sz w:val="20"/>
          <w:szCs w:val="20"/>
          <w:color w:val="auto"/>
        </w:rPr>
      </w:pPr>
      <w:r>
        <w:rPr>
          <w:rFonts w:ascii="MS PGothic" w:cs="MS PGothic" w:eastAsia="MS PGothic" w:hAnsi="MS PGothic"/>
          <w:sz w:val="18"/>
          <w:szCs w:val="18"/>
          <w:color w:val="auto"/>
        </w:rPr>
        <w:t>☐</w:t>
      </w:r>
    </w:p>
    <w:p>
      <w:pPr>
        <w:spacing w:after="0" w:line="58" w:lineRule="exact"/>
        <w:rPr>
          <w:sz w:val="20"/>
          <w:szCs w:val="20"/>
          <w:color w:val="auto"/>
        </w:rPr>
      </w:pPr>
    </w:p>
    <w:p>
      <w:pPr>
        <w:ind w:left="940"/>
        <w:spacing w:after="0"/>
        <w:rPr>
          <w:sz w:val="20"/>
          <w:szCs w:val="20"/>
          <w:color w:val="auto"/>
        </w:rPr>
      </w:pPr>
      <w:r>
        <w:rPr>
          <w:rFonts w:ascii="Arial" w:cs="Arial" w:eastAsia="Arial" w:hAnsi="Arial"/>
          <w:sz w:val="18"/>
          <w:szCs w:val="18"/>
          <w:color w:val="auto"/>
        </w:rPr>
        <w:t>PERCENT OF CLASS REPRESENTED BY AMOUNT IN ROW (9)</w:t>
      </w:r>
    </w:p>
    <w:p>
      <w:pPr>
        <w:ind w:left="260"/>
        <w:spacing w:after="0" w:line="184" w:lineRule="auto"/>
        <w:tabs>
          <w:tab w:leader="none" w:pos="920" w:val="left"/>
        </w:tabs>
        <w:rPr>
          <w:sz w:val="20"/>
          <w:szCs w:val="20"/>
          <w:color w:val="auto"/>
        </w:rPr>
      </w:pPr>
      <w:r>
        <w:rPr>
          <w:rFonts w:ascii="Arial" w:cs="Arial" w:eastAsia="Arial" w:hAnsi="Arial"/>
          <w:sz w:val="26"/>
          <w:szCs w:val="26"/>
          <w:b w:val="1"/>
          <w:bCs w:val="1"/>
          <w:color w:val="auto"/>
        </w:rPr>
        <w:t>11</w:t>
      </w:r>
      <w:r>
        <w:rPr>
          <w:sz w:val="20"/>
          <w:szCs w:val="20"/>
          <w:color w:val="auto"/>
        </w:rPr>
        <w:tab/>
      </w:r>
      <w:r>
        <w:rPr>
          <w:rFonts w:ascii="Arial" w:cs="Arial" w:eastAsia="Arial" w:hAnsi="Arial"/>
          <w:sz w:val="15"/>
          <w:szCs w:val="15"/>
          <w:color w:val="auto"/>
        </w:rPr>
        <w:t>0.04%</w:t>
      </w:r>
    </w:p>
    <w:p>
      <w:pPr>
        <w:spacing w:after="0" w:line="34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TYPE OF REPORTING PERSON (SEE INSTRUCTIONS)</w:t>
      </w:r>
    </w:p>
    <w:p>
      <w:pPr>
        <w:ind w:left="240"/>
        <w:spacing w:after="0" w:line="224" w:lineRule="auto"/>
        <w:rPr>
          <w:sz w:val="20"/>
          <w:szCs w:val="20"/>
          <w:color w:val="auto"/>
        </w:rPr>
      </w:pPr>
      <w:r>
        <w:rPr>
          <w:rFonts w:ascii="Arial" w:cs="Arial" w:eastAsia="Arial" w:hAnsi="Arial"/>
          <w:sz w:val="32"/>
          <w:szCs w:val="32"/>
          <w:b w:val="1"/>
          <w:bCs w:val="1"/>
          <w:color w:val="auto"/>
        </w:rPr>
        <w:t>12</w:t>
      </w:r>
    </w:p>
    <w:p>
      <w:pPr>
        <w:spacing w:after="0" w:line="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HC,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441960</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u w:val="single" w:color="auto"/>
          <w:color w:val="auto"/>
        </w:rPr>
        <w:t>SCHEDULE 13G</w:t>
      </w:r>
    </w:p>
    <w:p>
      <w:pPr>
        <w:sectPr>
          <w:pgSz w:w="11900" w:h="16838" w:orient="portrait"/>
          <w:cols w:equalWidth="0" w:num="1">
            <w:col w:w="11240"/>
          </w:cols>
          <w:pgMar w:left="320" w:top="904" w:right="339" w:bottom="1440" w:gutter="0" w:footer="0" w:header="0"/>
        </w:sect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 of Issuer.</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Sema4 Holdings Corp. (the “Issuer”)</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Address of Issuer’s Principal Executive Offices.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333 LUDLOW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NORTH TOWER, 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STAMFORD, CT 06902</w:t>
      </w:r>
    </w:p>
    <w:p>
      <w:pPr>
        <w:spacing w:after="0" w:line="200"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This statement is filed on behalf of each of the following person (collectively, the “Reporting Persons”):</w:t>
      </w:r>
    </w:p>
    <w:p>
      <w:pPr>
        <w:spacing w:after="0" w:line="9" w:lineRule="exact"/>
        <w:rPr>
          <w:sz w:val="20"/>
          <w:szCs w:val="20"/>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Magnetar Financial LLC (“Magnetar Financial”);</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Magnetar Capital Partners LP (Magnetar Capital Partners”);</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Supernova Management LLC (“Supernova Management”); and</w:t>
      </w:r>
    </w:p>
    <w:p>
      <w:pPr>
        <w:spacing w:after="0" w:line="9" w:lineRule="exact"/>
        <w:rPr>
          <w:rFonts w:ascii="Arial" w:cs="Arial" w:eastAsia="Arial" w:hAnsi="Arial"/>
          <w:sz w:val="18"/>
          <w:szCs w:val="18"/>
          <w:color w:val="auto"/>
        </w:rPr>
      </w:pPr>
    </w:p>
    <w:p>
      <w:pPr>
        <w:ind w:left="1960" w:hanging="656"/>
        <w:spacing w:after="0"/>
        <w:tabs>
          <w:tab w:leader="none" w:pos="19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Alec N. Litowitz (“Mr. Litowitz”).</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This statement relates to the Shares (as defined herein) held for Magnetar Constellation Fund II-PRA LP- Series H Interests (“Constellation Fund II-PRA”), a Delaware limited partnership; Magnetar Healthcare Master Fund Ltd (“Healthcare Master Fund”), a Delaware limited company, collectively (the “Magnetar Funds”), and five managed accounts for the clients of Magnetar Financial (the “Managed Accounts”). Magnetar Financial serves as the investment adviser to the Magnetar Funds, and as such, Magnetar Financial exercises voting and investment power over the Shares held for the Magnetar Funds’ accounts. Magnetar Capital Partners serves as the sole member and parent holding company of Magnetar Financial. Supernova Management is the general partner of Magnetar Capital Partners. The manager of Supernova Management is Mr. Litowitz.</w:t>
      </w:r>
    </w:p>
    <w:p>
      <w:pPr>
        <w:spacing w:after="0" w:line="174"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w:t>
      </w:r>
    </w:p>
    <w:p>
      <w:pPr>
        <w:spacing w:after="0" w:line="27" w:lineRule="exact"/>
        <w:rPr>
          <w:sz w:val="20"/>
          <w:szCs w:val="20"/>
          <w:color w:val="auto"/>
        </w:rPr>
      </w:pPr>
    </w:p>
    <w:p>
      <w:pPr>
        <w:ind w:right="420" w:firstLine="1296"/>
        <w:spacing w:after="0" w:line="279" w:lineRule="auto"/>
        <w:rPr>
          <w:sz w:val="20"/>
          <w:szCs w:val="20"/>
          <w:color w:val="auto"/>
        </w:rPr>
      </w:pPr>
      <w:r>
        <w:rPr>
          <w:rFonts w:ascii="Arial" w:cs="Arial" w:eastAsia="Arial" w:hAnsi="Arial"/>
          <w:sz w:val="18"/>
          <w:szCs w:val="18"/>
          <w:color w:val="auto"/>
        </w:rPr>
        <w:t>The address of the principal business office of each of Magnetar Financial, Magnetar Capital Partners, Supernova Management, and Mr. Litowitz is 1603 Orrington Avenue, 13</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Floor, Evanston, Illinois 60201.</w:t>
      </w:r>
    </w:p>
    <w:p>
      <w:pPr>
        <w:sectPr>
          <w:pgSz w:w="11900" w:h="16838" w:orient="portrait"/>
          <w:cols w:equalWidth="0" w:num="1">
            <w:col w:w="11240"/>
          </w:cols>
          <w:pgMar w:left="320" w:top="904" w:right="339" w:bottom="144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2(c)</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Organization.</w:t>
      </w:r>
    </w:p>
    <w:p>
      <w:pPr>
        <w:spacing w:after="0" w:line="2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w:t>
      </w:r>
      <w:r>
        <w:rPr>
          <w:sz w:val="20"/>
          <w:szCs w:val="20"/>
          <w:color w:val="auto"/>
        </w:rPr>
        <w:tab/>
      </w:r>
      <w:r>
        <w:rPr>
          <w:rFonts w:ascii="Arial" w:cs="Arial" w:eastAsia="Arial" w:hAnsi="Arial"/>
          <w:sz w:val="18"/>
          <w:szCs w:val="18"/>
          <w:color w:val="auto"/>
        </w:rPr>
        <w:t>Magnetar Financial is a Delaware limited liability company;</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ii)</w:t>
      </w:r>
      <w:r>
        <w:rPr>
          <w:sz w:val="20"/>
          <w:szCs w:val="20"/>
          <w:color w:val="auto"/>
        </w:rPr>
        <w:tab/>
      </w:r>
      <w:r>
        <w:rPr>
          <w:rFonts w:ascii="Arial" w:cs="Arial" w:eastAsia="Arial" w:hAnsi="Arial"/>
          <w:sz w:val="18"/>
          <w:szCs w:val="18"/>
          <w:color w:val="auto"/>
        </w:rPr>
        <w:t>Magnetar Capital Partners is a Delaware limited partnership;</w:t>
      </w:r>
    </w:p>
    <w:p>
      <w:pPr>
        <w:spacing w:after="0" w:line="9" w:lineRule="exact"/>
        <w:rPr>
          <w:sz w:val="20"/>
          <w:szCs w:val="20"/>
          <w:color w:val="auto"/>
        </w:rPr>
      </w:pPr>
    </w:p>
    <w:p>
      <w:pPr>
        <w:spacing w:after="0"/>
        <w:tabs>
          <w:tab w:leader="none" w:pos="640" w:val="left"/>
        </w:tabs>
        <w:rPr>
          <w:sz w:val="20"/>
          <w:szCs w:val="20"/>
          <w:color w:val="auto"/>
        </w:rPr>
      </w:pPr>
      <w:r>
        <w:rPr>
          <w:rFonts w:ascii="Arial" w:cs="Arial" w:eastAsia="Arial" w:hAnsi="Arial"/>
          <w:sz w:val="16"/>
          <w:szCs w:val="16"/>
          <w:color w:val="auto"/>
        </w:rPr>
        <w:t>iii)</w:t>
      </w:r>
      <w:r>
        <w:rPr>
          <w:sz w:val="20"/>
          <w:szCs w:val="20"/>
          <w:color w:val="auto"/>
        </w:rPr>
        <w:tab/>
      </w:r>
      <w:r>
        <w:rPr>
          <w:rFonts w:ascii="Arial" w:cs="Arial" w:eastAsia="Arial" w:hAnsi="Arial"/>
          <w:sz w:val="16"/>
          <w:szCs w:val="16"/>
          <w:color w:val="auto"/>
        </w:rPr>
        <w:t>Supernova Management is a Delaware limited liability company; and</w:t>
      </w:r>
    </w:p>
    <w:p>
      <w:pPr>
        <w:spacing w:after="0" w:line="3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iv)</w:t>
      </w:r>
      <w:r>
        <w:rPr>
          <w:sz w:val="20"/>
          <w:szCs w:val="20"/>
          <w:color w:val="auto"/>
        </w:rPr>
        <w:tab/>
      </w:r>
      <w:r>
        <w:rPr>
          <w:rFonts w:ascii="Arial" w:cs="Arial" w:eastAsia="Arial" w:hAnsi="Arial"/>
          <w:sz w:val="18"/>
          <w:szCs w:val="18"/>
          <w:color w:val="auto"/>
        </w:rPr>
        <w:t>Mr. Litowitz is a citizen of the United States of America.</w:t>
      </w:r>
    </w:p>
    <w:p>
      <w:pPr>
        <w:spacing w:after="0" w:line="200" w:lineRule="exact"/>
        <w:rPr>
          <w:sz w:val="20"/>
          <w:szCs w:val="20"/>
          <w:color w:val="auto"/>
        </w:rPr>
      </w:pPr>
    </w:p>
    <w:p>
      <w:pPr>
        <w:sectPr>
          <w:pgSz w:w="11900" w:h="16838" w:orient="portrait"/>
          <w:cols w:equalWidth="0" w:num="2">
            <w:col w:w="700" w:space="600"/>
            <w:col w:w="9940"/>
          </w:cols>
          <w:pgMar w:left="320" w:top="904" w:right="339" w:bottom="1440" w:gutter="0" w:footer="0" w:header="0"/>
          <w:type w:val="continuous"/>
        </w:sectPr>
      </w:pP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020" w:type="dxa"/>
            <w:vAlign w:val="bottom"/>
          </w:tcPr>
          <w:p>
            <w:pPr>
              <w:spacing w:after="0"/>
              <w:rPr>
                <w:sz w:val="20"/>
                <w:szCs w:val="20"/>
                <w:color w:val="auto"/>
              </w:rPr>
            </w:pPr>
            <w:r>
              <w:rPr>
                <w:rFonts w:ascii="Arial" w:cs="Arial" w:eastAsia="Arial" w:hAnsi="Arial"/>
                <w:sz w:val="18"/>
                <w:szCs w:val="18"/>
                <w:b w:val="1"/>
                <w:bCs w:val="1"/>
                <w:color w:val="auto"/>
              </w:rPr>
              <w:t>Item 2(d)</w:t>
            </w:r>
          </w:p>
        </w:tc>
        <w:tc>
          <w:tcPr>
            <w:tcW w:w="10220" w:type="dxa"/>
            <w:vAlign w:val="bottom"/>
          </w:tcPr>
          <w:p>
            <w:pPr>
              <w:ind w:left="280"/>
              <w:spacing w:after="0"/>
              <w:rPr>
                <w:sz w:val="20"/>
                <w:szCs w:val="20"/>
                <w:color w:val="auto"/>
              </w:rPr>
            </w:pPr>
            <w:r>
              <w:rPr>
                <w:rFonts w:ascii="Arial" w:cs="Arial" w:eastAsia="Arial" w:hAnsi="Arial"/>
                <w:sz w:val="18"/>
                <w:szCs w:val="18"/>
                <w:b w:val="1"/>
                <w:bCs w:val="1"/>
                <w:color w:val="auto"/>
              </w:rPr>
              <w:t>Title of Class of Securities.</w:t>
            </w:r>
          </w:p>
        </w:tc>
      </w:tr>
      <w:tr>
        <w:trPr>
          <w:trHeight w:val="230"/>
        </w:trPr>
        <w:tc>
          <w:tcPr>
            <w:tcW w:w="1020" w:type="dxa"/>
            <w:vAlign w:val="bottom"/>
          </w:tcPr>
          <w:p>
            <w:pPr>
              <w:spacing w:after="0"/>
              <w:rPr>
                <w:sz w:val="20"/>
                <w:szCs w:val="20"/>
                <w:color w:val="auto"/>
              </w:rPr>
            </w:pPr>
          </w:p>
        </w:tc>
        <w:tc>
          <w:tcPr>
            <w:tcW w:w="10220" w:type="dxa"/>
            <w:vAlign w:val="bottom"/>
          </w:tcPr>
          <w:p>
            <w:pPr>
              <w:ind w:left="280"/>
              <w:spacing w:after="0"/>
              <w:rPr>
                <w:sz w:val="20"/>
                <w:szCs w:val="20"/>
                <w:color w:val="auto"/>
              </w:rPr>
            </w:pPr>
            <w:r>
              <w:rPr>
                <w:rFonts w:ascii="Arial" w:cs="Arial" w:eastAsia="Arial" w:hAnsi="Arial"/>
                <w:sz w:val="18"/>
                <w:szCs w:val="18"/>
                <w:color w:val="auto"/>
              </w:rPr>
              <w:t>Common Stock</w:t>
            </w:r>
          </w:p>
        </w:tc>
      </w:tr>
      <w:tr>
        <w:trPr>
          <w:trHeight w:val="675"/>
        </w:trPr>
        <w:tc>
          <w:tcPr>
            <w:tcW w:w="1020" w:type="dxa"/>
            <w:vAlign w:val="bottom"/>
            <w:tcBorders>
              <w:bottom w:val="single" w:sz="8" w:color="auto"/>
            </w:tcBorders>
          </w:tcPr>
          <w:p>
            <w:pPr>
              <w:spacing w:after="0"/>
              <w:rPr>
                <w:sz w:val="24"/>
                <w:szCs w:val="24"/>
                <w:color w:val="auto"/>
              </w:rPr>
            </w:pPr>
          </w:p>
        </w:tc>
        <w:tc>
          <w:tcPr>
            <w:tcW w:w="10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6" w:name="page7"/>
    <w:bookmarkEnd w:id="6"/>
    <w:p>
      <w:pPr>
        <w:spacing w:after="0"/>
        <w:rPr>
          <w:sz w:val="20"/>
          <w:szCs w:val="20"/>
          <w:color w:val="auto"/>
        </w:rPr>
      </w:pPr>
      <w:r>
        <w:rPr>
          <w:rFonts w:ascii="Arial" w:cs="Arial" w:eastAsia="Arial" w:hAnsi="Arial"/>
          <w:sz w:val="17"/>
          <w:szCs w:val="17"/>
          <w:b w:val="1"/>
          <w:bCs w:val="1"/>
          <w:color w:val="auto"/>
        </w:rPr>
        <w:t>Item 2(e)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CUSIP Number.</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81663L101</w:t>
      </w:r>
    </w:p>
    <w:p>
      <w:pPr>
        <w:spacing w:after="0" w:line="200" w:lineRule="exact"/>
        <w:rPr>
          <w:sz w:val="20"/>
          <w:szCs w:val="20"/>
          <w:color w:val="auto"/>
        </w:rPr>
      </w:pPr>
    </w:p>
    <w:p>
      <w:pPr>
        <w:sectPr>
          <w:pgSz w:w="11900" w:h="16838" w:orient="portrait"/>
          <w:cols w:equalWidth="0" w:num="2">
            <w:col w:w="700" w:space="600"/>
            <w:col w:w="9940"/>
          </w:cols>
          <w:pgMar w:left="320" w:top="904" w:right="339" w:bottom="1440" w:gutter="0" w:footer="0" w:header="0"/>
        </w:sectPr>
      </w:pPr>
    </w:p>
    <w:p>
      <w:pPr>
        <w:spacing w:after="0" w:line="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Reporting Person.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 [X ] An investment adviser in accordance with §240.13d–1(b)(1)(ii)(E)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(g) [ X] A parent holding company or control person in accordance with §240.13d–1(b)(1)(ii)(G)</w:t>
      </w:r>
    </w:p>
    <w:p>
      <w:pPr>
        <w:spacing w:after="0" w:line="200"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Ownership</w:t>
      </w:r>
      <w:r>
        <w:rPr>
          <w:rFonts w:ascii="Arial" w:cs="Arial" w:eastAsia="Arial" w:hAnsi="Arial"/>
          <w:sz w:val="16"/>
          <w:szCs w:val="16"/>
          <w:color w:val="auto"/>
        </w:rPr>
        <w:t>.</w:t>
      </w:r>
    </w:p>
    <w:p>
      <w:pPr>
        <w:spacing w:after="0" w:line="211" w:lineRule="exact"/>
        <w:rPr>
          <w:sz w:val="20"/>
          <w:szCs w:val="20"/>
          <w:color w:val="auto"/>
        </w:rPr>
      </w:pPr>
    </w:p>
    <w:p>
      <w:pPr>
        <w:sectPr>
          <w:pgSz w:w="11900" w:h="16838" w:orient="portrait"/>
          <w:cols w:equalWidth="0" w:num="2">
            <w:col w:w="580" w:space="720"/>
            <w:col w:w="9940"/>
          </w:cols>
          <w:pgMar w:left="320" w:top="904" w:right="3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4(a)</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Amount Beneficially Owned:</w:t>
      </w:r>
    </w:p>
    <w:p>
      <w:pPr>
        <w:spacing w:after="0" w:line="211" w:lineRule="exact"/>
        <w:rPr>
          <w:sz w:val="20"/>
          <w:szCs w:val="20"/>
          <w:color w:val="auto"/>
        </w:rPr>
      </w:pPr>
    </w:p>
    <w:p>
      <w:pPr>
        <w:sectPr>
          <w:pgSz w:w="11900" w:h="16838" w:orient="portrait"/>
          <w:cols w:equalWidth="0" w:num="2">
            <w:col w:w="720" w:space="580"/>
            <w:col w:w="9940"/>
          </w:cols>
          <w:pgMar w:left="320" w:top="904" w:right="339" w:bottom="1440" w:gutter="0" w:footer="0" w:header="0"/>
          <w:type w:val="continuous"/>
        </w:sectPr>
      </w:pPr>
    </w:p>
    <w:p>
      <w:pPr>
        <w:spacing w:after="0" w:line="41" w:lineRule="exact"/>
        <w:rPr>
          <w:sz w:val="20"/>
          <w:szCs w:val="20"/>
          <w:color w:val="auto"/>
        </w:rPr>
      </w:pPr>
    </w:p>
    <w:p>
      <w:pPr>
        <w:ind w:right="40" w:firstLine="1296"/>
        <w:spacing w:after="0" w:line="279" w:lineRule="auto"/>
        <w:rPr>
          <w:sz w:val="20"/>
          <w:szCs w:val="20"/>
          <w:color w:val="auto"/>
        </w:rPr>
      </w:pPr>
      <w:r>
        <w:rPr>
          <w:rFonts w:ascii="Arial" w:cs="Arial" w:eastAsia="Arial" w:hAnsi="Arial"/>
          <w:sz w:val="17"/>
          <w:szCs w:val="17"/>
          <w:color w:val="auto"/>
        </w:rPr>
        <w:t>As of December 31, 2021, each of Magnetar Financial, Magnetar Capital Partners, Supernova Management and Mr. Litowitz held 97,021 Shares. The amount consists of (A) 41,921 Shares held for the account of Constellation Fund II-PRA; (B) 13,441 Shares held for the account of Healthcare Master Fund; and (C) 41,659 Shares held for the Managed Accounts. The Shares held by the Magnetar Funds represent approximately 0.04% of the total number of Shares outstanding (calculated pursuant to Rule 13d-3(d)(1)(i)) of the outstanding shares of the Issuer).</w:t>
      </w:r>
    </w:p>
    <w:p>
      <w:pPr>
        <w:spacing w:after="0" w:line="16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4(b)</w:t>
      </w:r>
      <w:r>
        <w:rPr>
          <w:sz w:val="20"/>
          <w:szCs w:val="20"/>
          <w:color w:val="auto"/>
        </w:rPr>
        <w:tab/>
      </w:r>
      <w:r>
        <w:rPr>
          <w:rFonts w:ascii="Arial" w:cs="Arial" w:eastAsia="Arial" w:hAnsi="Arial"/>
          <w:sz w:val="15"/>
          <w:szCs w:val="15"/>
          <w:b w:val="1"/>
          <w:bCs w:val="1"/>
          <w:color w:val="auto"/>
        </w:rPr>
        <w:t>Percent of Class:</w:t>
      </w:r>
    </w:p>
    <w:p>
      <w:pPr>
        <w:spacing w:after="0" w:line="229" w:lineRule="exact"/>
        <w:rPr>
          <w:sz w:val="20"/>
          <w:szCs w:val="20"/>
          <w:color w:val="auto"/>
        </w:rPr>
      </w:pPr>
    </w:p>
    <w:p>
      <w:pPr>
        <w:ind w:right="40" w:firstLine="1304"/>
        <w:spacing w:after="0" w:line="263" w:lineRule="auto"/>
        <w:tabs>
          <w:tab w:leader="none" w:pos="1501" w:val="left"/>
        </w:tabs>
        <w:numPr>
          <w:ilvl w:val="0"/>
          <w:numId w:val="12"/>
        </w:numPr>
        <w:rPr>
          <w:rFonts w:ascii="Arial" w:cs="Arial" w:eastAsia="Arial" w:hAnsi="Arial"/>
          <w:sz w:val="18"/>
          <w:szCs w:val="18"/>
          <w:color w:val="auto"/>
        </w:rPr>
      </w:pPr>
      <w:r>
        <w:rPr>
          <w:rFonts w:ascii="Arial" w:cs="Arial" w:eastAsia="Arial" w:hAnsi="Arial"/>
          <w:sz w:val="18"/>
          <w:szCs w:val="18"/>
          <w:color w:val="auto"/>
        </w:rPr>
        <w:t>As of December 31, 2021, each of Reporting Persons were deemed to be the beneficial owner constituting approximately 0.04% of the total number of shares outstanding (based upon the information provided by the Issuer in its Form 10-Q filed with the SEC on November 15, 2021, there were approximately 241,261,362 Shares outstanding as of September 30, 2021).</w:t>
      </w:r>
    </w:p>
    <w:p>
      <w:pPr>
        <w:spacing w:after="0" w:line="18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4(c)</w:t>
      </w:r>
      <w:r>
        <w:rPr>
          <w:sz w:val="20"/>
          <w:szCs w:val="20"/>
          <w:color w:val="auto"/>
        </w:rPr>
        <w:tab/>
      </w:r>
      <w:r>
        <w:rPr>
          <w:rFonts w:ascii="Arial" w:cs="Arial" w:eastAsia="Arial" w:hAnsi="Arial"/>
          <w:sz w:val="15"/>
          <w:szCs w:val="15"/>
          <w:b w:val="1"/>
          <w:bCs w:val="1"/>
          <w:color w:val="auto"/>
        </w:rPr>
        <w:t>Number of Shares of which such person has: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Magnetar Financial, Magnetar Capital Partners, Supernova Management, and Mr. Litowitz:</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(i)</w:t>
            </w:r>
          </w:p>
        </w:tc>
        <w:tc>
          <w:tcPr>
            <w:tcW w:w="4780" w:type="dxa"/>
            <w:vAlign w:val="bottom"/>
          </w:tcPr>
          <w:p>
            <w:pPr>
              <w:ind w:left="180"/>
              <w:spacing w:after="0"/>
              <w:rPr>
                <w:sz w:val="20"/>
                <w:szCs w:val="20"/>
                <w:color w:val="auto"/>
              </w:rPr>
            </w:pPr>
            <w:r>
              <w:rPr>
                <w:rFonts w:ascii="Arial" w:cs="Arial" w:eastAsia="Arial" w:hAnsi="Arial"/>
                <w:sz w:val="18"/>
                <w:szCs w:val="18"/>
                <w:color w:val="auto"/>
              </w:rPr>
              <w:t>Sole power to vote or to direct the vote:</w:t>
            </w:r>
          </w:p>
        </w:tc>
        <w:tc>
          <w:tcPr>
            <w:tcW w:w="5660" w:type="dxa"/>
            <w:vAlign w:val="bottom"/>
          </w:tcPr>
          <w:p>
            <w:pPr>
              <w:ind w:left="580"/>
              <w:spacing w:after="0"/>
              <w:rPr>
                <w:sz w:val="20"/>
                <w:szCs w:val="20"/>
                <w:color w:val="auto"/>
              </w:rPr>
            </w:pPr>
            <w:r>
              <w:rPr>
                <w:rFonts w:ascii="Arial" w:cs="Arial" w:eastAsia="Arial" w:hAnsi="Arial"/>
                <w:sz w:val="18"/>
                <w:szCs w:val="18"/>
                <w:color w:val="auto"/>
              </w:rPr>
              <w:t>0</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(ii)</w:t>
            </w:r>
          </w:p>
        </w:tc>
        <w:tc>
          <w:tcPr>
            <w:tcW w:w="4780" w:type="dxa"/>
            <w:vAlign w:val="bottom"/>
          </w:tcPr>
          <w:p>
            <w:pPr>
              <w:ind w:left="180"/>
              <w:spacing w:after="0"/>
              <w:rPr>
                <w:sz w:val="20"/>
                <w:szCs w:val="20"/>
                <w:color w:val="auto"/>
              </w:rPr>
            </w:pPr>
            <w:r>
              <w:rPr>
                <w:rFonts w:ascii="Arial" w:cs="Arial" w:eastAsia="Arial" w:hAnsi="Arial"/>
                <w:sz w:val="18"/>
                <w:szCs w:val="18"/>
                <w:color w:val="auto"/>
              </w:rPr>
              <w:t>Shared power to vote or to direct the vote :</w:t>
            </w:r>
          </w:p>
        </w:tc>
        <w:tc>
          <w:tcPr>
            <w:tcW w:w="5660" w:type="dxa"/>
            <w:vAlign w:val="bottom"/>
          </w:tcPr>
          <w:p>
            <w:pPr>
              <w:ind w:left="580"/>
              <w:spacing w:after="0"/>
              <w:rPr>
                <w:sz w:val="20"/>
                <w:szCs w:val="20"/>
                <w:color w:val="auto"/>
              </w:rPr>
            </w:pPr>
            <w:r>
              <w:rPr>
                <w:rFonts w:ascii="Arial" w:cs="Arial" w:eastAsia="Arial" w:hAnsi="Arial"/>
                <w:sz w:val="18"/>
                <w:szCs w:val="18"/>
                <w:color w:val="auto"/>
              </w:rPr>
              <w:t>97,021</w:t>
            </w:r>
          </w:p>
        </w:tc>
      </w:tr>
      <w:tr>
        <w:trPr>
          <w:trHeight w:val="216"/>
        </w:trPr>
        <w:tc>
          <w:tcPr>
            <w:tcW w:w="800" w:type="dxa"/>
            <w:vAlign w:val="bottom"/>
          </w:tcPr>
          <w:p>
            <w:pPr>
              <w:ind w:left="340"/>
              <w:spacing w:after="0"/>
              <w:rPr>
                <w:sz w:val="20"/>
                <w:szCs w:val="20"/>
                <w:color w:val="auto"/>
              </w:rPr>
            </w:pPr>
            <w:r>
              <w:rPr>
                <w:rFonts w:ascii="Arial" w:cs="Arial" w:eastAsia="Arial" w:hAnsi="Arial"/>
                <w:sz w:val="18"/>
                <w:szCs w:val="18"/>
                <w:color w:val="auto"/>
              </w:rPr>
              <w:t>(iii)</w:t>
            </w:r>
          </w:p>
        </w:tc>
        <w:tc>
          <w:tcPr>
            <w:tcW w:w="4780" w:type="dxa"/>
            <w:vAlign w:val="bottom"/>
          </w:tcPr>
          <w:p>
            <w:pPr>
              <w:ind w:left="180"/>
              <w:spacing w:after="0"/>
              <w:rPr>
                <w:sz w:val="20"/>
                <w:szCs w:val="20"/>
                <w:color w:val="auto"/>
              </w:rPr>
            </w:pPr>
            <w:r>
              <w:rPr>
                <w:rFonts w:ascii="Arial" w:cs="Arial" w:eastAsia="Arial" w:hAnsi="Arial"/>
                <w:sz w:val="18"/>
                <w:szCs w:val="18"/>
                <w:color w:val="auto"/>
              </w:rPr>
              <w:t>Sole power to dispose or to direct the disposition of:</w:t>
            </w:r>
          </w:p>
        </w:tc>
        <w:tc>
          <w:tcPr>
            <w:tcW w:w="5660" w:type="dxa"/>
            <w:vAlign w:val="bottom"/>
          </w:tcPr>
          <w:p>
            <w:pPr>
              <w:ind w:left="580"/>
              <w:spacing w:after="0"/>
              <w:rPr>
                <w:sz w:val="20"/>
                <w:szCs w:val="20"/>
                <w:color w:val="auto"/>
              </w:rPr>
            </w:pPr>
            <w:r>
              <w:rPr>
                <w:rFonts w:ascii="Arial" w:cs="Arial" w:eastAsia="Arial" w:hAnsi="Arial"/>
                <w:sz w:val="18"/>
                <w:szCs w:val="18"/>
                <w:color w:val="auto"/>
              </w:rPr>
              <w:t>0</w:t>
            </w:r>
          </w:p>
        </w:tc>
      </w:tr>
      <w:tr>
        <w:trPr>
          <w:trHeight w:val="230"/>
        </w:trPr>
        <w:tc>
          <w:tcPr>
            <w:tcW w:w="800" w:type="dxa"/>
            <w:vAlign w:val="bottom"/>
          </w:tcPr>
          <w:p>
            <w:pPr>
              <w:ind w:left="340"/>
              <w:spacing w:after="0"/>
              <w:rPr>
                <w:sz w:val="20"/>
                <w:szCs w:val="20"/>
                <w:color w:val="auto"/>
              </w:rPr>
            </w:pPr>
            <w:r>
              <w:rPr>
                <w:rFonts w:ascii="Arial" w:cs="Arial" w:eastAsia="Arial" w:hAnsi="Arial"/>
                <w:sz w:val="18"/>
                <w:szCs w:val="18"/>
                <w:color w:val="auto"/>
              </w:rPr>
              <w:t>(iv)</w:t>
            </w:r>
          </w:p>
        </w:tc>
        <w:tc>
          <w:tcPr>
            <w:tcW w:w="4780" w:type="dxa"/>
            <w:vAlign w:val="bottom"/>
          </w:tcPr>
          <w:p>
            <w:pPr>
              <w:ind w:left="180"/>
              <w:spacing w:after="0"/>
              <w:rPr>
                <w:sz w:val="20"/>
                <w:szCs w:val="20"/>
                <w:color w:val="auto"/>
              </w:rPr>
            </w:pPr>
            <w:r>
              <w:rPr>
                <w:rFonts w:ascii="Arial" w:cs="Arial" w:eastAsia="Arial" w:hAnsi="Arial"/>
                <w:sz w:val="18"/>
                <w:szCs w:val="18"/>
                <w:color w:val="auto"/>
              </w:rPr>
              <w:t>Shared power to dispose or to direct the disposition of:</w:t>
            </w:r>
          </w:p>
        </w:tc>
        <w:tc>
          <w:tcPr>
            <w:tcW w:w="5660" w:type="dxa"/>
            <w:vAlign w:val="bottom"/>
          </w:tcPr>
          <w:p>
            <w:pPr>
              <w:ind w:left="580"/>
              <w:spacing w:after="0"/>
              <w:rPr>
                <w:sz w:val="20"/>
                <w:szCs w:val="20"/>
                <w:color w:val="auto"/>
              </w:rPr>
            </w:pPr>
            <w:r>
              <w:rPr>
                <w:rFonts w:ascii="Arial" w:cs="Arial" w:eastAsia="Arial" w:hAnsi="Arial"/>
                <w:sz w:val="18"/>
                <w:szCs w:val="18"/>
                <w:color w:val="auto"/>
              </w:rPr>
              <w:t>97,021</w:t>
            </w:r>
          </w:p>
        </w:tc>
      </w:tr>
      <w:tr>
        <w:trPr>
          <w:trHeight w:val="418"/>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780" w:type="dxa"/>
            <w:vAlign w:val="bottom"/>
          </w:tcPr>
          <w:p>
            <w:pPr>
              <w:ind w:left="500"/>
              <w:spacing w:after="0"/>
              <w:rPr>
                <w:sz w:val="20"/>
                <w:szCs w:val="20"/>
                <w:color w:val="auto"/>
              </w:rPr>
            </w:pPr>
            <w:r>
              <w:rPr>
                <w:rFonts w:ascii="Arial" w:cs="Arial" w:eastAsia="Arial" w:hAnsi="Arial"/>
                <w:sz w:val="18"/>
                <w:szCs w:val="18"/>
                <w:b w:val="1"/>
                <w:bCs w:val="1"/>
                <w:color w:val="auto"/>
              </w:rPr>
              <w:t>Ownership of Five Percent or Less of a Class.</w:t>
            </w:r>
          </w:p>
        </w:tc>
        <w:tc>
          <w:tcPr>
            <w:tcW w:w="5660" w:type="dxa"/>
            <w:vAlign w:val="bottom"/>
          </w:tcPr>
          <w:p>
            <w:pPr>
              <w:spacing w:after="0"/>
              <w:rPr>
                <w:sz w:val="24"/>
                <w:szCs w:val="24"/>
                <w:color w:val="auto"/>
              </w:rPr>
            </w:pPr>
          </w:p>
        </w:tc>
      </w:tr>
      <w:tr>
        <w:trPr>
          <w:trHeight w:val="183"/>
        </w:trPr>
        <w:tc>
          <w:tcPr>
            <w:tcW w:w="800" w:type="dxa"/>
            <w:vAlign w:val="bottom"/>
          </w:tcPr>
          <w:p>
            <w:pPr>
              <w:spacing w:after="0"/>
              <w:rPr>
                <w:sz w:val="15"/>
                <w:szCs w:val="15"/>
                <w:color w:val="auto"/>
              </w:rPr>
            </w:pPr>
          </w:p>
        </w:tc>
        <w:tc>
          <w:tcPr>
            <w:tcW w:w="10440" w:type="dxa"/>
            <w:vAlign w:val="bottom"/>
            <w:gridSpan w:val="2"/>
          </w:tcPr>
          <w:p>
            <w:pPr>
              <w:ind w:left="500"/>
              <w:spacing w:after="0" w:line="183" w:lineRule="exact"/>
              <w:rPr>
                <w:sz w:val="20"/>
                <w:szCs w:val="20"/>
                <w:color w:val="auto"/>
              </w:rPr>
            </w:pPr>
            <w:r>
              <w:rPr>
                <w:rFonts w:ascii="Arial" w:cs="Arial" w:eastAsia="Arial" w:hAnsi="Arial"/>
                <w:sz w:val="18"/>
                <w:szCs w:val="18"/>
                <w:color w:val="auto"/>
                <w:w w:val="93"/>
              </w:rPr>
              <w:t>If this statement is being filed to report the fact that as of the date hereof the reporting person has ceased to be the beneficial owner of</w:t>
            </w:r>
          </w:p>
        </w:tc>
      </w:tr>
      <w:tr>
        <w:trPr>
          <w:trHeight w:val="283"/>
        </w:trPr>
        <w:tc>
          <w:tcPr>
            <w:tcW w:w="5580" w:type="dxa"/>
            <w:vAlign w:val="bottom"/>
            <w:gridSpan w:val="2"/>
          </w:tcPr>
          <w:p>
            <w:pPr>
              <w:spacing w:after="0" w:line="207" w:lineRule="exact"/>
              <w:rPr>
                <w:sz w:val="20"/>
                <w:szCs w:val="20"/>
                <w:color w:val="auto"/>
              </w:rPr>
            </w:pPr>
            <w:r>
              <w:rPr>
                <w:rFonts w:ascii="Arial" w:cs="Arial" w:eastAsia="Arial" w:hAnsi="Arial"/>
                <w:sz w:val="18"/>
                <w:szCs w:val="18"/>
                <w:color w:val="auto"/>
              </w:rPr>
              <w:t xml:space="preserve">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5660" w:type="dxa"/>
            <w:vAlign w:val="bottom"/>
          </w:tcPr>
          <w:p>
            <w:pPr>
              <w:spacing w:after="0"/>
              <w:rPr>
                <w:sz w:val="24"/>
                <w:szCs w:val="24"/>
                <w:color w:val="auto"/>
              </w:rPr>
            </w:pPr>
          </w:p>
        </w:tc>
      </w:tr>
      <w:tr>
        <w:trPr>
          <w:trHeight w:val="398"/>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40" w:type="dxa"/>
            <w:vAlign w:val="bottom"/>
            <w:gridSpan w:val="2"/>
          </w:tcPr>
          <w:p>
            <w:pPr>
              <w:ind w:left="50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r>
      <w:tr>
        <w:trPr>
          <w:trHeight w:val="230"/>
        </w:trPr>
        <w:tc>
          <w:tcPr>
            <w:tcW w:w="800" w:type="dxa"/>
            <w:vAlign w:val="bottom"/>
          </w:tcPr>
          <w:p>
            <w:pPr>
              <w:spacing w:after="0"/>
              <w:rPr>
                <w:sz w:val="20"/>
                <w:szCs w:val="20"/>
                <w:color w:val="auto"/>
              </w:rPr>
            </w:pPr>
          </w:p>
        </w:tc>
        <w:tc>
          <w:tcPr>
            <w:tcW w:w="4780" w:type="dxa"/>
            <w:vAlign w:val="bottom"/>
          </w:tcPr>
          <w:p>
            <w:pPr>
              <w:ind w:left="500"/>
              <w:spacing w:after="0"/>
              <w:rPr>
                <w:sz w:val="20"/>
                <w:szCs w:val="20"/>
                <w:color w:val="auto"/>
              </w:rPr>
            </w:pPr>
            <w:r>
              <w:rPr>
                <w:rFonts w:ascii="Arial" w:cs="Arial" w:eastAsia="Arial" w:hAnsi="Arial"/>
                <w:sz w:val="18"/>
                <w:szCs w:val="18"/>
                <w:color w:val="auto"/>
              </w:rPr>
              <w:t>This Item 6 is not applicable.</w:t>
            </w:r>
          </w:p>
        </w:tc>
        <w:tc>
          <w:tcPr>
            <w:tcW w:w="5660" w:type="dxa"/>
            <w:vAlign w:val="bottom"/>
          </w:tcPr>
          <w:p>
            <w:pPr>
              <w:spacing w:after="0"/>
              <w:rPr>
                <w:sz w:val="20"/>
                <w:szCs w:val="20"/>
                <w:color w:val="auto"/>
              </w:rPr>
            </w:pPr>
          </w:p>
        </w:tc>
      </w:tr>
      <w:tr>
        <w:trPr>
          <w:trHeight w:val="414"/>
        </w:trPr>
        <w:tc>
          <w:tcPr>
            <w:tcW w:w="8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440" w:type="dxa"/>
            <w:vAlign w:val="bottom"/>
            <w:gridSpan w:val="2"/>
          </w:tcPr>
          <w:p>
            <w:pPr>
              <w:ind w:left="500"/>
              <w:spacing w:after="0"/>
              <w:rPr>
                <w:sz w:val="20"/>
                <w:szCs w:val="20"/>
                <w:color w:val="auto"/>
              </w:rPr>
            </w:pPr>
            <w:r>
              <w:rPr>
                <w:rFonts w:ascii="Arial" w:cs="Arial" w:eastAsia="Arial" w:hAnsi="Arial"/>
                <w:sz w:val="18"/>
                <w:szCs w:val="18"/>
                <w:b w:val="1"/>
                <w:bCs w:val="1"/>
                <w:color w:val="auto"/>
                <w:w w:val="96"/>
              </w:rPr>
              <w:t>Identification and Classification of the Subsidiary which Acquired the Security Being Reported On by the Parent Holding</w:t>
            </w:r>
          </w:p>
        </w:tc>
      </w:tr>
      <w:tr>
        <w:trPr>
          <w:trHeight w:val="220"/>
        </w:trPr>
        <w:tc>
          <w:tcPr>
            <w:tcW w:w="800" w:type="dxa"/>
            <w:vAlign w:val="bottom"/>
          </w:tcPr>
          <w:p>
            <w:pPr>
              <w:spacing w:after="0"/>
              <w:rPr>
                <w:sz w:val="19"/>
                <w:szCs w:val="19"/>
                <w:color w:val="auto"/>
              </w:rPr>
            </w:pPr>
          </w:p>
        </w:tc>
        <w:tc>
          <w:tcPr>
            <w:tcW w:w="4780" w:type="dxa"/>
            <w:vAlign w:val="bottom"/>
          </w:tcPr>
          <w:p>
            <w:pPr>
              <w:ind w:left="500"/>
              <w:spacing w:after="0"/>
              <w:rPr>
                <w:sz w:val="20"/>
                <w:szCs w:val="20"/>
                <w:color w:val="auto"/>
              </w:rPr>
            </w:pPr>
            <w:r>
              <w:rPr>
                <w:rFonts w:ascii="Arial" w:cs="Arial" w:eastAsia="Arial" w:hAnsi="Arial"/>
                <w:sz w:val="18"/>
                <w:szCs w:val="18"/>
                <w:b w:val="1"/>
                <w:bCs w:val="1"/>
                <w:color w:val="auto"/>
              </w:rPr>
              <w:t>Company.</w:t>
            </w:r>
          </w:p>
        </w:tc>
        <w:tc>
          <w:tcPr>
            <w:tcW w:w="5660" w:type="dxa"/>
            <w:vAlign w:val="bottom"/>
          </w:tcPr>
          <w:p>
            <w:pPr>
              <w:spacing w:after="0"/>
              <w:rPr>
                <w:sz w:val="19"/>
                <w:szCs w:val="19"/>
                <w:color w:val="auto"/>
              </w:rPr>
            </w:pPr>
          </w:p>
        </w:tc>
      </w:tr>
      <w:tr>
        <w:trPr>
          <w:trHeight w:val="230"/>
        </w:trPr>
        <w:tc>
          <w:tcPr>
            <w:tcW w:w="800" w:type="dxa"/>
            <w:vAlign w:val="bottom"/>
          </w:tcPr>
          <w:p>
            <w:pPr>
              <w:spacing w:after="0"/>
              <w:rPr>
                <w:sz w:val="20"/>
                <w:szCs w:val="20"/>
                <w:color w:val="auto"/>
              </w:rPr>
            </w:pPr>
          </w:p>
        </w:tc>
        <w:tc>
          <w:tcPr>
            <w:tcW w:w="4780" w:type="dxa"/>
            <w:vAlign w:val="bottom"/>
          </w:tcPr>
          <w:p>
            <w:pPr>
              <w:ind w:left="500"/>
              <w:spacing w:after="0"/>
              <w:rPr>
                <w:sz w:val="20"/>
                <w:szCs w:val="20"/>
                <w:color w:val="auto"/>
              </w:rPr>
            </w:pPr>
            <w:r>
              <w:rPr>
                <w:rFonts w:ascii="Arial" w:cs="Arial" w:eastAsia="Arial" w:hAnsi="Arial"/>
                <w:sz w:val="18"/>
                <w:szCs w:val="18"/>
                <w:color w:val="auto"/>
              </w:rPr>
              <w:t>This Item 7 is not applicable.</w:t>
            </w:r>
          </w:p>
        </w:tc>
        <w:tc>
          <w:tcPr>
            <w:tcW w:w="5660" w:type="dxa"/>
            <w:vAlign w:val="bottom"/>
          </w:tcPr>
          <w:p>
            <w:pPr>
              <w:spacing w:after="0"/>
              <w:rPr>
                <w:sz w:val="20"/>
                <w:szCs w:val="20"/>
                <w:color w:val="auto"/>
              </w:rPr>
            </w:pPr>
          </w:p>
        </w:tc>
      </w:tr>
      <w:tr>
        <w:trPr>
          <w:trHeight w:val="675"/>
        </w:trPr>
        <w:tc>
          <w:tcPr>
            <w:tcW w:w="800" w:type="dxa"/>
            <w:vAlign w:val="bottom"/>
            <w:tcBorders>
              <w:bottom w:val="single" w:sz="8" w:color="auto"/>
            </w:tcBorders>
          </w:tcPr>
          <w:p>
            <w:pPr>
              <w:spacing w:after="0"/>
              <w:rPr>
                <w:sz w:val="24"/>
                <w:szCs w:val="24"/>
                <w:color w:val="auto"/>
              </w:rPr>
            </w:pPr>
          </w:p>
        </w:tc>
        <w:tc>
          <w:tcPr>
            <w:tcW w:w="4780" w:type="dxa"/>
            <w:vAlign w:val="bottom"/>
            <w:tcBorders>
              <w:bottom w:val="single" w:sz="8" w:color="auto"/>
            </w:tcBorders>
          </w:tcPr>
          <w:p>
            <w:pPr>
              <w:spacing w:after="0"/>
              <w:rPr>
                <w:sz w:val="24"/>
                <w:szCs w:val="24"/>
                <w:color w:val="auto"/>
              </w:rPr>
            </w:pPr>
          </w:p>
        </w:tc>
        <w:tc>
          <w:tcPr>
            <w:tcW w:w="56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type w:val="continuous"/>
        </w:sectPr>
      </w:pPr>
    </w:p>
    <w:bookmarkStart w:id="7" w:name="page8"/>
    <w:bookmarkEnd w:id="7"/>
    <w:p>
      <w:pPr>
        <w:spacing w:after="0"/>
        <w:rPr>
          <w:sz w:val="20"/>
          <w:szCs w:val="20"/>
          <w:color w:val="auto"/>
        </w:rPr>
      </w:pPr>
      <w:r>
        <w:rPr>
          <w:rFonts w:ascii="Arial" w:cs="Arial" w:eastAsia="Arial" w:hAnsi="Arial"/>
          <w:sz w:val="17"/>
          <w:szCs w:val="17"/>
          <w:b w:val="1"/>
          <w:bCs w:val="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Identification and Classification of Members of the Group.</w:t>
      </w:r>
    </w:p>
    <w:p>
      <w:pPr>
        <w:spacing w:after="0" w:line="50" w:lineRule="exact"/>
        <w:rPr>
          <w:sz w:val="20"/>
          <w:szCs w:val="20"/>
          <w:color w:val="auto"/>
        </w:rPr>
      </w:pPr>
    </w:p>
    <w:p>
      <w:pPr>
        <w:sectPr>
          <w:pgSz w:w="11900" w:h="16838" w:orient="portrait"/>
          <w:cols w:equalWidth="0" w:num="2">
            <w:col w:w="580" w:space="720"/>
            <w:col w:w="9860"/>
          </w:cols>
          <w:pgMar w:left="320" w:top="904" w:right="419" w:bottom="1440" w:gutter="0" w:footer="0" w:header="0"/>
        </w:sectPr>
      </w:pPr>
    </w:p>
    <w:p>
      <w:pPr>
        <w:ind w:left="1300"/>
        <w:spacing w:after="0"/>
        <w:rPr>
          <w:sz w:val="20"/>
          <w:szCs w:val="20"/>
          <w:color w:val="auto"/>
        </w:rPr>
      </w:pPr>
      <w:r>
        <w:rPr>
          <w:rFonts w:ascii="Arial" w:cs="Arial" w:eastAsia="Arial" w:hAnsi="Arial"/>
          <w:sz w:val="16"/>
          <w:szCs w:val="16"/>
          <w:color w:val="auto"/>
        </w:rPr>
        <w:t>This Item 8 is not applicable.</w:t>
      </w:r>
    </w:p>
    <w:p>
      <w:pPr>
        <w:sectPr>
          <w:pgSz w:w="11900" w:h="16838" w:orient="portrait"/>
          <w:cols w:equalWidth="0" w:num="1">
            <w:col w:w="11160"/>
          </w:cols>
          <w:pgMar w:left="320" w:top="904" w:right="419" w:bottom="1440" w:gutter="0" w:footer="0" w:header="0"/>
          <w:type w:val="continuous"/>
        </w:sectPr>
      </w:pP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w:t>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Notice of Dissolution of Group.</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This Item 9 is not applicable.</w:t>
      </w:r>
    </w:p>
    <w:p>
      <w:pPr>
        <w:spacing w:after="0" w:line="200" w:lineRule="exact"/>
        <w:rPr>
          <w:sz w:val="20"/>
          <w:szCs w:val="20"/>
          <w:color w:val="auto"/>
        </w:rPr>
      </w:pPr>
    </w:p>
    <w:p>
      <w:pPr>
        <w:sectPr>
          <w:pgSz w:w="11900" w:h="16838" w:orient="portrait"/>
          <w:cols w:equalWidth="0" w:num="2">
            <w:col w:w="580" w:space="720"/>
            <w:col w:w="9860"/>
          </w:cols>
          <w:pgMar w:left="320" w:top="904" w:right="419" w:bottom="1440" w:gutter="0" w:footer="0" w:header="0"/>
          <w:type w:val="continuous"/>
        </w:sectPr>
      </w:pPr>
    </w:p>
    <w:p>
      <w:pPr>
        <w:spacing w:after="0" w:line="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By signing below the Reporting Persons certifies that, to the best of their knowledge and belief, the securities referred to above were</w:t>
      </w:r>
    </w:p>
    <w:p>
      <w:pPr>
        <w:sectPr>
          <w:pgSz w:w="11900" w:h="16838" w:orient="portrait"/>
          <w:cols w:equalWidth="0" w:num="1">
            <w:col w:w="11160"/>
          </w:cols>
          <w:pgMar w:left="320" w:top="904" w:right="419" w:bottom="1440" w:gutter="0" w:footer="0" w:header="0"/>
          <w:type w:val="continuous"/>
        </w:sectPr>
      </w:pPr>
    </w:p>
    <w:p>
      <w:pPr>
        <w:spacing w:after="0" w:line="3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421005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4" w:right="419" w:bottom="1440" w:gutter="0" w:footer="0" w:header="0"/>
          <w:type w:val="continuous"/>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FINANCIAL LLC</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Magnetar Capital Partners LP, its Sole Member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16"/>
        </w:trPr>
        <w:tc>
          <w:tcPr>
            <w:tcW w:w="5640" w:type="dxa"/>
            <w:vAlign w:val="bottom"/>
          </w:tcPr>
          <w:p>
            <w:pPr>
              <w:spacing w:after="0"/>
              <w:rPr>
                <w:sz w:val="18"/>
                <w:szCs w:val="18"/>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w w:val="96"/>
              </w:rPr>
              <w:t>Manager of Supernova Management LLC, the General Partner of</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gridSpan w:val="2"/>
          </w:tcPr>
          <w:p>
            <w:pPr>
              <w:spacing w:after="0"/>
              <w:rPr>
                <w:sz w:val="20"/>
                <w:szCs w:val="20"/>
                <w:color w:val="auto"/>
              </w:rPr>
            </w:pPr>
            <w:r>
              <w:rPr>
                <w:rFonts w:ascii="Arial" w:cs="Arial" w:eastAsia="Arial" w:hAnsi="Arial"/>
                <w:sz w:val="18"/>
                <w:szCs w:val="18"/>
                <w:color w:val="auto"/>
              </w:rPr>
              <w:t>MAGNETAR CAPITAL PARTNERS LP</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Pr>
          <w:p>
            <w:pPr>
              <w:spacing w:after="0"/>
              <w:rPr>
                <w:sz w:val="20"/>
                <w:szCs w:val="20"/>
                <w:color w:val="auto"/>
              </w:rPr>
            </w:pPr>
            <w:r>
              <w:rPr>
                <w:rFonts w:ascii="Arial" w:cs="Arial" w:eastAsia="Arial" w:hAnsi="Arial"/>
                <w:sz w:val="18"/>
                <w:szCs w:val="18"/>
                <w:color w:val="auto"/>
              </w:rPr>
              <w:t>Supernova Management LLC, its General Partner</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 of Supernova Management LLC</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gridSpan w:val="2"/>
          </w:tcPr>
          <w:p>
            <w:pPr>
              <w:spacing w:after="0"/>
              <w:rPr>
                <w:sz w:val="20"/>
                <w:szCs w:val="20"/>
                <w:color w:val="auto"/>
              </w:rPr>
            </w:pPr>
            <w:r>
              <w:rPr>
                <w:rFonts w:ascii="Arial" w:cs="Arial" w:eastAsia="Arial" w:hAnsi="Arial"/>
                <w:sz w:val="18"/>
                <w:szCs w:val="18"/>
                <w:color w:val="auto"/>
              </w:rPr>
              <w:t>SUPERNOVA MANAGEMENT LLC</w:t>
            </w:r>
          </w:p>
        </w:tc>
      </w:tr>
      <w:tr>
        <w:trPr>
          <w:trHeight w:val="432"/>
        </w:trPr>
        <w:tc>
          <w:tcPr>
            <w:tcW w:w="5640" w:type="dxa"/>
            <w:vAlign w:val="bottom"/>
          </w:tcPr>
          <w:p>
            <w:pPr>
              <w:spacing w:after="0"/>
              <w:rPr>
                <w:sz w:val="24"/>
                <w:szCs w:val="24"/>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Alec N. Litowitz</w:t>
            </w:r>
          </w:p>
        </w:tc>
      </w:tr>
      <w:tr>
        <w:trPr>
          <w:trHeight w:val="195"/>
        </w:trPr>
        <w:tc>
          <w:tcPr>
            <w:tcW w:w="5640" w:type="dxa"/>
            <w:vAlign w:val="bottom"/>
          </w:tcPr>
          <w:p>
            <w:pPr>
              <w:spacing w:after="0"/>
              <w:rPr>
                <w:sz w:val="16"/>
                <w:szCs w:val="16"/>
                <w:color w:val="auto"/>
              </w:rPr>
            </w:pPr>
          </w:p>
        </w:tc>
        <w:tc>
          <w:tcPr>
            <w:tcW w:w="56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5040" w:type="dxa"/>
            <w:vAlign w:val="bottom"/>
          </w:tcPr>
          <w:p>
            <w:pPr>
              <w:spacing w:after="0" w:line="195" w:lineRule="exact"/>
              <w:rPr>
                <w:sz w:val="20"/>
                <w:szCs w:val="20"/>
                <w:color w:val="auto"/>
              </w:rPr>
            </w:pPr>
            <w:r>
              <w:rPr>
                <w:rFonts w:ascii="Arial" w:cs="Arial" w:eastAsia="Arial" w:hAnsi="Arial"/>
                <w:sz w:val="18"/>
                <w:szCs w:val="18"/>
                <w:color w:val="auto"/>
              </w:rPr>
              <w:t>Alec N. Litowitz</w:t>
            </w:r>
          </w:p>
        </w:tc>
      </w:tr>
      <w:tr>
        <w:trPr>
          <w:trHeight w:val="230"/>
        </w:trPr>
        <w:tc>
          <w:tcPr>
            <w:tcW w:w="5640" w:type="dxa"/>
            <w:vAlign w:val="bottom"/>
          </w:tcPr>
          <w:p>
            <w:pPr>
              <w:spacing w:after="0"/>
              <w:rPr>
                <w:sz w:val="20"/>
                <w:szCs w:val="20"/>
                <w:color w:val="auto"/>
              </w:rPr>
            </w:pPr>
          </w:p>
        </w:tc>
        <w:tc>
          <w:tcPr>
            <w:tcW w:w="560" w:type="dxa"/>
            <w:vAlign w:val="bottom"/>
          </w:tcPr>
          <w:p>
            <w:pPr>
              <w:spacing w:after="0"/>
              <w:rPr>
                <w:sz w:val="20"/>
                <w:szCs w:val="20"/>
                <w:color w:val="auto"/>
              </w:rPr>
            </w:pPr>
            <w:r>
              <w:rPr>
                <w:rFonts w:ascii="Arial" w:cs="Arial" w:eastAsia="Arial" w:hAnsi="Arial"/>
                <w:sz w:val="18"/>
                <w:szCs w:val="18"/>
                <w:color w:val="auto"/>
              </w:rPr>
              <w:t>Title:</w:t>
            </w:r>
          </w:p>
        </w:tc>
        <w:tc>
          <w:tcPr>
            <w:tcW w:w="5040" w:type="dxa"/>
            <w:vAlign w:val="bottom"/>
          </w:tcPr>
          <w:p>
            <w:pPr>
              <w:spacing w:after="0"/>
              <w:rPr>
                <w:sz w:val="20"/>
                <w:szCs w:val="20"/>
                <w:color w:val="auto"/>
              </w:rPr>
            </w:pPr>
            <w:r>
              <w:rPr>
                <w:rFonts w:ascii="Arial" w:cs="Arial" w:eastAsia="Arial" w:hAnsi="Arial"/>
                <w:sz w:val="18"/>
                <w:szCs w:val="18"/>
                <w:color w:val="auto"/>
              </w:rPr>
              <w:t>Manager</w:t>
            </w:r>
          </w:p>
        </w:tc>
      </w:tr>
      <w:tr>
        <w:trPr>
          <w:trHeight w:val="432"/>
        </w:trPr>
        <w:tc>
          <w:tcPr>
            <w:tcW w:w="5640" w:type="dxa"/>
            <w:vAlign w:val="bottom"/>
          </w:tcPr>
          <w:p>
            <w:pPr>
              <w:spacing w:after="0"/>
              <w:rPr>
                <w:sz w:val="20"/>
                <w:szCs w:val="20"/>
                <w:color w:val="auto"/>
              </w:rPr>
            </w:pPr>
            <w:r>
              <w:rPr>
                <w:rFonts w:ascii="Arial" w:cs="Arial" w:eastAsia="Arial" w:hAnsi="Arial"/>
                <w:sz w:val="18"/>
                <w:szCs w:val="18"/>
                <w:color w:val="auto"/>
              </w:rPr>
              <w:t>Date: January 7, 2022</w:t>
            </w:r>
          </w:p>
        </w:tc>
        <w:tc>
          <w:tcPr>
            <w:tcW w:w="56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Alec N. Litowitz</w:t>
            </w:r>
          </w:p>
        </w:tc>
      </w:tr>
      <w:tr>
        <w:trPr>
          <w:trHeight w:val="224"/>
        </w:trPr>
        <w:tc>
          <w:tcPr>
            <w:tcW w:w="5640" w:type="dxa"/>
            <w:vAlign w:val="bottom"/>
          </w:tcPr>
          <w:p>
            <w:pPr>
              <w:spacing w:after="0"/>
              <w:rPr>
                <w:sz w:val="19"/>
                <w:szCs w:val="19"/>
                <w:color w:val="auto"/>
              </w:rPr>
            </w:pPr>
          </w:p>
        </w:tc>
        <w:tc>
          <w:tcPr>
            <w:tcW w:w="5600" w:type="dxa"/>
            <w:vAlign w:val="bottom"/>
            <w:gridSpan w:val="2"/>
          </w:tcPr>
          <w:p>
            <w:pPr>
              <w:spacing w:after="0"/>
              <w:rPr>
                <w:sz w:val="20"/>
                <w:szCs w:val="20"/>
                <w:color w:val="auto"/>
              </w:rPr>
            </w:pPr>
            <w:r>
              <w:rPr>
                <w:rFonts w:ascii="Arial" w:cs="Arial" w:eastAsia="Arial" w:hAnsi="Arial"/>
                <w:sz w:val="18"/>
                <w:szCs w:val="18"/>
                <w:color w:val="auto"/>
              </w:rPr>
              <w:t>Alec N. Litowitz</w:t>
            </w:r>
          </w:p>
        </w:tc>
      </w:tr>
      <w:tr>
        <w:trPr>
          <w:trHeight w:val="661"/>
        </w:trPr>
        <w:tc>
          <w:tcPr>
            <w:tcW w:w="5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lvl w:ilvl="1">
      <w:lvlJc w:val="left"/>
      <w:lvlText w:val="☐"/>
      <w:numFmt w:val="bullet"/>
      <w:start w:val="1"/>
    </w:lvl>
  </w:abstractNum>
  <w:abstractNum w:abstractNumId="2">
    <w:nsid w:val="79E2A9E3"/>
    <w:multiLevelType w:val="hybridMultilevel"/>
    <w:lvl w:ilvl="0">
      <w:lvlJc w:val="left"/>
      <w:lvlText w:val="1"/>
      <w:numFmt w:val="bullet"/>
      <w:start w:val="1"/>
    </w:lvl>
  </w:abstractNum>
  <w:abstractNum w:abstractNumId="3">
    <w:nsid w:val="7545E146"/>
    <w:multiLevelType w:val="hybridMultilevel"/>
    <w:lvl w:ilvl="0">
      <w:lvlJc w:val="left"/>
      <w:lvlText w:val="2"/>
      <w:numFmt w:val="bullet"/>
      <w:start w:val="1"/>
    </w:lvl>
    <w:lvl w:ilvl="1">
      <w:lvlJc w:val="left"/>
      <w:lvlText w:val="(%2)"/>
      <w:numFmt w:val="lowerLetter"/>
      <w:start w:val="2"/>
    </w:lvl>
  </w:abstractNum>
  <w:abstractNum w:abstractNumId="4">
    <w:nsid w:val="515F007C"/>
    <w:multiLevelType w:val="hybridMultilevel"/>
    <w:lvl w:ilvl="0">
      <w:lvlJc w:val="left"/>
      <w:lvlText w:val="1"/>
      <w:numFmt w:val="bullet"/>
      <w:start w:val="1"/>
    </w:lvl>
  </w:abstractNum>
  <w:abstractNum w:abstractNumId="5">
    <w:nsid w:val="5BD062C2"/>
    <w:multiLevelType w:val="hybridMultilevel"/>
    <w:lvl w:ilvl="0">
      <w:lvlJc w:val="left"/>
      <w:lvlText w:val="2"/>
      <w:numFmt w:val="bullet"/>
      <w:start w:val="1"/>
    </w:lvl>
    <w:lvl w:ilvl="1">
      <w:lvlJc w:val="left"/>
      <w:lvlText w:val="(%2)"/>
      <w:numFmt w:val="lowerLetter"/>
      <w:start w:val="2"/>
    </w:lvl>
  </w:abstractNum>
  <w:abstractNum w:abstractNumId="6">
    <w:nsid w:val="12200854"/>
    <w:multiLevelType w:val="hybridMultilevel"/>
    <w:lvl w:ilvl="0">
      <w:lvlJc w:val="left"/>
      <w:lvlText w:val="1"/>
      <w:numFmt w:val="bullet"/>
      <w:start w:val="1"/>
    </w:lvl>
  </w:abstractNum>
  <w:abstractNum w:abstractNumId="7">
    <w:nsid w:val="4DB127F8"/>
    <w:multiLevelType w:val="hybridMultilevel"/>
    <w:lvl w:ilvl="0">
      <w:lvlJc w:val="left"/>
      <w:lvlText w:val="2"/>
      <w:numFmt w:val="bullet"/>
      <w:start w:val="1"/>
    </w:lvl>
    <w:lvl w:ilvl="1">
      <w:lvlJc w:val="left"/>
      <w:lvlText w:val="(%2)"/>
      <w:numFmt w:val="lowerLetter"/>
      <w:start w:val="2"/>
    </w:lvl>
  </w:abstractNum>
  <w:abstractNum w:abstractNumId="8">
    <w:nsid w:val="216231B"/>
    <w:multiLevelType w:val="hybridMultilevel"/>
    <w:lvl w:ilvl="0">
      <w:lvlJc w:val="left"/>
      <w:lvlText w:val="1"/>
      <w:numFmt w:val="bullet"/>
      <w:start w:val="1"/>
    </w:lvl>
  </w:abstractNum>
  <w:abstractNum w:abstractNumId="9">
    <w:nsid w:val="1F16E9E8"/>
    <w:multiLevelType w:val="hybridMultilevel"/>
    <w:lvl w:ilvl="0">
      <w:lvlJc w:val="left"/>
      <w:lvlText w:val="2"/>
      <w:numFmt w:val="bullet"/>
      <w:start w:val="1"/>
    </w:lvl>
    <w:lvl w:ilvl="1">
      <w:lvlJc w:val="left"/>
      <w:lvlText w:val="(%2)"/>
      <w:numFmt w:val="lowerLetter"/>
      <w:start w:val="2"/>
    </w:lvl>
  </w:abstractNum>
  <w:abstractNum w:abstractNumId="10">
    <w:nsid w:val="1190CDE7"/>
    <w:multiLevelType w:val="hybridMultilevel"/>
    <w:lvl w:ilvl="0">
      <w:lvlJc w:val="left"/>
      <w:lvlText w:val="%1)"/>
      <w:numFmt w:val="lowerRoman"/>
      <w:start w:val="1"/>
    </w:lvl>
  </w:abstractNum>
  <w:abstractNum w:abstractNumId="11">
    <w:nsid w:val="66EF438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2022-01-07T10:24:17Z</dcterms:created>
  <dcterms:modified xsi:type="dcterms:W3CDTF">2022-01-07T10:24:17Z</dcterms:modified>
</cp:coreProperties>
</file>