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7"/>
          <w:szCs w:val="17"/>
          <w:b w:val="1"/>
          <w:bCs w:val="1"/>
          <w:color w:val="auto"/>
        </w:rPr>
        <w:t>Washington, D.C. 20549</w:t>
      </w:r>
    </w:p>
    <w:p>
      <w:pPr>
        <w:spacing w:after="0" w:line="8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6"/>
        <w:spacing w:after="0" w:line="193" w:lineRule="auto"/>
        <w:tabs>
          <w:tab w:leader="none" w:pos="46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b w:val="1"/>
          <w:bCs w:val="1"/>
          <w:color w:val="auto"/>
        </w:rPr>
        <w:t>QUARTERLY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September 30, 2021</w:t>
      </w:r>
    </w:p>
    <w:p>
      <w:pPr>
        <w:spacing w:after="0" w:line="98"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OR</w:t>
      </w:r>
    </w:p>
    <w:p>
      <w:pPr>
        <w:spacing w:after="0" w:line="79" w:lineRule="exact"/>
        <w:rPr>
          <w:sz w:val="24"/>
          <w:szCs w:val="24"/>
          <w:color w:val="auto"/>
        </w:rPr>
      </w:pPr>
    </w:p>
    <w:p>
      <w:pPr>
        <w:ind w:left="460" w:hanging="456"/>
        <w:spacing w:after="0"/>
        <w:tabs>
          <w:tab w:leader="none" w:pos="460" w:val="left"/>
        </w:tabs>
        <w:numPr>
          <w:ilvl w:val="0"/>
          <w:numId w:val="2"/>
        </w:numPr>
        <w:rPr>
          <w:rFonts w:ascii="MS PGothic" w:cs="MS PGothic" w:eastAsia="MS PGothic" w:hAnsi="MS PGothic"/>
          <w:sz w:val="24"/>
          <w:szCs w:val="24"/>
          <w:color w:val="auto"/>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1960" w:type="dxa"/>
        <w:tblCellMar>
          <w:top w:w="0" w:type="dxa"/>
          <w:left w:w="0" w:type="dxa"/>
          <w:bottom w:w="0" w:type="dxa"/>
          <w:right w:w="0" w:type="dxa"/>
        </w:tblCellMar>
      </w:tblPr>
      <w:tr>
        <w:trPr>
          <w:trHeight w:val="157"/>
        </w:trPr>
        <w:tc>
          <w:tcPr>
            <w:tcW w:w="2200" w:type="dxa"/>
            <w:vAlign w:val="bottom"/>
          </w:tcPr>
          <w:p>
            <w:pPr>
              <w:spacing w:after="0"/>
              <w:rPr>
                <w:sz w:val="13"/>
                <w:szCs w:val="13"/>
                <w:color w:val="auto"/>
              </w:rPr>
            </w:pPr>
          </w:p>
        </w:tc>
        <w:tc>
          <w:tcPr>
            <w:tcW w:w="5000" w:type="dxa"/>
            <w:vAlign w:val="bottom"/>
          </w:tcPr>
          <w:p>
            <w:pPr>
              <w:ind w:left="20"/>
              <w:spacing w:after="0"/>
              <w:rPr>
                <w:sz w:val="20"/>
                <w:szCs w:val="20"/>
                <w:color w:val="auto"/>
              </w:rPr>
            </w:pPr>
            <w:r>
              <w:rPr>
                <w:rFonts w:ascii="Arial" w:cs="Arial" w:eastAsia="Arial" w:hAnsi="Arial"/>
                <w:sz w:val="12"/>
                <w:szCs w:val="12"/>
                <w:b w:val="1"/>
                <w:bCs w:val="1"/>
                <w:color w:val="auto"/>
              </w:rPr>
              <w:t>For the transition period from __________ to __________</w:t>
            </w:r>
          </w:p>
        </w:tc>
      </w:tr>
      <w:tr>
        <w:trPr>
          <w:trHeight w:val="238"/>
        </w:trPr>
        <w:tc>
          <w:tcPr>
            <w:tcW w:w="2200" w:type="dxa"/>
            <w:vAlign w:val="bottom"/>
          </w:tcPr>
          <w:p>
            <w:pPr>
              <w:spacing w:after="0"/>
              <w:rPr>
                <w:sz w:val="20"/>
                <w:szCs w:val="20"/>
                <w:color w:val="auto"/>
              </w:rPr>
            </w:pPr>
          </w:p>
        </w:tc>
        <w:tc>
          <w:tcPr>
            <w:tcW w:w="5000" w:type="dxa"/>
            <w:vAlign w:val="bottom"/>
          </w:tcPr>
          <w:p>
            <w:pPr>
              <w:ind w:left="680"/>
              <w:spacing w:after="0"/>
              <w:rPr>
                <w:sz w:val="20"/>
                <w:szCs w:val="20"/>
                <w:color w:val="auto"/>
              </w:rPr>
            </w:pPr>
            <w:r>
              <w:rPr>
                <w:rFonts w:ascii="Arial" w:cs="Arial" w:eastAsia="Arial" w:hAnsi="Arial"/>
                <w:sz w:val="12"/>
                <w:szCs w:val="12"/>
                <w:b w:val="1"/>
                <w:bCs w:val="1"/>
                <w:color w:val="auto"/>
              </w:rPr>
              <w:t>Commission file number 001-39482</w:t>
            </w:r>
          </w:p>
        </w:tc>
      </w:tr>
      <w:tr>
        <w:trPr>
          <w:trHeight w:val="866"/>
        </w:trPr>
        <w:tc>
          <w:tcPr>
            <w:tcW w:w="2200" w:type="dxa"/>
            <w:vAlign w:val="bottom"/>
          </w:tcPr>
          <w:p>
            <w:pPr>
              <w:spacing w:after="0"/>
              <w:rPr>
                <w:sz w:val="24"/>
                <w:szCs w:val="24"/>
                <w:color w:val="auto"/>
              </w:rPr>
            </w:pPr>
          </w:p>
        </w:tc>
        <w:tc>
          <w:tcPr>
            <w:tcW w:w="5000" w:type="dxa"/>
            <w:vAlign w:val="bottom"/>
          </w:tcPr>
          <w:p>
            <w:pPr>
              <w:ind w:left="560"/>
              <w:spacing w:after="0"/>
              <w:rPr>
                <w:sz w:val="20"/>
                <w:szCs w:val="20"/>
                <w:color w:val="auto"/>
              </w:rPr>
            </w:pPr>
            <w:r>
              <w:rPr>
                <w:rFonts w:ascii="Arial" w:cs="Arial" w:eastAsia="Arial" w:hAnsi="Arial"/>
                <w:sz w:val="19"/>
                <w:szCs w:val="19"/>
                <w:b w:val="1"/>
                <w:bCs w:val="1"/>
                <w:color w:val="auto"/>
              </w:rPr>
              <w:t>Sema4 Holdings Corp.</w:t>
            </w:r>
          </w:p>
        </w:tc>
      </w:tr>
      <w:tr>
        <w:trPr>
          <w:trHeight w:val="283"/>
        </w:trPr>
        <w:tc>
          <w:tcPr>
            <w:tcW w:w="220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73"/>
        </w:trPr>
        <w:tc>
          <w:tcPr>
            <w:tcW w:w="2200" w:type="dxa"/>
            <w:vAlign w:val="bottom"/>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5000" w:type="dxa"/>
            <w:vAlign w:val="bottom"/>
          </w:tcPr>
          <w:p>
            <w:pPr>
              <w:ind w:left="4340"/>
              <w:spacing w:after="0"/>
              <w:rPr>
                <w:sz w:val="20"/>
                <w:szCs w:val="20"/>
                <w:color w:val="auto"/>
              </w:rPr>
            </w:pPr>
            <w:r>
              <w:rPr>
                <w:rFonts w:ascii="Arial" w:cs="Arial" w:eastAsia="Arial" w:hAnsi="Arial"/>
                <w:sz w:val="12"/>
                <w:szCs w:val="12"/>
                <w:b w:val="1"/>
                <w:bCs w:val="1"/>
                <w:color w:val="auto"/>
                <w:w w:val="99"/>
              </w:rPr>
              <w:t>85-1966622</w:t>
            </w:r>
          </w:p>
        </w:tc>
      </w:tr>
      <w:tr>
        <w:trPr>
          <w:trHeight w:val="135"/>
        </w:trPr>
        <w:tc>
          <w:tcPr>
            <w:tcW w:w="2200" w:type="dxa"/>
            <w:vAlign w:val="bottom"/>
          </w:tcPr>
          <w:p>
            <w:pPr>
              <w:jc w:val="center"/>
              <w:spacing w:after="0" w:line="135" w:lineRule="exact"/>
              <w:rPr>
                <w:sz w:val="20"/>
                <w:szCs w:val="20"/>
                <w:color w:val="auto"/>
              </w:rPr>
            </w:pPr>
            <w:r>
              <w:rPr>
                <w:rFonts w:ascii="Arial" w:cs="Arial" w:eastAsia="Arial" w:hAnsi="Arial"/>
                <w:sz w:val="12"/>
                <w:szCs w:val="12"/>
                <w:color w:val="auto"/>
                <w:w w:val="91"/>
              </w:rPr>
              <w:t>(State or other jurisdiction of</w:t>
            </w:r>
          </w:p>
        </w:tc>
        <w:tc>
          <w:tcPr>
            <w:tcW w:w="5000" w:type="dxa"/>
            <w:vAlign w:val="bottom"/>
          </w:tcPr>
          <w:p>
            <w:pPr>
              <w:jc w:val="center"/>
              <w:ind w:left="4035"/>
              <w:spacing w:after="0" w:line="135" w:lineRule="exact"/>
              <w:rPr>
                <w:sz w:val="20"/>
                <w:szCs w:val="20"/>
                <w:color w:val="auto"/>
              </w:rPr>
            </w:pPr>
            <w:r>
              <w:rPr>
                <w:rFonts w:ascii="Arial" w:cs="Arial" w:eastAsia="Arial" w:hAnsi="Arial"/>
                <w:sz w:val="12"/>
                <w:szCs w:val="12"/>
                <w:color w:val="auto"/>
                <w:w w:val="93"/>
              </w:rPr>
              <w:t>(I.R.S. Employer</w:t>
            </w:r>
          </w:p>
        </w:tc>
      </w:tr>
      <w:tr>
        <w:trPr>
          <w:trHeight w:val="153"/>
        </w:trPr>
        <w:tc>
          <w:tcPr>
            <w:tcW w:w="2200" w:type="dxa"/>
            <w:vAlign w:val="bottom"/>
          </w:tcPr>
          <w:p>
            <w:pPr>
              <w:jc w:val="center"/>
              <w:spacing w:after="0"/>
              <w:rPr>
                <w:sz w:val="20"/>
                <w:szCs w:val="20"/>
                <w:color w:val="auto"/>
              </w:rPr>
            </w:pPr>
            <w:r>
              <w:rPr>
                <w:rFonts w:ascii="Arial" w:cs="Arial" w:eastAsia="Arial" w:hAnsi="Arial"/>
                <w:sz w:val="12"/>
                <w:szCs w:val="12"/>
                <w:color w:val="auto"/>
                <w:w w:val="92"/>
              </w:rPr>
              <w:t>incorporation or organization)</w:t>
            </w:r>
          </w:p>
        </w:tc>
        <w:tc>
          <w:tcPr>
            <w:tcW w:w="5000" w:type="dxa"/>
            <w:vAlign w:val="bottom"/>
          </w:tcPr>
          <w:p>
            <w:pPr>
              <w:jc w:val="center"/>
              <w:ind w:left="4035"/>
              <w:spacing w:after="0"/>
              <w:rPr>
                <w:sz w:val="20"/>
                <w:szCs w:val="20"/>
                <w:color w:val="auto"/>
              </w:rPr>
            </w:pPr>
            <w:r>
              <w:rPr>
                <w:rFonts w:ascii="Arial" w:cs="Arial" w:eastAsia="Arial" w:hAnsi="Arial"/>
                <w:sz w:val="12"/>
                <w:szCs w:val="12"/>
                <w:color w:val="auto"/>
                <w:w w:val="96"/>
              </w:rPr>
              <w:t>Identification No.)</w:t>
            </w:r>
          </w:p>
        </w:tc>
      </w:tr>
      <w:tr>
        <w:trPr>
          <w:trHeight w:val="167"/>
        </w:trPr>
        <w:tc>
          <w:tcPr>
            <w:tcW w:w="2200" w:type="dxa"/>
            <w:vAlign w:val="bottom"/>
          </w:tcPr>
          <w:p>
            <w:pPr>
              <w:jc w:val="center"/>
              <w:spacing w:after="0"/>
              <w:rPr>
                <w:sz w:val="20"/>
                <w:szCs w:val="20"/>
                <w:color w:val="auto"/>
              </w:rPr>
            </w:pPr>
            <w:r>
              <w:rPr>
                <w:rFonts w:ascii="Arial" w:cs="Arial" w:eastAsia="Arial" w:hAnsi="Arial"/>
                <w:sz w:val="12"/>
                <w:szCs w:val="12"/>
                <w:b w:val="1"/>
                <w:bCs w:val="1"/>
                <w:color w:val="auto"/>
                <w:w w:val="91"/>
              </w:rPr>
              <w:t>333 Ludlow Street, North Tower, 8th Floor</w:t>
            </w:r>
          </w:p>
        </w:tc>
        <w:tc>
          <w:tcPr>
            <w:tcW w:w="5000" w:type="dxa"/>
            <w:vAlign w:val="bottom"/>
          </w:tcPr>
          <w:p>
            <w:pPr>
              <w:spacing w:after="0"/>
              <w:rPr>
                <w:sz w:val="14"/>
                <w:szCs w:val="14"/>
                <w:color w:val="auto"/>
              </w:rPr>
            </w:pPr>
          </w:p>
        </w:tc>
      </w:tr>
      <w:tr>
        <w:trPr>
          <w:trHeight w:val="157"/>
        </w:trPr>
        <w:tc>
          <w:tcPr>
            <w:tcW w:w="2200" w:type="dxa"/>
            <w:vAlign w:val="bottom"/>
          </w:tcPr>
          <w:p>
            <w:pPr>
              <w:jc w:val="center"/>
              <w:spacing w:after="0"/>
              <w:rPr>
                <w:sz w:val="20"/>
                <w:szCs w:val="20"/>
                <w:color w:val="auto"/>
              </w:rPr>
            </w:pPr>
            <w:r>
              <w:rPr>
                <w:rFonts w:ascii="Arial" w:cs="Arial" w:eastAsia="Arial" w:hAnsi="Arial"/>
                <w:sz w:val="12"/>
                <w:szCs w:val="12"/>
                <w:b w:val="1"/>
                <w:bCs w:val="1"/>
                <w:color w:val="auto"/>
                <w:w w:val="91"/>
              </w:rPr>
              <w:t>Stamford, Connecticut</w:t>
            </w:r>
          </w:p>
        </w:tc>
        <w:tc>
          <w:tcPr>
            <w:tcW w:w="5000" w:type="dxa"/>
            <w:vAlign w:val="bottom"/>
          </w:tcPr>
          <w:p>
            <w:pPr>
              <w:jc w:val="center"/>
              <w:ind w:left="4035"/>
              <w:spacing w:after="0"/>
              <w:rPr>
                <w:sz w:val="20"/>
                <w:szCs w:val="20"/>
                <w:color w:val="auto"/>
              </w:rPr>
            </w:pPr>
            <w:r>
              <w:rPr>
                <w:rFonts w:ascii="Arial" w:cs="Arial" w:eastAsia="Arial" w:hAnsi="Arial"/>
                <w:sz w:val="12"/>
                <w:szCs w:val="12"/>
                <w:b w:val="1"/>
                <w:bCs w:val="1"/>
                <w:color w:val="auto"/>
                <w:w w:val="89"/>
              </w:rPr>
              <w:t>06902</w:t>
            </w:r>
          </w:p>
        </w:tc>
      </w:tr>
      <w:tr>
        <w:trPr>
          <w:trHeight w:val="162"/>
        </w:trPr>
        <w:tc>
          <w:tcPr>
            <w:tcW w:w="2200" w:type="dxa"/>
            <w:vAlign w:val="bottom"/>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5000" w:type="dxa"/>
            <w:vAlign w:val="bottom"/>
          </w:tcPr>
          <w:p>
            <w:pPr>
              <w:jc w:val="center"/>
              <w:ind w:left="4015"/>
              <w:spacing w:after="0"/>
              <w:rPr>
                <w:sz w:val="20"/>
                <w:szCs w:val="20"/>
                <w:color w:val="auto"/>
              </w:rPr>
            </w:pPr>
            <w:r>
              <w:rPr>
                <w:rFonts w:ascii="Arial" w:cs="Arial" w:eastAsia="Arial" w:hAnsi="Arial"/>
                <w:sz w:val="12"/>
                <w:szCs w:val="12"/>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-1325245</wp:posOffset>
            </wp:positionV>
            <wp:extent cx="1143000" cy="297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297180"/>
                    </a:xfrm>
                    <a:prstGeom prst="rect">
                      <a:avLst/>
                    </a:prstGeom>
                    <a:noFill/>
                  </pic:spPr>
                </pic:pic>
              </a:graphicData>
            </a:graphic>
          </wp:anchor>
        </w:drawing>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(800) 298-6470</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2"/>
          <w:szCs w:val="12"/>
          <w:color w:val="auto"/>
        </w:rPr>
        <w:t>Registrant's telephone number, including area code</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(Former name, former address and former fiscal year, if changed since last report)</w:t>
      </w:r>
    </w:p>
    <w:p>
      <w:pPr>
        <w:spacing w:after="0" w:line="114"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53"/>
        </w:trPr>
        <w:tc>
          <w:tcPr>
            <w:tcW w:w="46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88"/>
              </w:rPr>
              <w:t>Class A common stock, par value $0.0001 per share</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SMFR</w:t>
            </w:r>
          </w:p>
        </w:tc>
        <w:tc>
          <w:tcPr>
            <w:tcW w:w="4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1"/>
              </w:rPr>
              <w:t>The Nasdaq Global Select Market</w:t>
            </w:r>
          </w:p>
        </w:tc>
      </w:tr>
      <w:tr>
        <w:trPr>
          <w:trHeight w:val="114"/>
        </w:trPr>
        <w:tc>
          <w:tcPr>
            <w:tcW w:w="4640" w:type="dxa"/>
            <w:vAlign w:val="bottom"/>
            <w:tcBorders>
              <w:left w:val="single" w:sz="8" w:color="auto"/>
              <w:right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w w:val="88"/>
              </w:rPr>
              <w:t>Warrants to purchase one share of Class A common stock, each at an exercise price of</w:t>
            </w:r>
          </w:p>
        </w:tc>
        <w:tc>
          <w:tcPr>
            <w:tcW w:w="190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SMFRW</w:t>
            </w:r>
          </w:p>
        </w:tc>
        <w:tc>
          <w:tcPr>
            <w:tcW w:w="47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w w:val="91"/>
              </w:rPr>
              <w:t>The Nasdaq Global Select Market</w:t>
            </w:r>
          </w:p>
        </w:tc>
      </w:tr>
      <w:tr>
        <w:trPr>
          <w:trHeight w:val="161"/>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$11.50 per share</w:t>
            </w:r>
          </w:p>
        </w:tc>
        <w:tc>
          <w:tcPr>
            <w:tcW w:w="1900" w:type="dxa"/>
            <w:vAlign w:val="bottom"/>
            <w:tcBorders>
              <w:bottom w:val="single" w:sz="8" w:color="auto"/>
              <w:right w:val="single" w:sz="8" w:color="auto"/>
            </w:tcBorders>
          </w:tcPr>
          <w:p>
            <w:pPr>
              <w:spacing w:after="0"/>
              <w:rPr>
                <w:sz w:val="14"/>
                <w:szCs w:val="14"/>
                <w:color w:val="auto"/>
              </w:rPr>
            </w:pPr>
          </w:p>
        </w:tc>
        <w:tc>
          <w:tcPr>
            <w:tcW w:w="4780" w:type="dxa"/>
            <w:vAlign w:val="bottom"/>
            <w:tcBorders>
              <w:bottom w:val="single" w:sz="8" w:color="auto"/>
              <w:right w:val="single" w:sz="8" w:color="auto"/>
            </w:tcBorders>
          </w:tcPr>
          <w:p>
            <w:pPr>
              <w:spacing w:after="0"/>
              <w:rPr>
                <w:sz w:val="14"/>
                <w:szCs w:val="14"/>
                <w:color w:val="auto"/>
              </w:rPr>
            </w:pPr>
          </w:p>
        </w:tc>
      </w:tr>
    </w:tbl>
    <w:p>
      <w:pPr>
        <w:spacing w:after="0" w:line="162" w:lineRule="exact"/>
        <w:rPr>
          <w:sz w:val="24"/>
          <w:szCs w:val="24"/>
          <w:color w:val="auto"/>
        </w:rPr>
      </w:pPr>
    </w:p>
    <w:p>
      <w:pPr>
        <w:jc w:val="both"/>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9" w:lineRule="exact"/>
        <w:rPr>
          <w:sz w:val="24"/>
          <w:szCs w:val="24"/>
          <w:color w:val="auto"/>
        </w:rPr>
      </w:pPr>
    </w:p>
    <w:p>
      <w:pPr>
        <w:jc w:val="both"/>
        <w:ind w:right="20"/>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9" w:lineRule="exact"/>
        <w:rPr>
          <w:sz w:val="24"/>
          <w:szCs w:val="24"/>
          <w:color w:val="auto"/>
        </w:rPr>
      </w:pPr>
    </w:p>
    <w:p>
      <w:pPr>
        <w:jc w:val="both"/>
        <w:ind w:right="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780" w:type="dxa"/>
            <w:vAlign w:val="bottom"/>
          </w:tcPr>
          <w:p>
            <w:pPr>
              <w:ind w:left="1020"/>
              <w:spacing w:after="0"/>
              <w:rPr>
                <w:sz w:val="20"/>
                <w:szCs w:val="20"/>
                <w:color w:val="auto"/>
              </w:rPr>
            </w:pPr>
            <w:r>
              <w:rPr>
                <w:rFonts w:ascii="Arial" w:cs="Arial" w:eastAsia="Arial" w:hAnsi="Arial"/>
                <w:sz w:val="12"/>
                <w:szCs w:val="12"/>
                <w:color w:val="auto"/>
              </w:rPr>
              <w:t>o</w:t>
            </w:r>
          </w:p>
        </w:tc>
        <w:tc>
          <w:tcPr>
            <w:tcW w:w="4460" w:type="dxa"/>
            <w:vAlign w:val="bottom"/>
          </w:tcPr>
          <w:p>
            <w:pPr>
              <w:ind w:left="1700"/>
              <w:spacing w:after="0"/>
              <w:rPr>
                <w:sz w:val="20"/>
                <w:szCs w:val="20"/>
                <w:color w:val="auto"/>
              </w:rPr>
            </w:pPr>
            <w:r>
              <w:rPr>
                <w:rFonts w:ascii="Arial" w:cs="Arial" w:eastAsia="Arial" w:hAnsi="Arial"/>
                <w:sz w:val="12"/>
                <w:szCs w:val="12"/>
                <w:color w:val="auto"/>
              </w:rPr>
              <w:t>Accelerated filer</w:t>
            </w:r>
          </w:p>
        </w:tc>
        <w:tc>
          <w:tcPr>
            <w:tcW w:w="1520" w:type="dxa"/>
            <w:vAlign w:val="bottom"/>
          </w:tcPr>
          <w:p>
            <w:pPr>
              <w:ind w:left="1460"/>
              <w:spacing w:after="0"/>
              <w:rPr>
                <w:sz w:val="20"/>
                <w:szCs w:val="20"/>
                <w:color w:val="auto"/>
              </w:rPr>
            </w:pPr>
            <w:r>
              <w:rPr>
                <w:rFonts w:ascii="Arial" w:cs="Arial" w:eastAsia="Arial" w:hAnsi="Arial"/>
                <w:sz w:val="10"/>
                <w:szCs w:val="10"/>
                <w:color w:val="auto"/>
                <w:w w:val="71"/>
              </w:rPr>
              <w:t>o</w:t>
            </w:r>
          </w:p>
        </w:tc>
      </w:tr>
      <w:tr>
        <w:trPr>
          <w:trHeight w:val="162"/>
        </w:trPr>
        <w:tc>
          <w:tcPr>
            <w:tcW w:w="2080" w:type="dxa"/>
            <w:vAlign w:val="bottom"/>
          </w:tcPr>
          <w:p>
            <w:pPr>
              <w:spacing w:after="0"/>
              <w:rPr>
                <w:sz w:val="20"/>
                <w:szCs w:val="20"/>
                <w:color w:val="auto"/>
              </w:rPr>
            </w:pPr>
            <w:r>
              <w:rPr>
                <w:rFonts w:ascii="Arial" w:cs="Arial" w:eastAsia="Arial" w:hAnsi="Arial"/>
                <w:sz w:val="12"/>
                <w:szCs w:val="12"/>
                <w:color w:val="auto"/>
              </w:rPr>
              <w:t>Non-accelerated filer</w:t>
            </w:r>
          </w:p>
        </w:tc>
        <w:tc>
          <w:tcPr>
            <w:tcW w:w="2780" w:type="dxa"/>
            <w:vAlign w:val="bottom"/>
          </w:tcPr>
          <w:p>
            <w:pPr>
              <w:ind w:left="1020"/>
              <w:spacing w:after="0"/>
              <w:rPr>
                <w:sz w:val="20"/>
                <w:szCs w:val="20"/>
                <w:color w:val="auto"/>
              </w:rPr>
            </w:pPr>
            <w:r>
              <w:rPr>
                <w:rFonts w:ascii="Arial" w:cs="Arial" w:eastAsia="Arial" w:hAnsi="Arial"/>
                <w:sz w:val="12"/>
                <w:szCs w:val="12"/>
                <w:color w:val="auto"/>
              </w:rPr>
              <w:t>x</w:t>
            </w:r>
          </w:p>
        </w:tc>
        <w:tc>
          <w:tcPr>
            <w:tcW w:w="4460" w:type="dxa"/>
            <w:vAlign w:val="bottom"/>
          </w:tcPr>
          <w:p>
            <w:pPr>
              <w:ind w:left="1700"/>
              <w:spacing w:after="0"/>
              <w:rPr>
                <w:sz w:val="20"/>
                <w:szCs w:val="20"/>
                <w:color w:val="auto"/>
              </w:rPr>
            </w:pPr>
            <w:r>
              <w:rPr>
                <w:rFonts w:ascii="Arial" w:cs="Arial" w:eastAsia="Arial" w:hAnsi="Arial"/>
                <w:sz w:val="12"/>
                <w:szCs w:val="12"/>
                <w:color w:val="auto"/>
              </w:rPr>
              <w:t>Smaller reporting company</w:t>
            </w:r>
          </w:p>
        </w:tc>
        <w:tc>
          <w:tcPr>
            <w:tcW w:w="1520" w:type="dxa"/>
            <w:vAlign w:val="bottom"/>
          </w:tcPr>
          <w:p>
            <w:pPr>
              <w:ind w:left="1460"/>
              <w:spacing w:after="0"/>
              <w:rPr>
                <w:sz w:val="20"/>
                <w:szCs w:val="20"/>
                <w:color w:val="auto"/>
              </w:rPr>
            </w:pPr>
            <w:r>
              <w:rPr>
                <w:rFonts w:ascii="Arial" w:cs="Arial" w:eastAsia="Arial" w:hAnsi="Arial"/>
                <w:sz w:val="11"/>
                <w:szCs w:val="11"/>
                <w:color w:val="auto"/>
                <w:w w:val="71"/>
              </w:rPr>
              <w:t>x</w:t>
            </w:r>
          </w:p>
        </w:tc>
      </w:tr>
      <w:tr>
        <w:trPr>
          <w:trHeight w:val="162"/>
        </w:trPr>
        <w:tc>
          <w:tcPr>
            <w:tcW w:w="2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460" w:type="dxa"/>
            <w:vAlign w:val="bottom"/>
          </w:tcPr>
          <w:p>
            <w:pPr>
              <w:ind w:left="1700"/>
              <w:spacing w:after="0"/>
              <w:rPr>
                <w:sz w:val="20"/>
                <w:szCs w:val="20"/>
                <w:color w:val="auto"/>
              </w:rPr>
            </w:pPr>
            <w:r>
              <w:rPr>
                <w:rFonts w:ascii="Arial" w:cs="Arial" w:eastAsia="Arial" w:hAnsi="Arial"/>
                <w:sz w:val="12"/>
                <w:szCs w:val="12"/>
                <w:color w:val="auto"/>
              </w:rPr>
              <w:t>Emerging growth company</w:t>
            </w:r>
          </w:p>
        </w:tc>
        <w:tc>
          <w:tcPr>
            <w:tcW w:w="1520" w:type="dxa"/>
            <w:vAlign w:val="bottom"/>
          </w:tcPr>
          <w:p>
            <w:pPr>
              <w:ind w:left="1460"/>
              <w:spacing w:after="0"/>
              <w:rPr>
                <w:sz w:val="20"/>
                <w:szCs w:val="20"/>
                <w:color w:val="auto"/>
              </w:rPr>
            </w:pPr>
            <w:r>
              <w:rPr>
                <w:rFonts w:ascii="Arial" w:cs="Arial" w:eastAsia="Arial" w:hAnsi="Arial"/>
                <w:sz w:val="11"/>
                <w:szCs w:val="11"/>
                <w:color w:val="auto"/>
                <w:w w:val="71"/>
              </w:rPr>
              <w:t>x</w:t>
            </w:r>
          </w:p>
        </w:tc>
      </w:tr>
    </w:tbl>
    <w:p>
      <w:pPr>
        <w:spacing w:after="0" w:line="171"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 Yes o No x</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registrant had outstanding 241,261,362 shares of Class A common stock as of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534035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100965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118110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76"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40" w:type="dxa"/>
            <w:vAlign w:val="bottom"/>
            <w:gridSpan w:val="3"/>
          </w:tcPr>
          <w:p>
            <w:pPr>
              <w:ind w:left="300"/>
              <w:spacing w:after="0"/>
              <w:rPr>
                <w:sz w:val="20"/>
                <w:szCs w:val="20"/>
                <w:color w:val="auto"/>
              </w:rPr>
            </w:pPr>
            <w:r>
              <w:rPr>
                <w:rFonts w:ascii="Arial" w:cs="Arial" w:eastAsia="Arial" w:hAnsi="Arial"/>
                <w:sz w:val="12"/>
                <w:szCs w:val="12"/>
                <w:b w:val="1"/>
                <w:bCs w:val="1"/>
                <w:color w:val="auto"/>
              </w:rPr>
              <w:t>Table of Contents</w:t>
            </w: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60" w:type="dxa"/>
            <w:vAlign w:val="bottom"/>
          </w:tcPr>
          <w:p>
            <w:pPr>
              <w:ind w:left="204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35"/>
        </w:trPr>
        <w:tc>
          <w:tcPr>
            <w:tcW w:w="2760" w:type="dxa"/>
            <w:vAlign w:val="bottom"/>
            <w:tcBorders>
              <w:bottom w:val="single" w:sz="8" w:color="0000FF"/>
            </w:tcBorders>
            <w:gridSpan w:val="12"/>
          </w:tcPr>
          <w:p>
            <w:pPr>
              <w:spacing w:after="0" w:line="135" w:lineRule="exact"/>
              <w:rPr>
                <w:rFonts w:ascii="Arial" w:cs="Arial" w:eastAsia="Arial" w:hAnsi="Arial"/>
                <w:sz w:val="12"/>
                <w:szCs w:val="12"/>
                <w:color w:val="0000FF"/>
                <w:w w:val="90"/>
              </w:rPr>
            </w:pPr>
            <w:hyperlink w:anchor="page3">
              <w:r>
                <w:rPr>
                  <w:rFonts w:ascii="Arial" w:cs="Arial" w:eastAsia="Arial" w:hAnsi="Arial"/>
                  <w:sz w:val="12"/>
                  <w:szCs w:val="12"/>
                  <w:color w:val="0000FF"/>
                  <w:w w:val="90"/>
                </w:rPr>
                <w:t>Cautionary Note Regarding Forward Looking Statements</w:t>
              </w:r>
            </w:hyperlink>
          </w:p>
        </w:tc>
        <w:tc>
          <w:tcPr>
            <w:tcW w:w="5980" w:type="dxa"/>
            <w:vAlign w:val="bottom"/>
            <w:gridSpan w:val="10"/>
          </w:tcPr>
          <w:p>
            <w:pPr>
              <w:spacing w:after="0"/>
              <w:rPr>
                <w:sz w:val="11"/>
                <w:szCs w:val="11"/>
                <w:color w:val="auto"/>
              </w:rPr>
            </w:pPr>
          </w:p>
        </w:tc>
        <w:tc>
          <w:tcPr>
            <w:tcW w:w="2560" w:type="dxa"/>
            <w:vAlign w:val="bottom"/>
          </w:tcPr>
          <w:p>
            <w:pPr>
              <w:jc w:val="center"/>
              <w:ind w:left="1680"/>
              <w:spacing w:after="0" w:line="135" w:lineRule="exact"/>
              <w:rPr>
                <w:rFonts w:ascii="Arial" w:cs="Arial" w:eastAsia="Arial" w:hAnsi="Arial"/>
                <w:sz w:val="12"/>
                <w:szCs w:val="12"/>
                <w:color w:val="auto"/>
                <w:w w:val="89"/>
              </w:rPr>
            </w:pPr>
            <w:hyperlink w:anchor="page3">
              <w:r>
                <w:rPr>
                  <w:rFonts w:ascii="Arial" w:cs="Arial" w:eastAsia="Arial" w:hAnsi="Arial"/>
                  <w:sz w:val="12"/>
                  <w:szCs w:val="12"/>
                  <w:color w:val="auto"/>
                  <w:w w:val="89"/>
                </w:rPr>
                <w:t>3</w:t>
              </w:r>
            </w:hyperlink>
          </w:p>
        </w:tc>
        <w:tc>
          <w:tcPr>
            <w:tcW w:w="0" w:type="dxa"/>
            <w:vAlign w:val="bottom"/>
          </w:tcPr>
          <w:p>
            <w:pPr>
              <w:spacing w:after="0"/>
              <w:rPr>
                <w:sz w:val="1"/>
                <w:szCs w:val="1"/>
                <w:color w:val="auto"/>
              </w:rPr>
            </w:pPr>
          </w:p>
        </w:tc>
      </w:tr>
      <w:tr>
        <w:trPr>
          <w:trHeight w:val="322"/>
        </w:trPr>
        <w:tc>
          <w:tcPr>
            <w:tcW w:w="1380" w:type="dxa"/>
            <w:vAlign w:val="bottom"/>
            <w:tcBorders>
              <w:bottom w:val="single" w:sz="8" w:color="0000FF"/>
            </w:tcBorders>
            <w:gridSpan w:val="6"/>
          </w:tcPr>
          <w:p>
            <w:pPr>
              <w:spacing w:after="0"/>
              <w:rPr>
                <w:rFonts w:ascii="Arial" w:cs="Arial" w:eastAsia="Arial" w:hAnsi="Arial"/>
                <w:sz w:val="12"/>
                <w:szCs w:val="12"/>
                <w:color w:val="0000FF"/>
                <w:w w:val="92"/>
              </w:rPr>
            </w:pPr>
            <w:hyperlink w:anchor="page3">
              <w:r>
                <w:rPr>
                  <w:rFonts w:ascii="Arial" w:cs="Arial" w:eastAsia="Arial" w:hAnsi="Arial"/>
                  <w:sz w:val="12"/>
                  <w:szCs w:val="12"/>
                  <w:color w:val="0000FF"/>
                  <w:w w:val="92"/>
                </w:rPr>
                <w:t>Part I. Financial Information</w:t>
              </w:r>
            </w:hyperlink>
          </w:p>
        </w:tc>
        <w:tc>
          <w:tcPr>
            <w:tcW w:w="7360" w:type="dxa"/>
            <w:vAlign w:val="bottom"/>
            <w:gridSpan w:val="16"/>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gridSpan w:val="4"/>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Item 1.</w:t>
              </w:r>
            </w:hyperlink>
          </w:p>
        </w:tc>
        <w:tc>
          <w:tcPr>
            <w:tcW w:w="7620" w:type="dxa"/>
            <w:vAlign w:val="bottom"/>
            <w:gridSpan w:val="18"/>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Unaudited Condensed Consolidated Financial Statements</w:t>
              </w:r>
            </w:hyperlink>
          </w:p>
        </w:tc>
        <w:tc>
          <w:tcPr>
            <w:tcW w:w="2560" w:type="dxa"/>
            <w:vAlign w:val="bottom"/>
          </w:tcPr>
          <w:p>
            <w:pPr>
              <w:jc w:val="center"/>
              <w:ind w:left="1680"/>
              <w:spacing w:after="0"/>
              <w:rPr>
                <w:rFonts w:ascii="Arial" w:cs="Arial" w:eastAsia="Arial" w:hAnsi="Arial"/>
                <w:sz w:val="12"/>
                <w:szCs w:val="12"/>
                <w:color w:val="auto"/>
                <w:w w:val="89"/>
              </w:rPr>
            </w:pPr>
            <w:hyperlink w:anchor="page4">
              <w:r>
                <w:rPr>
                  <w:rFonts w:ascii="Arial" w:cs="Arial" w:eastAsia="Arial" w:hAnsi="Arial"/>
                  <w:sz w:val="12"/>
                  <w:szCs w:val="12"/>
                  <w:color w:val="auto"/>
                  <w:w w:val="89"/>
                </w:rPr>
                <w:t>4</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940" w:type="dxa"/>
            <w:vAlign w:val="bottom"/>
            <w:tcBorders>
              <w:top w:val="single" w:sz="8" w:color="0000FF"/>
              <w:bottom w:val="single" w:sz="8" w:color="0000FF"/>
            </w:tcBorders>
            <w:gridSpan w:val="8"/>
          </w:tcPr>
          <w:p>
            <w:pPr>
              <w:spacing w:after="0"/>
              <w:rPr>
                <w:rFonts w:ascii="Arial" w:cs="Arial" w:eastAsia="Arial" w:hAnsi="Arial"/>
                <w:sz w:val="12"/>
                <w:szCs w:val="12"/>
                <w:color w:val="0000FF"/>
                <w:w w:val="86"/>
              </w:rPr>
            </w:pPr>
            <w:hyperlink w:anchor="page4">
              <w:r>
                <w:rPr>
                  <w:rFonts w:ascii="Arial" w:cs="Arial" w:eastAsia="Arial" w:hAnsi="Arial"/>
                  <w:sz w:val="12"/>
                  <w:szCs w:val="12"/>
                  <w:color w:val="0000FF"/>
                  <w:w w:val="86"/>
                </w:rPr>
                <w:t>Condensed Consolidated Balance Sheets</w:t>
              </w:r>
            </w:hyperlink>
          </w:p>
        </w:tc>
        <w:tc>
          <w:tcPr>
            <w:tcW w:w="680" w:type="dxa"/>
            <w:vAlign w:val="bottom"/>
            <w:tcBorders>
              <w:top w:val="single" w:sz="8" w:color="0000FF"/>
            </w:tcBorders>
            <w:gridSpan w:val="2"/>
          </w:tcPr>
          <w:p>
            <w:pPr>
              <w:spacing w:after="0"/>
              <w:rPr>
                <w:sz w:val="12"/>
                <w:szCs w:val="12"/>
                <w:color w:val="auto"/>
              </w:rPr>
            </w:pPr>
          </w:p>
        </w:tc>
        <w:tc>
          <w:tcPr>
            <w:tcW w:w="4880" w:type="dxa"/>
            <w:vAlign w:val="bottom"/>
            <w:gridSpan w:val="7"/>
          </w:tcPr>
          <w:p>
            <w:pPr>
              <w:spacing w:after="0"/>
              <w:rPr>
                <w:sz w:val="12"/>
                <w:szCs w:val="12"/>
                <w:color w:val="auto"/>
              </w:rPr>
            </w:pPr>
          </w:p>
        </w:tc>
        <w:tc>
          <w:tcPr>
            <w:tcW w:w="2560" w:type="dxa"/>
            <w:vAlign w:val="bottom"/>
          </w:tcPr>
          <w:p>
            <w:pPr>
              <w:jc w:val="center"/>
              <w:ind w:left="1680"/>
              <w:spacing w:after="0"/>
              <w:rPr>
                <w:rFonts w:ascii="Arial" w:cs="Arial" w:eastAsia="Arial" w:hAnsi="Arial"/>
                <w:sz w:val="12"/>
                <w:szCs w:val="12"/>
                <w:color w:val="auto"/>
                <w:w w:val="89"/>
              </w:rPr>
            </w:pPr>
            <w:hyperlink w:anchor="page4">
              <w:r>
                <w:rPr>
                  <w:rFonts w:ascii="Arial" w:cs="Arial" w:eastAsia="Arial" w:hAnsi="Arial"/>
                  <w:sz w:val="12"/>
                  <w:szCs w:val="12"/>
                  <w:color w:val="auto"/>
                  <w:w w:val="89"/>
                </w:rPr>
                <w:t>4</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500" w:type="dxa"/>
            <w:vAlign w:val="bottom"/>
            <w:gridSpan w:val="17"/>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Condensed Consolidated Statements of Operations and Comprehensive Loss</w:t>
              </w:r>
            </w:hyperlink>
          </w:p>
        </w:tc>
        <w:tc>
          <w:tcPr>
            <w:tcW w:w="2560" w:type="dxa"/>
            <w:vAlign w:val="bottom"/>
          </w:tcPr>
          <w:p>
            <w:pPr>
              <w:jc w:val="center"/>
              <w:ind w:left="1680"/>
              <w:spacing w:after="0"/>
              <w:rPr>
                <w:rFonts w:ascii="Arial" w:cs="Arial" w:eastAsia="Arial" w:hAnsi="Arial"/>
                <w:sz w:val="12"/>
                <w:szCs w:val="12"/>
                <w:color w:val="auto"/>
                <w:w w:val="89"/>
              </w:rPr>
            </w:pPr>
            <w:hyperlink w:anchor="page5">
              <w:r>
                <w:rPr>
                  <w:rFonts w:ascii="Arial" w:cs="Arial" w:eastAsia="Arial" w:hAnsi="Arial"/>
                  <w:sz w:val="12"/>
                  <w:szCs w:val="12"/>
                  <w:color w:val="auto"/>
                  <w:w w:val="89"/>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500" w:type="dxa"/>
            <w:vAlign w:val="bottom"/>
            <w:gridSpan w:val="17"/>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Condensed Consolidated Statement of Redeemable Convertible Preferred Stock and Stockholders' Equity (Deficit</w:t>
              </w:r>
            </w:hyperlink>
            <w:r>
              <w:rPr>
                <w:rFonts w:ascii="Arial" w:cs="Arial" w:eastAsia="Arial" w:hAnsi="Arial"/>
                <w:sz w:val="12"/>
                <w:szCs w:val="12"/>
                <w:color w:val="000000"/>
              </w:rPr>
              <w:t>)</w:t>
            </w:r>
          </w:p>
        </w:tc>
        <w:tc>
          <w:tcPr>
            <w:tcW w:w="2560" w:type="dxa"/>
            <w:vAlign w:val="bottom"/>
          </w:tcPr>
          <w:p>
            <w:pPr>
              <w:jc w:val="center"/>
              <w:ind w:left="1680"/>
              <w:spacing w:after="0"/>
              <w:rPr>
                <w:rFonts w:ascii="Arial" w:cs="Arial" w:eastAsia="Arial" w:hAnsi="Arial"/>
                <w:sz w:val="12"/>
                <w:szCs w:val="12"/>
                <w:color w:val="auto"/>
                <w:w w:val="89"/>
              </w:rPr>
            </w:pPr>
            <w:hyperlink w:anchor="page6">
              <w:r>
                <w:rPr>
                  <w:rFonts w:ascii="Arial" w:cs="Arial" w:eastAsia="Arial" w:hAnsi="Arial"/>
                  <w:sz w:val="12"/>
                  <w:szCs w:val="12"/>
                  <w:color w:val="auto"/>
                  <w:w w:val="89"/>
                </w:rPr>
                <w:t>7</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top w:val="single" w:sz="8" w:color="0000FF"/>
              <w:bottom w:val="single" w:sz="8" w:color="0000FF"/>
            </w:tcBorders>
            <w:gridSpan w:val="9"/>
          </w:tcPr>
          <w:p>
            <w:pPr>
              <w:spacing w:after="0"/>
              <w:rPr>
                <w:rFonts w:ascii="Arial" w:cs="Arial" w:eastAsia="Arial" w:hAnsi="Arial"/>
                <w:sz w:val="12"/>
                <w:szCs w:val="12"/>
                <w:color w:val="0000FF"/>
                <w:w w:val="87"/>
              </w:rPr>
            </w:pPr>
            <w:hyperlink w:anchor="page8">
              <w:r>
                <w:rPr>
                  <w:rFonts w:ascii="Arial" w:cs="Arial" w:eastAsia="Arial" w:hAnsi="Arial"/>
                  <w:sz w:val="12"/>
                  <w:szCs w:val="12"/>
                  <w:color w:val="0000FF"/>
                  <w:w w:val="87"/>
                </w:rPr>
                <w:t>Condensed Consolidated Statements of Cash Flows</w:t>
              </w:r>
            </w:hyperlink>
          </w:p>
        </w:tc>
        <w:tc>
          <w:tcPr>
            <w:tcW w:w="2980" w:type="dxa"/>
            <w:vAlign w:val="bottom"/>
            <w:tcBorders>
              <w:top w:val="single" w:sz="8" w:color="0000FF"/>
            </w:tcBorders>
            <w:gridSpan w:val="7"/>
          </w:tcPr>
          <w:p>
            <w:pPr>
              <w:spacing w:after="0"/>
              <w:rPr>
                <w:sz w:val="12"/>
                <w:szCs w:val="12"/>
                <w:color w:val="auto"/>
              </w:rPr>
            </w:pPr>
          </w:p>
        </w:tc>
        <w:tc>
          <w:tcPr>
            <w:tcW w:w="2060" w:type="dxa"/>
            <w:vAlign w:val="bottom"/>
          </w:tcPr>
          <w:p>
            <w:pPr>
              <w:spacing w:after="0"/>
              <w:rPr>
                <w:sz w:val="12"/>
                <w:szCs w:val="12"/>
                <w:color w:val="auto"/>
              </w:rPr>
            </w:pPr>
          </w:p>
        </w:tc>
        <w:tc>
          <w:tcPr>
            <w:tcW w:w="2560" w:type="dxa"/>
            <w:vAlign w:val="bottom"/>
          </w:tcPr>
          <w:p>
            <w:pPr>
              <w:jc w:val="center"/>
              <w:ind w:left="1680"/>
              <w:spacing w:after="0"/>
              <w:rPr>
                <w:rFonts w:ascii="Arial" w:cs="Arial" w:eastAsia="Arial" w:hAnsi="Arial"/>
                <w:sz w:val="12"/>
                <w:szCs w:val="12"/>
                <w:color w:val="auto"/>
                <w:w w:val="89"/>
              </w:rPr>
            </w:pPr>
            <w:hyperlink w:anchor="page8">
              <w:r>
                <w:rPr>
                  <w:rFonts w:ascii="Arial" w:cs="Arial" w:eastAsia="Arial" w:hAnsi="Arial"/>
                  <w:sz w:val="12"/>
                  <w:szCs w:val="12"/>
                  <w:color w:val="auto"/>
                  <w:w w:val="89"/>
                </w:rPr>
                <w:t>9</w:t>
              </w:r>
            </w:hyperlink>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13"/>
            <w:vMerge w:val="restart"/>
          </w:tcPr>
          <w:p>
            <w:pPr>
              <w:spacing w:after="0"/>
              <w:rPr>
                <w:rFonts w:ascii="Arial" w:cs="Arial" w:eastAsia="Arial" w:hAnsi="Arial"/>
                <w:sz w:val="12"/>
                <w:szCs w:val="12"/>
                <w:color w:val="0000FF"/>
                <w:w w:val="88"/>
              </w:rPr>
            </w:pPr>
            <w:hyperlink w:anchor="page10">
              <w:r>
                <w:rPr>
                  <w:rFonts w:ascii="Arial" w:cs="Arial" w:eastAsia="Arial" w:hAnsi="Arial"/>
                  <w:sz w:val="12"/>
                  <w:szCs w:val="12"/>
                  <w:color w:val="0000FF"/>
                  <w:w w:val="88"/>
                </w:rPr>
                <w:t>Notes to Unaudited Condensed Consolidated Financial Statements</w:t>
              </w:r>
            </w:hyperlink>
          </w:p>
        </w:tc>
        <w:tc>
          <w:tcPr>
            <w:tcW w:w="4320" w:type="dxa"/>
            <w:vAlign w:val="bottom"/>
            <w:gridSpan w:val="4"/>
            <w:vMerge w:val="restart"/>
          </w:tcPr>
          <w:p>
            <w:pPr>
              <w:spacing w:after="0"/>
              <w:rPr>
                <w:sz w:val="19"/>
                <w:szCs w:val="19"/>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10">
              <w:r>
                <w:rPr>
                  <w:rFonts w:ascii="Arial" w:cs="Arial" w:eastAsia="Arial" w:hAnsi="Arial"/>
                  <w:sz w:val="12"/>
                  <w:szCs w:val="12"/>
                  <w:color w:val="auto"/>
                  <w:w w:val="89"/>
                </w:rPr>
                <w:t>11</w:t>
              </w:r>
            </w:hyperlink>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Borders>
              <w:bottom w:val="single" w:sz="8" w:color="0000FF"/>
            </w:tcBorders>
            <w:gridSpan w:val="13"/>
            <w:vMerge w:val="continue"/>
          </w:tcPr>
          <w:p>
            <w:pPr>
              <w:spacing w:after="0"/>
              <w:rPr>
                <w:sz w:val="3"/>
                <w:szCs w:val="3"/>
                <w:color w:val="auto"/>
              </w:rPr>
            </w:pPr>
          </w:p>
        </w:tc>
        <w:tc>
          <w:tcPr>
            <w:tcW w:w="4320" w:type="dxa"/>
            <w:vAlign w:val="bottom"/>
            <w:gridSpan w:val="4"/>
            <w:vMerge w:val="continue"/>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rFonts w:ascii="Arial" w:cs="Arial" w:eastAsia="Arial" w:hAnsi="Arial"/>
                <w:sz w:val="12"/>
                <w:szCs w:val="12"/>
                <w:color w:val="0000FF"/>
                <w:w w:val="81"/>
              </w:rPr>
            </w:pPr>
            <w:hyperlink w:anchor="page28">
              <w:r>
                <w:rPr>
                  <w:rFonts w:ascii="Arial" w:cs="Arial" w:eastAsia="Arial" w:hAnsi="Arial"/>
                  <w:sz w:val="12"/>
                  <w:szCs w:val="12"/>
                  <w:color w:val="0000FF"/>
                  <w:w w:val="81"/>
                </w:rPr>
                <w:t>Item 2.</w:t>
              </w:r>
            </w:hyperlink>
          </w:p>
        </w:tc>
        <w:tc>
          <w:tcPr>
            <w:tcW w:w="780" w:type="dxa"/>
            <w:vAlign w:val="bottom"/>
            <w:gridSpan w:val="3"/>
          </w:tcPr>
          <w:p>
            <w:pPr>
              <w:spacing w:after="0"/>
              <w:rPr>
                <w:sz w:val="12"/>
                <w:szCs w:val="12"/>
                <w:color w:val="auto"/>
              </w:rPr>
            </w:pPr>
          </w:p>
        </w:tc>
        <w:tc>
          <w:tcPr>
            <w:tcW w:w="7620" w:type="dxa"/>
            <w:vAlign w:val="bottom"/>
            <w:gridSpan w:val="18"/>
          </w:tcPr>
          <w:p>
            <w:pPr>
              <w:spacing w:after="0"/>
              <w:rPr>
                <w:rFonts w:ascii="Arial" w:cs="Arial" w:eastAsia="Arial" w:hAnsi="Arial"/>
                <w:sz w:val="12"/>
                <w:szCs w:val="12"/>
                <w:color w:val="0000FF"/>
              </w:rPr>
            </w:pPr>
            <w:hyperlink w:anchor="page28">
              <w:r>
                <w:rPr>
                  <w:rFonts w:ascii="Arial" w:cs="Arial" w:eastAsia="Arial" w:hAnsi="Arial"/>
                  <w:sz w:val="12"/>
                  <w:szCs w:val="12"/>
                  <w:color w:val="0000FF"/>
                </w:rPr>
                <w:t>Management's Discussion and Analysis of Financial Condition and Results of Operations</w:t>
              </w:r>
            </w:hyperlink>
          </w:p>
        </w:tc>
        <w:tc>
          <w:tcPr>
            <w:tcW w:w="2560" w:type="dxa"/>
            <w:vAlign w:val="bottom"/>
          </w:tcPr>
          <w:p>
            <w:pPr>
              <w:jc w:val="center"/>
              <w:ind w:left="1700"/>
              <w:spacing w:after="0"/>
              <w:rPr>
                <w:rFonts w:ascii="Arial" w:cs="Arial" w:eastAsia="Arial" w:hAnsi="Arial"/>
                <w:sz w:val="12"/>
                <w:szCs w:val="12"/>
                <w:color w:val="auto"/>
                <w:w w:val="89"/>
              </w:rPr>
            </w:pPr>
            <w:hyperlink w:anchor="page28">
              <w:r>
                <w:rPr>
                  <w:rFonts w:ascii="Arial" w:cs="Arial" w:eastAsia="Arial" w:hAnsi="Arial"/>
                  <w:sz w:val="12"/>
                  <w:szCs w:val="12"/>
                  <w:color w:val="auto"/>
                  <w:w w:val="89"/>
                </w:rPr>
                <w:t>29</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bottom w:val="single" w:sz="8" w:color="0000FF"/>
            </w:tcBorders>
          </w:tcPr>
          <w:p>
            <w:pPr>
              <w:spacing w:after="0"/>
              <w:rPr>
                <w:rFonts w:ascii="Arial" w:cs="Arial" w:eastAsia="Arial" w:hAnsi="Arial"/>
                <w:sz w:val="12"/>
                <w:szCs w:val="12"/>
                <w:color w:val="0000FF"/>
                <w:w w:val="81"/>
              </w:rPr>
            </w:pPr>
            <w:hyperlink w:anchor="page45">
              <w:r>
                <w:rPr>
                  <w:rFonts w:ascii="Arial" w:cs="Arial" w:eastAsia="Arial" w:hAnsi="Arial"/>
                  <w:sz w:val="12"/>
                  <w:szCs w:val="12"/>
                  <w:color w:val="0000FF"/>
                  <w:w w:val="81"/>
                </w:rPr>
                <w:t>Item 3.</w:t>
              </w:r>
            </w:hyperlink>
          </w:p>
        </w:tc>
        <w:tc>
          <w:tcPr>
            <w:tcW w:w="780" w:type="dxa"/>
            <w:vAlign w:val="bottom"/>
            <w:gridSpan w:val="3"/>
          </w:tcPr>
          <w:p>
            <w:pPr>
              <w:spacing w:after="0"/>
              <w:rPr>
                <w:sz w:val="12"/>
                <w:szCs w:val="12"/>
                <w:color w:val="auto"/>
              </w:rPr>
            </w:pPr>
          </w:p>
        </w:tc>
        <w:tc>
          <w:tcPr>
            <w:tcW w:w="2900" w:type="dxa"/>
            <w:vAlign w:val="bottom"/>
            <w:tcBorders>
              <w:top w:val="single" w:sz="8" w:color="0000FF"/>
              <w:bottom w:val="single" w:sz="8" w:color="0000FF"/>
            </w:tcBorders>
            <w:gridSpan w:val="13"/>
          </w:tcPr>
          <w:p>
            <w:pPr>
              <w:spacing w:after="0"/>
              <w:rPr>
                <w:rFonts w:ascii="Arial" w:cs="Arial" w:eastAsia="Arial" w:hAnsi="Arial"/>
                <w:sz w:val="12"/>
                <w:szCs w:val="12"/>
                <w:color w:val="0000FF"/>
                <w:w w:val="91"/>
              </w:rPr>
            </w:pPr>
            <w:hyperlink w:anchor="page45">
              <w:r>
                <w:rPr>
                  <w:rFonts w:ascii="Arial" w:cs="Arial" w:eastAsia="Arial" w:hAnsi="Arial"/>
                  <w:sz w:val="12"/>
                  <w:szCs w:val="12"/>
                  <w:color w:val="0000FF"/>
                  <w:w w:val="91"/>
                </w:rPr>
                <w:t>Quantitative and Qualitative Disclosures About Market Risk</w:t>
              </w:r>
            </w:hyperlink>
          </w:p>
        </w:tc>
        <w:tc>
          <w:tcPr>
            <w:tcW w:w="1380" w:type="dxa"/>
            <w:vAlign w:val="bottom"/>
            <w:tcBorders>
              <w:top w:val="single" w:sz="8" w:color="0000FF"/>
            </w:tcBorders>
            <w:gridSpan w:val="3"/>
          </w:tcPr>
          <w:p>
            <w:pPr>
              <w:spacing w:after="0"/>
              <w:rPr>
                <w:sz w:val="12"/>
                <w:szCs w:val="12"/>
                <w:color w:val="auto"/>
              </w:rPr>
            </w:pPr>
          </w:p>
        </w:tc>
        <w:tc>
          <w:tcPr>
            <w:tcW w:w="3340" w:type="dxa"/>
            <w:vAlign w:val="bottom"/>
            <w:gridSpan w:val="2"/>
          </w:tcPr>
          <w:p>
            <w:pPr>
              <w:spacing w:after="0"/>
              <w:rPr>
                <w:sz w:val="12"/>
                <w:szCs w:val="12"/>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45">
              <w:r>
                <w:rPr>
                  <w:rFonts w:ascii="Arial" w:cs="Arial" w:eastAsia="Arial" w:hAnsi="Arial"/>
                  <w:sz w:val="12"/>
                  <w:szCs w:val="12"/>
                  <w:color w:val="auto"/>
                  <w:w w:val="89"/>
                </w:rPr>
                <w:t>45</w:t>
              </w:r>
            </w:hyperlink>
          </w:p>
        </w:tc>
        <w:tc>
          <w:tcPr>
            <w:tcW w:w="0" w:type="dxa"/>
            <w:vAlign w:val="bottom"/>
          </w:tcPr>
          <w:p>
            <w:pPr>
              <w:spacing w:after="0"/>
              <w:rPr>
                <w:sz w:val="1"/>
                <w:szCs w:val="1"/>
                <w:color w:val="auto"/>
              </w:rPr>
            </w:pPr>
          </w:p>
        </w:tc>
      </w:tr>
      <w:tr>
        <w:trPr>
          <w:trHeight w:val="142"/>
        </w:trPr>
        <w:tc>
          <w:tcPr>
            <w:tcW w:w="1120" w:type="dxa"/>
            <w:vAlign w:val="bottom"/>
            <w:gridSpan w:val="4"/>
          </w:tcPr>
          <w:p>
            <w:pPr>
              <w:spacing w:after="0"/>
              <w:rPr>
                <w:rFonts w:ascii="Arial" w:cs="Arial" w:eastAsia="Arial" w:hAnsi="Arial"/>
                <w:sz w:val="12"/>
                <w:szCs w:val="12"/>
                <w:color w:val="0000FF"/>
              </w:rPr>
            </w:pPr>
            <w:hyperlink w:anchor="page46">
              <w:r>
                <w:rPr>
                  <w:rFonts w:ascii="Arial" w:cs="Arial" w:eastAsia="Arial" w:hAnsi="Arial"/>
                  <w:sz w:val="12"/>
                  <w:szCs w:val="12"/>
                  <w:color w:val="0000FF"/>
                </w:rPr>
                <w:t>Item 4.</w:t>
              </w:r>
            </w:hyperlink>
          </w:p>
        </w:tc>
        <w:tc>
          <w:tcPr>
            <w:tcW w:w="7620" w:type="dxa"/>
            <w:vAlign w:val="bottom"/>
            <w:gridSpan w:val="18"/>
          </w:tcPr>
          <w:p>
            <w:pPr>
              <w:spacing w:after="0"/>
              <w:rPr>
                <w:rFonts w:ascii="Arial" w:cs="Arial" w:eastAsia="Arial" w:hAnsi="Arial"/>
                <w:sz w:val="12"/>
                <w:szCs w:val="12"/>
                <w:color w:val="0000FF"/>
              </w:rPr>
            </w:pPr>
            <w:hyperlink w:anchor="page46">
              <w:r>
                <w:rPr>
                  <w:rFonts w:ascii="Arial" w:cs="Arial" w:eastAsia="Arial" w:hAnsi="Arial"/>
                  <w:sz w:val="12"/>
                  <w:szCs w:val="12"/>
                  <w:color w:val="0000FF"/>
                </w:rPr>
                <w:t>Controls and Procedures</w:t>
              </w:r>
            </w:hyperlink>
          </w:p>
        </w:tc>
        <w:tc>
          <w:tcPr>
            <w:tcW w:w="2560" w:type="dxa"/>
            <w:vAlign w:val="bottom"/>
          </w:tcPr>
          <w:p>
            <w:pPr>
              <w:jc w:val="center"/>
              <w:ind w:left="1700"/>
              <w:spacing w:after="0"/>
              <w:rPr>
                <w:rFonts w:ascii="Arial" w:cs="Arial" w:eastAsia="Arial" w:hAnsi="Arial"/>
                <w:sz w:val="12"/>
                <w:szCs w:val="12"/>
                <w:color w:val="auto"/>
                <w:w w:val="89"/>
              </w:rPr>
            </w:pPr>
            <w:hyperlink w:anchor="page46">
              <w:r>
                <w:rPr>
                  <w:rFonts w:ascii="Arial" w:cs="Arial" w:eastAsia="Arial" w:hAnsi="Arial"/>
                  <w:sz w:val="12"/>
                  <w:szCs w:val="12"/>
                  <w:color w:val="auto"/>
                  <w:w w:val="89"/>
                </w:rPr>
                <w:t>46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740" w:type="dxa"/>
            <w:vAlign w:val="bottom"/>
            <w:gridSpan w:val="22"/>
          </w:tcPr>
          <w:p>
            <w:pPr>
              <w:spacing w:after="0"/>
              <w:rPr>
                <w:rFonts w:ascii="Arial" w:cs="Arial" w:eastAsia="Arial" w:hAnsi="Arial"/>
                <w:sz w:val="12"/>
                <w:szCs w:val="12"/>
                <w:color w:val="0000FF"/>
              </w:rPr>
            </w:pPr>
            <w:hyperlink w:anchor="page47">
              <w:r>
                <w:rPr>
                  <w:rFonts w:ascii="Arial" w:cs="Arial" w:eastAsia="Arial" w:hAnsi="Arial"/>
                  <w:sz w:val="12"/>
                  <w:szCs w:val="12"/>
                  <w:color w:val="0000FF"/>
                </w:rPr>
                <w:t>Part II. Other Information</w:t>
              </w:r>
            </w:hyperlink>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tcPr>
          <w:p>
            <w:pPr>
              <w:spacing w:after="0"/>
              <w:rPr>
                <w:rFonts w:ascii="Arial" w:cs="Arial" w:eastAsia="Arial" w:hAnsi="Arial"/>
                <w:sz w:val="12"/>
                <w:szCs w:val="12"/>
                <w:color w:val="0000FF"/>
                <w:w w:val="81"/>
              </w:rPr>
            </w:pPr>
            <w:hyperlink w:anchor="page48">
              <w:r>
                <w:rPr>
                  <w:rFonts w:ascii="Arial" w:cs="Arial" w:eastAsia="Arial" w:hAnsi="Arial"/>
                  <w:sz w:val="12"/>
                  <w:szCs w:val="12"/>
                  <w:color w:val="0000FF"/>
                  <w:w w:val="81"/>
                </w:rPr>
                <w:t>Item 1.</w:t>
              </w:r>
            </w:hyperlink>
          </w:p>
        </w:tc>
        <w:tc>
          <w:tcPr>
            <w:tcW w:w="780" w:type="dxa"/>
            <w:vAlign w:val="bottom"/>
            <w:gridSpan w:val="3"/>
          </w:tcPr>
          <w:p>
            <w:pPr>
              <w:spacing w:after="0"/>
              <w:rPr>
                <w:sz w:val="12"/>
                <w:szCs w:val="12"/>
                <w:color w:val="auto"/>
              </w:rPr>
            </w:pPr>
          </w:p>
        </w:tc>
        <w:tc>
          <w:tcPr>
            <w:tcW w:w="7620" w:type="dxa"/>
            <w:vAlign w:val="bottom"/>
            <w:gridSpan w:val="18"/>
          </w:tcPr>
          <w:p>
            <w:pPr>
              <w:spacing w:after="0"/>
              <w:rPr>
                <w:rFonts w:ascii="Arial" w:cs="Arial" w:eastAsia="Arial" w:hAnsi="Arial"/>
                <w:sz w:val="12"/>
                <w:szCs w:val="12"/>
                <w:color w:val="0000FF"/>
              </w:rPr>
            </w:pPr>
            <w:hyperlink w:anchor="page48">
              <w:r>
                <w:rPr>
                  <w:rFonts w:ascii="Arial" w:cs="Arial" w:eastAsia="Arial" w:hAnsi="Arial"/>
                  <w:sz w:val="12"/>
                  <w:szCs w:val="12"/>
                  <w:color w:val="0000FF"/>
                </w:rPr>
                <w:t>Legal Proceedings</w:t>
              </w:r>
            </w:hyperlink>
          </w:p>
        </w:tc>
        <w:tc>
          <w:tcPr>
            <w:tcW w:w="2560" w:type="dxa"/>
            <w:vAlign w:val="bottom"/>
          </w:tcPr>
          <w:p>
            <w:pPr>
              <w:jc w:val="center"/>
              <w:ind w:left="1700"/>
              <w:spacing w:after="0"/>
              <w:rPr>
                <w:rFonts w:ascii="Arial" w:cs="Arial" w:eastAsia="Arial" w:hAnsi="Arial"/>
                <w:sz w:val="12"/>
                <w:szCs w:val="12"/>
                <w:color w:val="auto"/>
                <w:w w:val="89"/>
              </w:rPr>
            </w:pPr>
            <w:hyperlink w:anchor="page48">
              <w:r>
                <w:rPr>
                  <w:rFonts w:ascii="Arial" w:cs="Arial" w:eastAsia="Arial" w:hAnsi="Arial"/>
                  <w:sz w:val="12"/>
                  <w:szCs w:val="12"/>
                  <w:color w:val="auto"/>
                  <w:w w:val="89"/>
                </w:rPr>
                <w:t>48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tcBorders>
              <w:bottom w:val="single" w:sz="8" w:color="0000FF"/>
            </w:tcBorders>
            <w:gridSpan w:val="2"/>
          </w:tcPr>
          <w:p>
            <w:pPr>
              <w:spacing w:after="0"/>
              <w:rPr>
                <w:rFonts w:ascii="Arial" w:cs="Arial" w:eastAsia="Arial" w:hAnsi="Arial"/>
                <w:sz w:val="12"/>
                <w:szCs w:val="12"/>
                <w:color w:val="0000FF"/>
                <w:w w:val="93"/>
              </w:rPr>
            </w:pPr>
            <w:hyperlink w:anchor="page48">
              <w:r>
                <w:rPr>
                  <w:rFonts w:ascii="Arial" w:cs="Arial" w:eastAsia="Arial" w:hAnsi="Arial"/>
                  <w:sz w:val="12"/>
                  <w:szCs w:val="12"/>
                  <w:color w:val="0000FF"/>
                  <w:w w:val="93"/>
                </w:rPr>
                <w:t>Item 1A.</w:t>
              </w:r>
            </w:hyperlink>
          </w:p>
        </w:tc>
        <w:tc>
          <w:tcPr>
            <w:tcW w:w="680" w:type="dxa"/>
            <w:vAlign w:val="bottom"/>
            <w:gridSpan w:val="2"/>
          </w:tcPr>
          <w:p>
            <w:pPr>
              <w:spacing w:after="0"/>
              <w:rPr>
                <w:sz w:val="12"/>
                <w:szCs w:val="12"/>
                <w:color w:val="auto"/>
              </w:rPr>
            </w:pPr>
          </w:p>
        </w:tc>
        <w:tc>
          <w:tcPr>
            <w:tcW w:w="600" w:type="dxa"/>
            <w:vAlign w:val="bottom"/>
            <w:tcBorders>
              <w:bottom w:val="single" w:sz="8" w:color="0000FF"/>
            </w:tcBorders>
            <w:gridSpan w:val="4"/>
          </w:tcPr>
          <w:p>
            <w:pPr>
              <w:spacing w:after="0"/>
              <w:rPr>
                <w:rFonts w:ascii="Arial" w:cs="Arial" w:eastAsia="Arial" w:hAnsi="Arial"/>
                <w:sz w:val="12"/>
                <w:szCs w:val="12"/>
                <w:color w:val="0000FF"/>
                <w:w w:val="86"/>
              </w:rPr>
            </w:pPr>
            <w:hyperlink w:anchor="page48">
              <w:r>
                <w:rPr>
                  <w:rFonts w:ascii="Arial" w:cs="Arial" w:eastAsia="Arial" w:hAnsi="Arial"/>
                  <w:sz w:val="12"/>
                  <w:szCs w:val="12"/>
                  <w:color w:val="0000FF"/>
                  <w:w w:val="86"/>
                </w:rPr>
                <w:t>Risk Factors</w:t>
              </w:r>
            </w:hyperlink>
          </w:p>
        </w:tc>
        <w:tc>
          <w:tcPr>
            <w:tcW w:w="7020" w:type="dxa"/>
            <w:vAlign w:val="bottom"/>
            <w:gridSpan w:val="14"/>
          </w:tcPr>
          <w:p>
            <w:pPr>
              <w:spacing w:after="0"/>
              <w:rPr>
                <w:sz w:val="12"/>
                <w:szCs w:val="12"/>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48">
              <w:r>
                <w:rPr>
                  <w:rFonts w:ascii="Arial" w:cs="Arial" w:eastAsia="Arial" w:hAnsi="Arial"/>
                  <w:sz w:val="12"/>
                  <w:szCs w:val="12"/>
                  <w:color w:val="auto"/>
                  <w:w w:val="89"/>
                </w:rPr>
                <w:t>48</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rFonts w:ascii="Arial" w:cs="Arial" w:eastAsia="Arial" w:hAnsi="Arial"/>
                <w:sz w:val="12"/>
                <w:szCs w:val="12"/>
                <w:color w:val="0000FF"/>
                <w:w w:val="81"/>
              </w:rPr>
            </w:pPr>
            <w:hyperlink w:anchor="page92">
              <w:r>
                <w:rPr>
                  <w:rFonts w:ascii="Arial" w:cs="Arial" w:eastAsia="Arial" w:hAnsi="Arial"/>
                  <w:sz w:val="12"/>
                  <w:szCs w:val="12"/>
                  <w:color w:val="0000FF"/>
                  <w:w w:val="81"/>
                </w:rPr>
                <w:t>Item 2.</w:t>
              </w:r>
            </w:hyperlink>
          </w:p>
        </w:tc>
        <w:tc>
          <w:tcPr>
            <w:tcW w:w="780" w:type="dxa"/>
            <w:vAlign w:val="bottom"/>
            <w:gridSpan w:val="3"/>
          </w:tcPr>
          <w:p>
            <w:pPr>
              <w:spacing w:after="0"/>
              <w:rPr>
                <w:sz w:val="12"/>
                <w:szCs w:val="12"/>
                <w:color w:val="auto"/>
              </w:rPr>
            </w:pPr>
          </w:p>
        </w:tc>
        <w:tc>
          <w:tcPr>
            <w:tcW w:w="7620" w:type="dxa"/>
            <w:vAlign w:val="bottom"/>
            <w:gridSpan w:val="18"/>
          </w:tcPr>
          <w:p>
            <w:pPr>
              <w:spacing w:after="0"/>
              <w:rPr>
                <w:rFonts w:ascii="Arial" w:cs="Arial" w:eastAsia="Arial" w:hAnsi="Arial"/>
                <w:sz w:val="12"/>
                <w:szCs w:val="12"/>
                <w:color w:val="0000FF"/>
              </w:rPr>
            </w:pPr>
            <w:hyperlink w:anchor="page92">
              <w:r>
                <w:rPr>
                  <w:rFonts w:ascii="Arial" w:cs="Arial" w:eastAsia="Arial" w:hAnsi="Arial"/>
                  <w:sz w:val="12"/>
                  <w:szCs w:val="12"/>
                  <w:color w:val="0000FF"/>
                </w:rPr>
                <w:t>Unregistered Sales of Equity Securities and Use of Proceeds</w:t>
              </w:r>
            </w:hyperlink>
          </w:p>
        </w:tc>
        <w:tc>
          <w:tcPr>
            <w:tcW w:w="2560" w:type="dxa"/>
            <w:vAlign w:val="bottom"/>
          </w:tcPr>
          <w:p>
            <w:pPr>
              <w:jc w:val="center"/>
              <w:ind w:left="1700"/>
              <w:spacing w:after="0"/>
              <w:rPr>
                <w:rFonts w:ascii="Arial" w:cs="Arial" w:eastAsia="Arial" w:hAnsi="Arial"/>
                <w:sz w:val="12"/>
                <w:szCs w:val="12"/>
                <w:color w:val="auto"/>
                <w:w w:val="89"/>
              </w:rPr>
            </w:pPr>
            <w:hyperlink w:anchor="page92">
              <w:r>
                <w:rPr>
                  <w:rFonts w:ascii="Arial" w:cs="Arial" w:eastAsia="Arial" w:hAnsi="Arial"/>
                  <w:sz w:val="12"/>
                  <w:szCs w:val="12"/>
                  <w:color w:val="auto"/>
                  <w:w w:val="89"/>
                </w:rPr>
                <w:t>92</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bottom w:val="single" w:sz="8" w:color="0000FF"/>
            </w:tcBorders>
          </w:tcPr>
          <w:p>
            <w:pPr>
              <w:spacing w:after="0"/>
              <w:rPr>
                <w:rFonts w:ascii="Arial" w:cs="Arial" w:eastAsia="Arial" w:hAnsi="Arial"/>
                <w:sz w:val="12"/>
                <w:szCs w:val="12"/>
                <w:color w:val="0000FF"/>
                <w:w w:val="81"/>
              </w:rPr>
            </w:pPr>
            <w:hyperlink w:anchor="page92">
              <w:r>
                <w:rPr>
                  <w:rFonts w:ascii="Arial" w:cs="Arial" w:eastAsia="Arial" w:hAnsi="Arial"/>
                  <w:sz w:val="12"/>
                  <w:szCs w:val="12"/>
                  <w:color w:val="0000FF"/>
                  <w:w w:val="81"/>
                </w:rPr>
                <w:t>Item 3.</w:t>
              </w:r>
            </w:hyperlink>
          </w:p>
        </w:tc>
        <w:tc>
          <w:tcPr>
            <w:tcW w:w="780" w:type="dxa"/>
            <w:vAlign w:val="bottom"/>
            <w:gridSpan w:val="3"/>
          </w:tcPr>
          <w:p>
            <w:pPr>
              <w:spacing w:after="0"/>
              <w:rPr>
                <w:sz w:val="12"/>
                <w:szCs w:val="12"/>
                <w:color w:val="auto"/>
              </w:rPr>
            </w:pPr>
          </w:p>
        </w:tc>
        <w:tc>
          <w:tcPr>
            <w:tcW w:w="1540" w:type="dxa"/>
            <w:vAlign w:val="bottom"/>
            <w:tcBorders>
              <w:top w:val="single" w:sz="8" w:color="0000FF"/>
              <w:bottom w:val="single" w:sz="8" w:color="0000FF"/>
            </w:tcBorders>
            <w:gridSpan w:val="7"/>
          </w:tcPr>
          <w:p>
            <w:pPr>
              <w:spacing w:after="0"/>
              <w:rPr>
                <w:rFonts w:ascii="Arial" w:cs="Arial" w:eastAsia="Arial" w:hAnsi="Arial"/>
                <w:sz w:val="12"/>
                <w:szCs w:val="12"/>
                <w:color w:val="0000FF"/>
                <w:w w:val="89"/>
              </w:rPr>
            </w:pPr>
            <w:hyperlink w:anchor="page92">
              <w:r>
                <w:rPr>
                  <w:rFonts w:ascii="Arial" w:cs="Arial" w:eastAsia="Arial" w:hAnsi="Arial"/>
                  <w:sz w:val="12"/>
                  <w:szCs w:val="12"/>
                  <w:color w:val="0000FF"/>
                  <w:w w:val="89"/>
                </w:rPr>
                <w:t>Defaults Upon Senior Securities</w:t>
              </w:r>
            </w:hyperlink>
          </w:p>
        </w:tc>
        <w:tc>
          <w:tcPr>
            <w:tcW w:w="1340" w:type="dxa"/>
            <w:vAlign w:val="bottom"/>
            <w:tcBorders>
              <w:top w:val="single" w:sz="8" w:color="0000FF"/>
            </w:tcBorders>
            <w:gridSpan w:val="5"/>
          </w:tcPr>
          <w:p>
            <w:pPr>
              <w:spacing w:after="0"/>
              <w:rPr>
                <w:sz w:val="12"/>
                <w:szCs w:val="12"/>
                <w:color w:val="auto"/>
              </w:rPr>
            </w:pPr>
          </w:p>
        </w:tc>
        <w:tc>
          <w:tcPr>
            <w:tcW w:w="4740" w:type="dxa"/>
            <w:vAlign w:val="bottom"/>
            <w:gridSpan w:val="6"/>
          </w:tcPr>
          <w:p>
            <w:pPr>
              <w:spacing w:after="0"/>
              <w:rPr>
                <w:sz w:val="12"/>
                <w:szCs w:val="12"/>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92">
              <w:r>
                <w:rPr>
                  <w:rFonts w:ascii="Arial" w:cs="Arial" w:eastAsia="Arial" w:hAnsi="Arial"/>
                  <w:sz w:val="12"/>
                  <w:szCs w:val="12"/>
                  <w:color w:val="auto"/>
                  <w:w w:val="89"/>
                </w:rPr>
                <w:t>92</w:t>
              </w:r>
            </w:hyperlink>
          </w:p>
        </w:tc>
        <w:tc>
          <w:tcPr>
            <w:tcW w:w="0" w:type="dxa"/>
            <w:vAlign w:val="bottom"/>
          </w:tcPr>
          <w:p>
            <w:pPr>
              <w:spacing w:after="0"/>
              <w:rPr>
                <w:sz w:val="1"/>
                <w:szCs w:val="1"/>
                <w:color w:val="auto"/>
              </w:rPr>
            </w:pPr>
          </w:p>
        </w:tc>
      </w:tr>
      <w:tr>
        <w:trPr>
          <w:trHeight w:val="142"/>
        </w:trPr>
        <w:tc>
          <w:tcPr>
            <w:tcW w:w="340" w:type="dxa"/>
            <w:vAlign w:val="bottom"/>
            <w:tcBorders>
              <w:bottom w:val="single" w:sz="8" w:color="0000FF"/>
            </w:tcBorders>
          </w:tcPr>
          <w:p>
            <w:pPr>
              <w:spacing w:after="0"/>
              <w:rPr>
                <w:rFonts w:ascii="Arial" w:cs="Arial" w:eastAsia="Arial" w:hAnsi="Arial"/>
                <w:sz w:val="12"/>
                <w:szCs w:val="12"/>
                <w:color w:val="0000FF"/>
                <w:w w:val="81"/>
              </w:rPr>
            </w:pPr>
            <w:hyperlink w:anchor="page92">
              <w:r>
                <w:rPr>
                  <w:rFonts w:ascii="Arial" w:cs="Arial" w:eastAsia="Arial" w:hAnsi="Arial"/>
                  <w:sz w:val="12"/>
                  <w:szCs w:val="12"/>
                  <w:color w:val="0000FF"/>
                  <w:w w:val="81"/>
                </w:rPr>
                <w:t>Item 4.</w:t>
              </w:r>
            </w:hyperlink>
          </w:p>
        </w:tc>
        <w:tc>
          <w:tcPr>
            <w:tcW w:w="780" w:type="dxa"/>
            <w:vAlign w:val="bottom"/>
            <w:gridSpan w:val="3"/>
          </w:tcPr>
          <w:p>
            <w:pPr>
              <w:spacing w:after="0"/>
              <w:rPr>
                <w:sz w:val="12"/>
                <w:szCs w:val="12"/>
                <w:color w:val="auto"/>
              </w:rPr>
            </w:pPr>
          </w:p>
        </w:tc>
        <w:tc>
          <w:tcPr>
            <w:tcW w:w="1180" w:type="dxa"/>
            <w:vAlign w:val="bottom"/>
            <w:tcBorders>
              <w:bottom w:val="single" w:sz="8" w:color="0000FF"/>
            </w:tcBorders>
            <w:gridSpan w:val="6"/>
          </w:tcPr>
          <w:p>
            <w:pPr>
              <w:spacing w:after="0"/>
              <w:rPr>
                <w:rFonts w:ascii="Arial" w:cs="Arial" w:eastAsia="Arial" w:hAnsi="Arial"/>
                <w:sz w:val="12"/>
                <w:szCs w:val="12"/>
                <w:color w:val="0000FF"/>
                <w:w w:val="90"/>
              </w:rPr>
            </w:pPr>
            <w:hyperlink w:anchor="page92">
              <w:r>
                <w:rPr>
                  <w:rFonts w:ascii="Arial" w:cs="Arial" w:eastAsia="Arial" w:hAnsi="Arial"/>
                  <w:sz w:val="12"/>
                  <w:szCs w:val="12"/>
                  <w:color w:val="0000FF"/>
                  <w:w w:val="90"/>
                </w:rPr>
                <w:t>Mine Safety Disclosures</w:t>
              </w:r>
            </w:hyperlink>
          </w:p>
        </w:tc>
        <w:tc>
          <w:tcPr>
            <w:tcW w:w="6440" w:type="dxa"/>
            <w:vAlign w:val="bottom"/>
            <w:gridSpan w:val="12"/>
          </w:tcPr>
          <w:p>
            <w:pPr>
              <w:spacing w:after="0"/>
              <w:rPr>
                <w:sz w:val="12"/>
                <w:szCs w:val="12"/>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92">
              <w:r>
                <w:rPr>
                  <w:rFonts w:ascii="Arial" w:cs="Arial" w:eastAsia="Arial" w:hAnsi="Arial"/>
                  <w:sz w:val="12"/>
                  <w:szCs w:val="12"/>
                  <w:color w:val="auto"/>
                  <w:w w:val="89"/>
                </w:rPr>
                <w:t>92</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rFonts w:ascii="Arial" w:cs="Arial" w:eastAsia="Arial" w:hAnsi="Arial"/>
                <w:sz w:val="12"/>
                <w:szCs w:val="12"/>
                <w:color w:val="0000FF"/>
                <w:w w:val="81"/>
              </w:rPr>
            </w:pPr>
            <w:hyperlink w:anchor="page92">
              <w:r>
                <w:rPr>
                  <w:rFonts w:ascii="Arial" w:cs="Arial" w:eastAsia="Arial" w:hAnsi="Arial"/>
                  <w:sz w:val="12"/>
                  <w:szCs w:val="12"/>
                  <w:color w:val="0000FF"/>
                  <w:w w:val="81"/>
                </w:rPr>
                <w:t>Item 5.</w:t>
              </w:r>
            </w:hyperlink>
          </w:p>
        </w:tc>
        <w:tc>
          <w:tcPr>
            <w:tcW w:w="780" w:type="dxa"/>
            <w:vAlign w:val="bottom"/>
            <w:gridSpan w:val="3"/>
          </w:tcPr>
          <w:p>
            <w:pPr>
              <w:spacing w:after="0"/>
              <w:rPr>
                <w:sz w:val="12"/>
                <w:szCs w:val="12"/>
                <w:color w:val="auto"/>
              </w:rPr>
            </w:pPr>
          </w:p>
        </w:tc>
        <w:tc>
          <w:tcPr>
            <w:tcW w:w="7620" w:type="dxa"/>
            <w:vAlign w:val="bottom"/>
            <w:gridSpan w:val="18"/>
          </w:tcPr>
          <w:p>
            <w:pPr>
              <w:spacing w:after="0"/>
              <w:rPr>
                <w:rFonts w:ascii="Arial" w:cs="Arial" w:eastAsia="Arial" w:hAnsi="Arial"/>
                <w:sz w:val="12"/>
                <w:szCs w:val="12"/>
                <w:color w:val="0000FF"/>
              </w:rPr>
            </w:pPr>
            <w:hyperlink w:anchor="page92">
              <w:r>
                <w:rPr>
                  <w:rFonts w:ascii="Arial" w:cs="Arial" w:eastAsia="Arial" w:hAnsi="Arial"/>
                  <w:sz w:val="12"/>
                  <w:szCs w:val="12"/>
                  <w:color w:val="0000FF"/>
                </w:rPr>
                <w:t>Other Information</w:t>
              </w:r>
            </w:hyperlink>
          </w:p>
        </w:tc>
        <w:tc>
          <w:tcPr>
            <w:tcW w:w="2560" w:type="dxa"/>
            <w:vAlign w:val="bottom"/>
          </w:tcPr>
          <w:p>
            <w:pPr>
              <w:jc w:val="center"/>
              <w:ind w:left="1700"/>
              <w:spacing w:after="0"/>
              <w:rPr>
                <w:rFonts w:ascii="Arial" w:cs="Arial" w:eastAsia="Arial" w:hAnsi="Arial"/>
                <w:sz w:val="12"/>
                <w:szCs w:val="12"/>
                <w:color w:val="auto"/>
                <w:w w:val="89"/>
              </w:rPr>
            </w:pPr>
            <w:hyperlink w:anchor="page92">
              <w:r>
                <w:rPr>
                  <w:rFonts w:ascii="Arial" w:cs="Arial" w:eastAsia="Arial" w:hAnsi="Arial"/>
                  <w:sz w:val="12"/>
                  <w:szCs w:val="12"/>
                  <w:color w:val="auto"/>
                  <w:w w:val="89"/>
                </w:rPr>
                <w:t>92</w:t>
              </w:r>
            </w:hyperlink>
          </w:p>
        </w:tc>
        <w:tc>
          <w:tcPr>
            <w:tcW w:w="0" w:type="dxa"/>
            <w:vAlign w:val="bottom"/>
          </w:tcPr>
          <w:p>
            <w:pPr>
              <w:spacing w:after="0"/>
              <w:rPr>
                <w:sz w:val="1"/>
                <w:szCs w:val="1"/>
                <w:color w:val="auto"/>
              </w:rPr>
            </w:pPr>
          </w:p>
        </w:tc>
      </w:tr>
      <w:tr>
        <w:trPr>
          <w:trHeight w:val="142"/>
        </w:trPr>
        <w:tc>
          <w:tcPr>
            <w:tcW w:w="340" w:type="dxa"/>
            <w:vAlign w:val="bottom"/>
            <w:tcBorders>
              <w:top w:val="single" w:sz="8" w:color="0000FF"/>
              <w:bottom w:val="single" w:sz="8" w:color="0000FF"/>
            </w:tcBorders>
          </w:tcPr>
          <w:p>
            <w:pPr>
              <w:spacing w:after="0"/>
              <w:rPr>
                <w:rFonts w:ascii="Arial" w:cs="Arial" w:eastAsia="Arial" w:hAnsi="Arial"/>
                <w:sz w:val="12"/>
                <w:szCs w:val="12"/>
                <w:color w:val="0000FF"/>
                <w:w w:val="81"/>
              </w:rPr>
            </w:pPr>
            <w:hyperlink w:anchor="page92">
              <w:r>
                <w:rPr>
                  <w:rFonts w:ascii="Arial" w:cs="Arial" w:eastAsia="Arial" w:hAnsi="Arial"/>
                  <w:sz w:val="12"/>
                  <w:szCs w:val="12"/>
                  <w:color w:val="0000FF"/>
                  <w:w w:val="81"/>
                </w:rPr>
                <w:t>Item 6.</w:t>
              </w:r>
            </w:hyperlink>
          </w:p>
        </w:tc>
        <w:tc>
          <w:tcPr>
            <w:tcW w:w="780" w:type="dxa"/>
            <w:vAlign w:val="bottom"/>
            <w:gridSpan w:val="3"/>
          </w:tcPr>
          <w:p>
            <w:pPr>
              <w:spacing w:after="0"/>
              <w:rPr>
                <w:sz w:val="12"/>
                <w:szCs w:val="12"/>
                <w:color w:val="auto"/>
              </w:rPr>
            </w:pPr>
          </w:p>
        </w:tc>
        <w:tc>
          <w:tcPr>
            <w:tcW w:w="400" w:type="dxa"/>
            <w:vAlign w:val="bottom"/>
            <w:tcBorders>
              <w:top w:val="single" w:sz="8" w:color="0000FF"/>
              <w:bottom w:val="single" w:sz="8" w:color="0000FF"/>
            </w:tcBorders>
            <w:gridSpan w:val="3"/>
          </w:tcPr>
          <w:p>
            <w:pPr>
              <w:spacing w:after="0"/>
              <w:rPr>
                <w:rFonts w:ascii="Arial" w:cs="Arial" w:eastAsia="Arial" w:hAnsi="Arial"/>
                <w:sz w:val="12"/>
                <w:szCs w:val="12"/>
                <w:color w:val="0000FF"/>
                <w:w w:val="90"/>
              </w:rPr>
            </w:pPr>
            <w:hyperlink w:anchor="page92">
              <w:r>
                <w:rPr>
                  <w:rFonts w:ascii="Arial" w:cs="Arial" w:eastAsia="Arial" w:hAnsi="Arial"/>
                  <w:sz w:val="12"/>
                  <w:szCs w:val="12"/>
                  <w:color w:val="0000FF"/>
                  <w:w w:val="90"/>
                </w:rPr>
                <w:t>Exhibits</w:t>
              </w:r>
            </w:hyperlink>
          </w:p>
        </w:tc>
        <w:tc>
          <w:tcPr>
            <w:tcW w:w="480" w:type="dxa"/>
            <w:vAlign w:val="bottom"/>
            <w:tcBorders>
              <w:top w:val="single" w:sz="8" w:color="0000FF"/>
            </w:tcBorders>
            <w:gridSpan w:val="2"/>
          </w:tcPr>
          <w:p>
            <w:pPr>
              <w:spacing w:after="0"/>
              <w:rPr>
                <w:sz w:val="12"/>
                <w:szCs w:val="12"/>
                <w:color w:val="auto"/>
              </w:rPr>
            </w:pPr>
          </w:p>
        </w:tc>
        <w:tc>
          <w:tcPr>
            <w:tcW w:w="6740" w:type="dxa"/>
            <w:vAlign w:val="bottom"/>
            <w:gridSpan w:val="13"/>
          </w:tcPr>
          <w:p>
            <w:pPr>
              <w:spacing w:after="0"/>
              <w:rPr>
                <w:sz w:val="12"/>
                <w:szCs w:val="12"/>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92">
              <w:r>
                <w:rPr>
                  <w:rFonts w:ascii="Arial" w:cs="Arial" w:eastAsia="Arial" w:hAnsi="Arial"/>
                  <w:sz w:val="12"/>
                  <w:szCs w:val="12"/>
                  <w:color w:val="auto"/>
                  <w:w w:val="89"/>
                </w:rPr>
                <w:t>93</w:t>
              </w:r>
            </w:hyperlink>
          </w:p>
        </w:tc>
        <w:tc>
          <w:tcPr>
            <w:tcW w:w="0" w:type="dxa"/>
            <w:vAlign w:val="bottom"/>
          </w:tcPr>
          <w:p>
            <w:pPr>
              <w:spacing w:after="0"/>
              <w:rPr>
                <w:sz w:val="1"/>
                <w:szCs w:val="1"/>
                <w:color w:val="auto"/>
              </w:rPr>
            </w:pPr>
          </w:p>
        </w:tc>
      </w:tr>
      <w:tr>
        <w:trPr>
          <w:trHeight w:val="322"/>
        </w:trPr>
        <w:tc>
          <w:tcPr>
            <w:tcW w:w="1120" w:type="dxa"/>
            <w:vAlign w:val="bottom"/>
            <w:gridSpan w:val="4"/>
          </w:tcPr>
          <w:p>
            <w:pPr>
              <w:spacing w:after="0"/>
              <w:rPr>
                <w:rFonts w:ascii="Arial" w:cs="Arial" w:eastAsia="Arial" w:hAnsi="Arial"/>
                <w:sz w:val="12"/>
                <w:szCs w:val="12"/>
                <w:color w:val="0000FF"/>
              </w:rPr>
            </w:pPr>
            <w:hyperlink w:anchor="page95">
              <w:r>
                <w:rPr>
                  <w:rFonts w:ascii="Arial" w:cs="Arial" w:eastAsia="Arial" w:hAnsi="Arial"/>
                  <w:sz w:val="12"/>
                  <w:szCs w:val="12"/>
                  <w:color w:val="0000FF"/>
                </w:rPr>
                <w:t>Signatures</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60" w:type="dxa"/>
            <w:vAlign w:val="bottom"/>
          </w:tcPr>
          <w:p>
            <w:pPr>
              <w:jc w:val="center"/>
              <w:ind w:left="1700"/>
              <w:spacing w:after="0"/>
              <w:rPr>
                <w:rFonts w:ascii="Arial" w:cs="Arial" w:eastAsia="Arial" w:hAnsi="Arial"/>
                <w:sz w:val="12"/>
                <w:szCs w:val="12"/>
                <w:color w:val="auto"/>
                <w:w w:val="89"/>
              </w:rPr>
            </w:pPr>
            <w:hyperlink w:anchor="page95">
              <w:r>
                <w:rPr>
                  <w:rFonts w:ascii="Arial" w:cs="Arial" w:eastAsia="Arial" w:hAnsi="Arial"/>
                  <w:sz w:val="12"/>
                  <w:szCs w:val="12"/>
                  <w:color w:val="auto"/>
                  <w:w w:val="89"/>
                </w:rPr>
                <w:t>96</w:t>
              </w:r>
            </w:hyperlink>
          </w:p>
        </w:tc>
        <w:tc>
          <w:tcPr>
            <w:tcW w:w="0" w:type="dxa"/>
            <w:vAlign w:val="bottom"/>
          </w:tcPr>
          <w:p>
            <w:pPr>
              <w:spacing w:after="0"/>
              <w:rPr>
                <w:sz w:val="1"/>
                <w:szCs w:val="1"/>
                <w:color w:val="auto"/>
              </w:rPr>
            </w:pPr>
          </w:p>
        </w:tc>
      </w:tr>
      <w:tr>
        <w:trPr>
          <w:trHeight w:val="502"/>
        </w:trPr>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560" w:type="dxa"/>
            <w:vAlign w:val="bottom"/>
            <w:gridSpan w:val="17"/>
          </w:tcPr>
          <w:p>
            <w:pPr>
              <w:ind w:left="4500"/>
              <w:spacing w:after="0"/>
              <w:rPr>
                <w:sz w:val="20"/>
                <w:szCs w:val="20"/>
                <w:color w:val="auto"/>
              </w:rPr>
            </w:pPr>
            <w:r>
              <w:rPr>
                <w:rFonts w:ascii="Arial" w:cs="Arial" w:eastAsia="Arial" w:hAnsi="Arial"/>
                <w:sz w:val="12"/>
                <w:szCs w:val="12"/>
                <w:color w:val="auto"/>
              </w:rPr>
              <w:t>2</w:t>
            </w:r>
          </w:p>
        </w:tc>
        <w:tc>
          <w:tcPr>
            <w:tcW w:w="2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25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1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1" w:lineRule="exact"/>
        <w:rPr>
          <w:sz w:val="20"/>
          <w:szCs w:val="20"/>
          <w:color w:val="auto"/>
        </w:rPr>
      </w:pPr>
    </w:p>
    <w:p>
      <w:pPr>
        <w:ind w:left="860" w:hanging="436"/>
        <w:spacing w:after="0"/>
        <w:tabs>
          <w:tab w:leader="none" w:pos="860" w:val="left"/>
        </w:tabs>
        <w:numPr>
          <w:ilvl w:val="0"/>
          <w:numId w:val="3"/>
        </w:numPr>
        <w:rPr>
          <w:rFonts w:ascii="Arial" w:cs="Arial" w:eastAsia="Arial" w:hAnsi="Arial"/>
          <w:sz w:val="14"/>
          <w:szCs w:val="14"/>
          <w:color w:val="auto"/>
        </w:rPr>
      </w:pPr>
      <w:r>
        <w:rPr>
          <w:rFonts w:ascii="Arial" w:cs="Arial" w:eastAsia="Arial" w:hAnsi="Arial"/>
          <w:sz w:val="12"/>
          <w:szCs w:val="12"/>
          <w:color w:val="auto"/>
        </w:rPr>
        <w:t>our estimates of the sufficiency of our existing capital resources combined with future anticipated cash flows to finance our operating requirements</w:t>
      </w:r>
    </w:p>
    <w:p>
      <w:pPr>
        <w:spacing w:after="0" w:line="81" w:lineRule="exact"/>
        <w:rPr>
          <w:rFonts w:ascii="Arial" w:cs="Arial" w:eastAsia="Arial" w:hAnsi="Arial"/>
          <w:sz w:val="14"/>
          <w:szCs w:val="14"/>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expected losses;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for incurring capital expenditures to expand our research and development and manufacturing capabilities;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unforeseen circumstances or other disruptions to normal business operations, including supply chain interruptions and manufacturing constraints, arising from or related to COVID-19;</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for generating revenue or becoming profitable on a sustained basis;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or ability to enter into service, collaboration and other partnership agreements;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or ability to build our own commercial infrastructure to scale market and sell our products;</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actions or authorizations by the U.S. Food and Drug Administration or other regulatory authorities;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related to governmental regulation and other legal obligations, including privacy, data protection, information security, consumer protection, and anti-corruption and anti-bribery;</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and maintain intellectual property protection for our product candidates;</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compete against existing and emerging technologies;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stock price and its volatility;</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key personnel;</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third-party payor reimbursement and coverage decisions;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reliance on third-party laboratories and service providers for our test volume in connection with our diagnostic solutions and data programs;</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for future capital requirements; and</w:t>
      </w:r>
    </w:p>
    <w:p>
      <w:pPr>
        <w:spacing w:after="0" w:line="132"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implement our business strategy.</w:t>
      </w:r>
    </w:p>
    <w:p>
      <w:pPr>
        <w:spacing w:after="0" w:line="123"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8"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3" w:right="29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Unaudited Condensed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20"/>
              <w:spacing w:after="0"/>
              <w:rPr>
                <w:sz w:val="20"/>
                <w:szCs w:val="20"/>
                <w:color w:val="auto"/>
              </w:rPr>
            </w:pPr>
            <w:r>
              <w:rPr>
                <w:rFonts w:ascii="Arial" w:cs="Arial" w:eastAsia="Arial" w:hAnsi="Arial"/>
                <w:sz w:val="10"/>
                <w:szCs w:val="10"/>
                <w:b w:val="1"/>
                <w:bCs w:val="1"/>
                <w:color w:val="auto"/>
                <w:w w:val="96"/>
              </w:rPr>
              <w:t>September 30, 2021 (unaudited)</w:t>
            </w:r>
          </w:p>
        </w:tc>
        <w:tc>
          <w:tcPr>
            <w:tcW w:w="200" w:type="dxa"/>
            <w:vAlign w:val="bottom"/>
          </w:tcPr>
          <w:p>
            <w:pPr>
              <w:spacing w:after="0"/>
              <w:rPr>
                <w:sz w:val="11"/>
                <w:szCs w:val="11"/>
                <w:color w:val="auto"/>
              </w:rPr>
            </w:pPr>
          </w:p>
        </w:tc>
        <w:tc>
          <w:tcPr>
            <w:tcW w:w="1280" w:type="dxa"/>
            <w:vAlign w:val="bottom"/>
          </w:tcPr>
          <w:p>
            <w:pPr>
              <w:jc w:val="right"/>
              <w:ind w:right="300"/>
              <w:spacing w:after="0"/>
              <w:rPr>
                <w:sz w:val="20"/>
                <w:szCs w:val="20"/>
                <w:color w:val="auto"/>
              </w:rPr>
            </w:pPr>
            <w:r>
              <w:rPr>
                <w:rFonts w:ascii="Arial" w:cs="Arial" w:eastAsia="Arial" w:hAnsi="Arial"/>
                <w:sz w:val="10"/>
                <w:szCs w:val="10"/>
                <w:b w:val="1"/>
                <w:bCs w:val="1"/>
                <w:color w:val="auto"/>
                <w:w w:val="99"/>
              </w:rPr>
              <w:t>December 31, 2020</w:t>
            </w:r>
          </w:p>
        </w:tc>
        <w:tc>
          <w:tcPr>
            <w:tcW w:w="0" w:type="dxa"/>
            <w:vAlign w:val="bottom"/>
          </w:tcPr>
          <w:p>
            <w:pPr>
              <w:spacing w:after="0"/>
              <w:rPr>
                <w:sz w:val="1"/>
                <w:szCs w:val="1"/>
                <w:color w:val="auto"/>
              </w:rPr>
            </w:pPr>
          </w:p>
        </w:tc>
      </w:tr>
      <w:tr>
        <w:trPr>
          <w:trHeight w:val="137"/>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461,276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108,132</w:t>
            </w:r>
          </w:p>
        </w:tc>
        <w:tc>
          <w:tcPr>
            <w:tcW w:w="0" w:type="dxa"/>
            <w:vAlign w:val="bottom"/>
          </w:tcPr>
          <w:p>
            <w:pPr>
              <w:spacing w:after="0"/>
              <w:rPr>
                <w:sz w:val="1"/>
                <w:szCs w:val="1"/>
                <w:color w:val="auto"/>
              </w:rPr>
            </w:pPr>
          </w:p>
        </w:tc>
      </w:tr>
      <w:tr>
        <w:trPr>
          <w:trHeight w:val="153"/>
        </w:trPr>
        <w:tc>
          <w:tcPr>
            <w:tcW w:w="8240" w:type="dxa"/>
            <w:vAlign w:val="bottom"/>
          </w:tcPr>
          <w:p>
            <w:pPr>
              <w:ind w:left="120"/>
              <w:spacing w:after="0"/>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21,257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32,044</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Due from related parties</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0" w:type="dxa"/>
            <w:vAlign w:val="bottom"/>
          </w:tcPr>
          <w:p>
            <w:pPr>
              <w:spacing w:after="0"/>
              <w:rPr>
                <w:sz w:val="1"/>
                <w:szCs w:val="1"/>
                <w:color w:val="auto"/>
              </w:rPr>
            </w:pPr>
          </w:p>
        </w:tc>
      </w:tr>
      <w:tr>
        <w:trPr>
          <w:trHeight w:val="153"/>
        </w:trPr>
        <w:tc>
          <w:tcPr>
            <w:tcW w:w="8240" w:type="dxa"/>
            <w:vAlign w:val="bottom"/>
          </w:tcPr>
          <w:p>
            <w:pPr>
              <w:ind w:left="120"/>
              <w:spacing w:after="0"/>
              <w:rPr>
                <w:sz w:val="20"/>
                <w:szCs w:val="20"/>
                <w:color w:val="auto"/>
              </w:rPr>
            </w:pPr>
            <w:r>
              <w:rPr>
                <w:rFonts w:ascii="Arial" w:cs="Arial" w:eastAsia="Arial" w:hAnsi="Arial"/>
                <w:sz w:val="12"/>
                <w:szCs w:val="12"/>
                <w:color w:val="auto"/>
              </w:rPr>
              <w:t>Inventory</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31,174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24,962</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4,557</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 current assets</w:t>
            </w: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4,124</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538,511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174,108</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60,333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63,110</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10,828</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3,613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3,596</w:t>
            </w:r>
          </w:p>
        </w:tc>
        <w:tc>
          <w:tcPr>
            <w:tcW w:w="0" w:type="dxa"/>
            <w:vAlign w:val="bottom"/>
          </w:tcPr>
          <w:p>
            <w:pPr>
              <w:spacing w:after="0"/>
              <w:rPr>
                <w:sz w:val="1"/>
                <w:szCs w:val="1"/>
                <w:color w:val="auto"/>
              </w:rPr>
            </w:pPr>
          </w:p>
        </w:tc>
      </w:tr>
      <w:tr>
        <w:trPr>
          <w:trHeight w:val="15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603,357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251,642</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Redeemable Convertible Preferred Stock and Stockholders’ Equity (Deficit)</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38,591</w:t>
            </w:r>
          </w:p>
        </w:tc>
        <w:tc>
          <w:tcPr>
            <w:tcW w:w="0" w:type="dxa"/>
            <w:vAlign w:val="bottom"/>
          </w:tcPr>
          <w:p>
            <w:pPr>
              <w:spacing w:after="0"/>
              <w:rPr>
                <w:sz w:val="1"/>
                <w:szCs w:val="1"/>
                <w:color w:val="auto"/>
              </w:rPr>
            </w:pPr>
          </w:p>
        </w:tc>
      </w:tr>
      <w:tr>
        <w:trPr>
          <w:trHeight w:val="153"/>
        </w:trPr>
        <w:tc>
          <w:tcPr>
            <w:tcW w:w="8240" w:type="dxa"/>
            <w:vAlign w:val="bottom"/>
          </w:tcPr>
          <w:p>
            <w:pPr>
              <w:ind w:left="120"/>
              <w:spacing w:after="0"/>
              <w:rPr>
                <w:sz w:val="20"/>
                <w:szCs w:val="20"/>
                <w:color w:val="auto"/>
              </w:rPr>
            </w:pPr>
            <w:r>
              <w:rPr>
                <w:rFonts w:ascii="Arial" w:cs="Arial" w:eastAsia="Arial" w:hAnsi="Arial"/>
                <w:sz w:val="12"/>
                <w:szCs w:val="12"/>
                <w:color w:val="auto"/>
              </w:rPr>
              <w:t>Due to related parties</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1,425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1,425</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contract liabilities</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1,783</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 current liabilities</w:t>
            </w: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26,369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31,643</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71,366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73,442</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18,971</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liabilities</w:t>
            </w:r>
          </w:p>
        </w:tc>
        <w:tc>
          <w:tcPr>
            <w:tcW w:w="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131,989</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21,699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22,852</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Earn-out contingent liability</w:t>
            </w: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61,400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212,094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247,254</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9)</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stock:</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240" w:type="dxa"/>
            <w:vAlign w:val="bottom"/>
          </w:tcPr>
          <w:p>
            <w:pPr>
              <w:ind w:left="120"/>
              <w:spacing w:after="0" w:line="117" w:lineRule="exact"/>
              <w:rPr>
                <w:sz w:val="20"/>
                <w:szCs w:val="20"/>
                <w:color w:val="auto"/>
              </w:rPr>
            </w:pPr>
            <w:r>
              <w:rPr>
                <w:rFonts w:ascii="Arial" w:cs="Arial" w:eastAsia="Arial" w:hAnsi="Arial"/>
                <w:sz w:val="12"/>
                <w:szCs w:val="12"/>
                <w:color w:val="auto"/>
                <w:w w:val="94"/>
              </w:rPr>
              <w:t>Series A-1 redeemable convertible preferred stock, $0.00001 par value: 0 and 55,399,943 shares authorized, issued and outstanding at September 30, 2021 and</w:t>
            </w:r>
          </w:p>
        </w:tc>
        <w:tc>
          <w:tcPr>
            <w:tcW w:w="80" w:type="dxa"/>
            <w:vAlign w:val="bottom"/>
          </w:tcPr>
          <w:p>
            <w:pPr>
              <w:spacing w:after="0"/>
              <w:rPr>
                <w:sz w:val="10"/>
                <w:szCs w:val="10"/>
                <w:color w:val="auto"/>
              </w:rPr>
            </w:pPr>
          </w:p>
        </w:tc>
        <w:tc>
          <w:tcPr>
            <w:tcW w:w="15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2"/>
                <w:szCs w:val="12"/>
                <w:color w:val="auto"/>
              </w:rPr>
              <w:t>51,811</w:t>
            </w:r>
          </w:p>
        </w:tc>
        <w:tc>
          <w:tcPr>
            <w:tcW w:w="0" w:type="dxa"/>
            <w:vAlign w:val="bottom"/>
          </w:tcPr>
          <w:p>
            <w:pPr>
              <w:spacing w:after="0"/>
              <w:rPr>
                <w:sz w:val="1"/>
                <w:szCs w:val="1"/>
                <w:color w:val="auto"/>
              </w:rPr>
            </w:pPr>
          </w:p>
        </w:tc>
      </w:tr>
      <w:tr>
        <w:trPr>
          <w:trHeight w:val="153"/>
        </w:trPr>
        <w:tc>
          <w:tcPr>
            <w:tcW w:w="8240" w:type="dxa"/>
            <w:vAlign w:val="bottom"/>
          </w:tcPr>
          <w:p>
            <w:pPr>
              <w:ind w:left="220"/>
              <w:spacing w:after="0"/>
              <w:rPr>
                <w:sz w:val="20"/>
                <w:szCs w:val="20"/>
                <w:color w:val="auto"/>
              </w:rPr>
            </w:pPr>
            <w:r>
              <w:rPr>
                <w:rFonts w:ascii="Arial" w:cs="Arial" w:eastAsia="Arial" w:hAnsi="Arial"/>
                <w:sz w:val="12"/>
                <w:szCs w:val="12"/>
                <w:color w:val="auto"/>
              </w:rPr>
              <w:t>December 31, 2020, respectively; aggregate liquidation preference of $0 and $55,000 at September 30, 2021 and December 31, 2020, respectively</w:t>
            </w:r>
          </w:p>
        </w:tc>
        <w:tc>
          <w:tcPr>
            <w:tcW w:w="8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2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89"/>
              </w:rPr>
              <w:t>Series A-2 redeemable convertible preferred stock, $0.00001 par value: 0 and 64,718,940 shares authorized at September 30, 2021 and December 31, 2020, respectively;</w:t>
            </w: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24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0"/>
              </w:rPr>
              <w:t>0 and 49,700,364 shares authorized, issued and outstanding at September 30, 2021 and December 31, 2020, respectively; aggregate liquidation preference of $0 and</w:t>
            </w:r>
          </w:p>
        </w:tc>
        <w:tc>
          <w:tcPr>
            <w:tcW w:w="8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46,480</w:t>
            </w: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$49,342 at September 30, 2021 and December 31, 2020, respectively</w:t>
            </w:r>
          </w:p>
        </w:tc>
        <w:tc>
          <w:tcPr>
            <w:tcW w:w="80" w:type="dxa"/>
            <w:vAlign w:val="bottom"/>
            <w:shd w:val="clear" w:color="auto" w:fill="CCEEFF"/>
          </w:tcPr>
          <w:p>
            <w:pPr>
              <w:spacing w:after="0"/>
              <w:rPr>
                <w:sz w:val="13"/>
                <w:szCs w:val="13"/>
                <w:color w:val="auto"/>
              </w:rPr>
            </w:pPr>
          </w:p>
        </w:tc>
        <w:tc>
          <w:tcPr>
            <w:tcW w:w="15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6"/>
        </w:trPr>
        <w:tc>
          <w:tcPr>
            <w:tcW w:w="8240" w:type="dxa"/>
            <w:vAlign w:val="bottom"/>
          </w:tcPr>
          <w:p>
            <w:pPr>
              <w:ind w:left="562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2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00" w:type="dxa"/>
            <w:vAlign w:val="bottom"/>
          </w:tcPr>
          <w:p>
            <w:pPr>
              <w:ind w:left="120"/>
              <w:spacing w:after="0"/>
              <w:rPr>
                <w:sz w:val="20"/>
                <w:szCs w:val="20"/>
                <w:color w:val="auto"/>
              </w:rPr>
            </w:pPr>
            <w:r>
              <w:rPr>
                <w:rFonts w:ascii="Arial" w:cs="Arial" w:eastAsia="Arial" w:hAnsi="Arial"/>
                <w:sz w:val="12"/>
                <w:szCs w:val="12"/>
                <w:color w:val="auto"/>
                <w:w w:val="94"/>
              </w:rPr>
              <w:t>Series B redeemable convertible preferred stock, $0.00001 par value: 0 and 41,937,960 shares authorized, issued and outstanding at September 30, 2021 and</w:t>
            </w:r>
          </w:p>
        </w:tc>
        <w:tc>
          <w:tcPr>
            <w:tcW w:w="5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118,824</w:t>
            </w:r>
          </w:p>
        </w:tc>
        <w:tc>
          <w:tcPr>
            <w:tcW w:w="0" w:type="dxa"/>
            <w:vAlign w:val="bottom"/>
          </w:tcPr>
          <w:p>
            <w:pPr>
              <w:spacing w:after="0"/>
              <w:rPr>
                <w:sz w:val="1"/>
                <w:szCs w:val="1"/>
                <w:color w:val="auto"/>
              </w:rPr>
            </w:pPr>
          </w:p>
        </w:tc>
      </w:tr>
      <w:tr>
        <w:trPr>
          <w:trHeight w:val="153"/>
        </w:trPr>
        <w:tc>
          <w:tcPr>
            <w:tcW w:w="8100" w:type="dxa"/>
            <w:vAlign w:val="bottom"/>
          </w:tcPr>
          <w:p>
            <w:pPr>
              <w:ind w:left="220"/>
              <w:spacing w:after="0"/>
              <w:rPr>
                <w:sz w:val="20"/>
                <w:szCs w:val="20"/>
                <w:color w:val="auto"/>
              </w:rPr>
            </w:pPr>
            <w:r>
              <w:rPr>
                <w:rFonts w:ascii="Arial" w:cs="Arial" w:eastAsia="Arial" w:hAnsi="Arial"/>
                <w:sz w:val="12"/>
                <w:szCs w:val="12"/>
                <w:color w:val="auto"/>
              </w:rPr>
              <w:t>December 31, 2020, respectively; aggregate liquidation preference of $0 and $204,302 at September 30, 2021and December 31, 2020, respectively</w:t>
            </w: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10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96"/>
              </w:rPr>
              <w:t>Series C redeemable convertible preferred stock, $0.00001 par value: 0 and 24,497,317 shares authorized at September 30, 2021 and December 31, 2020,</w:t>
            </w: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10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0"/>
              </w:rPr>
              <w:t>respectively; 0 and 24,496,946 shares issued and outstanding at September 30, 2021 and December 31, 2020, respectively; aggregate liquidation preference of $0</w:t>
            </w:r>
          </w:p>
        </w:tc>
        <w:tc>
          <w:tcPr>
            <w:tcW w:w="5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117,324</w:t>
            </w: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and $121,397 at September 30, 2021 and December 31, 2020, respectively</w:t>
            </w:r>
          </w:p>
        </w:tc>
        <w:tc>
          <w:tcPr>
            <w:tcW w:w="5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Redeemable convertible preferred stock</w:t>
            </w: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334,439</w:t>
            </w:r>
          </w:p>
        </w:tc>
        <w:tc>
          <w:tcPr>
            <w:tcW w:w="0" w:type="dxa"/>
            <w:vAlign w:val="bottom"/>
          </w:tcPr>
          <w:p>
            <w:pPr>
              <w:spacing w:after="0"/>
              <w:rPr>
                <w:sz w:val="1"/>
                <w:szCs w:val="1"/>
                <w:color w:val="auto"/>
              </w:rPr>
            </w:pPr>
          </w:p>
        </w:tc>
      </w:tr>
      <w:tr>
        <w:trPr>
          <w:trHeight w:val="133"/>
        </w:trPr>
        <w:tc>
          <w:tcPr>
            <w:tcW w:w="81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Stockholders’ equity (deficit):</w:t>
            </w: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100" w:type="dxa"/>
            <w:vAlign w:val="bottom"/>
          </w:tcPr>
          <w:p>
            <w:pPr>
              <w:ind w:left="120"/>
              <w:spacing w:after="0" w:line="117" w:lineRule="exact"/>
              <w:rPr>
                <w:sz w:val="20"/>
                <w:szCs w:val="20"/>
                <w:color w:val="auto"/>
              </w:rPr>
            </w:pPr>
            <w:r>
              <w:rPr>
                <w:rFonts w:ascii="Arial" w:cs="Arial" w:eastAsia="Arial" w:hAnsi="Arial"/>
                <w:sz w:val="12"/>
                <w:szCs w:val="12"/>
                <w:color w:val="auto"/>
                <w:w w:val="89"/>
              </w:rPr>
              <w:t>Preferred Stock, $0.0001 par value: 1,000,000 and 0 shares authorized at September 30, 2021 and December 31, 2020, respectively; 0 shares issued and outstanding</w:t>
            </w:r>
          </w:p>
        </w:tc>
        <w:tc>
          <w:tcPr>
            <w:tcW w:w="5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100" w:type="dxa"/>
            <w:vAlign w:val="bottom"/>
          </w:tcPr>
          <w:p>
            <w:pPr>
              <w:ind w:left="220"/>
              <w:spacing w:after="0"/>
              <w:rPr>
                <w:sz w:val="20"/>
                <w:szCs w:val="20"/>
                <w:color w:val="auto"/>
              </w:rPr>
            </w:pPr>
            <w:r>
              <w:rPr>
                <w:rFonts w:ascii="Arial" w:cs="Arial" w:eastAsia="Arial" w:hAnsi="Arial"/>
                <w:sz w:val="12"/>
                <w:szCs w:val="12"/>
                <w:color w:val="auto"/>
              </w:rPr>
              <w:t>at September 30, 2021 and December 31, 2020, respectively</w:t>
            </w: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10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88"/>
              </w:rPr>
              <w:t>Class A common stock: $0.0001 par value, 380,000,000 shares authorized, 240,190,402 shares issued and outstanding at September 30, 2021 and $0.00001 par value:</w:t>
            </w:r>
          </w:p>
        </w:tc>
        <w:tc>
          <w:tcPr>
            <w:tcW w:w="5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309,584,750 shares authorized, 124 shares issued and outstanding at December 31, 2020</w:t>
            </w:r>
          </w:p>
        </w:tc>
        <w:tc>
          <w:tcPr>
            <w:tcW w:w="54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100" w:type="dxa"/>
            <w:vAlign w:val="bottom"/>
          </w:tcPr>
          <w:p>
            <w:pPr>
              <w:ind w:left="120"/>
              <w:spacing w:after="0" w:line="117" w:lineRule="exact"/>
              <w:rPr>
                <w:sz w:val="20"/>
                <w:szCs w:val="20"/>
                <w:color w:val="auto"/>
              </w:rPr>
            </w:pPr>
            <w:r>
              <w:rPr>
                <w:rFonts w:ascii="Arial" w:cs="Arial" w:eastAsia="Arial" w:hAnsi="Arial"/>
                <w:sz w:val="12"/>
                <w:szCs w:val="12"/>
                <w:color w:val="auto"/>
                <w:w w:val="93"/>
              </w:rPr>
              <w:t>Class B convertible common stock, $0.00001 par value: 0 and 18,575,085 shares authorized at September 30, 2021 and December 31, 2020, respectively; 0 and</w:t>
            </w:r>
          </w:p>
        </w:tc>
        <w:tc>
          <w:tcPr>
            <w:tcW w:w="5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100" w:type="dxa"/>
            <w:vAlign w:val="bottom"/>
          </w:tcPr>
          <w:p>
            <w:pPr>
              <w:ind w:left="220"/>
              <w:spacing w:after="0"/>
              <w:rPr>
                <w:sz w:val="20"/>
                <w:szCs w:val="20"/>
                <w:color w:val="auto"/>
              </w:rPr>
            </w:pPr>
            <w:r>
              <w:rPr>
                <w:rFonts w:ascii="Arial" w:cs="Arial" w:eastAsia="Arial" w:hAnsi="Arial"/>
                <w:sz w:val="12"/>
                <w:szCs w:val="12"/>
                <w:color w:val="auto"/>
              </w:rPr>
              <w:t>130,557 shares issued and outstanding at September 30, 2021 and December 31, 2020, respectively</w:t>
            </w: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926,253</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Accumulated deficit</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(535,014)</w:t>
            </w: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(330,051)</w:t>
            </w:r>
          </w:p>
        </w:tc>
        <w:tc>
          <w:tcPr>
            <w:tcW w:w="0" w:type="dxa"/>
            <w:vAlign w:val="bottom"/>
          </w:tcPr>
          <w:p>
            <w:pPr>
              <w:spacing w:after="0"/>
              <w:rPr>
                <w:sz w:val="1"/>
                <w:szCs w:val="1"/>
                <w:color w:val="auto"/>
              </w:rPr>
            </w:pPr>
          </w:p>
        </w:tc>
      </w:tr>
      <w:tr>
        <w:trPr>
          <w:trHeight w:val="142"/>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stockholders’ equity (deficit)</w:t>
            </w:r>
          </w:p>
        </w:tc>
        <w:tc>
          <w:tcPr>
            <w:tcW w:w="5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391,263</w:t>
            </w:r>
          </w:p>
        </w:tc>
        <w:tc>
          <w:tcPr>
            <w:tcW w:w="24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(330,051)</w:t>
            </w:r>
          </w:p>
        </w:tc>
        <w:tc>
          <w:tcPr>
            <w:tcW w:w="0" w:type="dxa"/>
            <w:vAlign w:val="bottom"/>
          </w:tcPr>
          <w:p>
            <w:pPr>
              <w:spacing w:after="0"/>
              <w:rPr>
                <w:sz w:val="1"/>
                <w:szCs w:val="1"/>
                <w:color w:val="auto"/>
              </w:rPr>
            </w:pPr>
          </w:p>
        </w:tc>
      </w:tr>
      <w:tr>
        <w:trPr>
          <w:trHeight w:val="142"/>
        </w:trPr>
        <w:tc>
          <w:tcPr>
            <w:tcW w:w="8100" w:type="dxa"/>
            <w:vAlign w:val="bottom"/>
          </w:tcPr>
          <w:p>
            <w:pPr>
              <w:ind w:left="120"/>
              <w:spacing w:after="0"/>
              <w:rPr>
                <w:sz w:val="20"/>
                <w:szCs w:val="20"/>
                <w:color w:val="auto"/>
              </w:rPr>
            </w:pPr>
            <w:r>
              <w:rPr>
                <w:rFonts w:ascii="Arial" w:cs="Arial" w:eastAsia="Arial" w:hAnsi="Arial"/>
                <w:sz w:val="12"/>
                <w:szCs w:val="12"/>
                <w:color w:val="auto"/>
              </w:rPr>
              <w:t>Total liabilities, redeemable convertible preferred stock and stockholders’ equity (deficit)</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603,357</w:t>
            </w:r>
          </w:p>
        </w:tc>
        <w:tc>
          <w:tcPr>
            <w:tcW w:w="7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251,642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20" w:type="dxa"/>
            <w:vAlign w:val="bottom"/>
          </w:tcPr>
          <w:p>
            <w:pPr>
              <w:spacing w:after="0"/>
              <w:rPr>
                <w:sz w:val="11"/>
                <w:szCs w:val="11"/>
                <w:color w:val="auto"/>
              </w:rPr>
            </w:pPr>
          </w:p>
        </w:tc>
        <w:tc>
          <w:tcPr>
            <w:tcW w:w="248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0"/>
                <w:szCs w:val="10"/>
                <w:b w:val="1"/>
                <w:bCs w:val="1"/>
                <w:color w:val="auto"/>
              </w:rPr>
              <w:t>Three months ended September 30,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3"/>
              </w:rPr>
              <w:t>Nine months ended September 30,</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1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4"/>
        </w:trPr>
        <w:tc>
          <w:tcPr>
            <w:tcW w:w="51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20" w:type="dxa"/>
            <w:vAlign w:val="bottom"/>
          </w:tcPr>
          <w:p>
            <w:pPr>
              <w:ind w:left="120"/>
              <w:spacing w:after="0" w:line="117" w:lineRule="exact"/>
              <w:rPr>
                <w:sz w:val="20"/>
                <w:szCs w:val="20"/>
                <w:color w:val="auto"/>
              </w:rPr>
            </w:pPr>
            <w:r>
              <w:rPr>
                <w:rFonts w:ascii="Arial" w:cs="Arial" w:eastAsia="Arial" w:hAnsi="Arial"/>
                <w:sz w:val="12"/>
                <w:szCs w:val="12"/>
                <w:color w:val="auto"/>
                <w:w w:val="94"/>
              </w:rPr>
              <w:t>Diagnostic test revenue (including related party revenue of $20 and $86 for the three months ended</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120" w:type="dxa"/>
            <w:vAlign w:val="bottom"/>
          </w:tcPr>
          <w:p>
            <w:pPr>
              <w:ind w:left="220"/>
              <w:spacing w:after="0" w:line="117" w:lineRule="exact"/>
              <w:rPr>
                <w:sz w:val="20"/>
                <w:szCs w:val="20"/>
                <w:color w:val="auto"/>
              </w:rPr>
            </w:pPr>
            <w:r>
              <w:rPr>
                <w:rFonts w:ascii="Arial" w:cs="Arial" w:eastAsia="Arial" w:hAnsi="Arial"/>
                <w:sz w:val="12"/>
                <w:szCs w:val="12"/>
                <w:color w:val="auto"/>
              </w:rPr>
              <w:t>September 30, 2021 and 2020, respectively and $90 and $186 for the nine months ended</w:t>
            </w:r>
          </w:p>
        </w:tc>
        <w:tc>
          <w:tcPr>
            <w:tcW w:w="840" w:type="dxa"/>
            <w:vAlign w:val="bottom"/>
            <w:vMerge w:val="restart"/>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41,410</w:t>
            </w:r>
          </w:p>
        </w:tc>
        <w:tc>
          <w:tcPr>
            <w:tcW w:w="80" w:type="dxa"/>
            <w:vAlign w:val="bottom"/>
          </w:tcPr>
          <w:p>
            <w:pPr>
              <w:spacing w:after="0"/>
              <w:rPr>
                <w:sz w:val="10"/>
                <w:szCs w:val="10"/>
                <w:color w:val="auto"/>
              </w:rPr>
            </w:pPr>
          </w:p>
        </w:tc>
        <w:tc>
          <w:tcPr>
            <w:tcW w:w="920" w:type="dxa"/>
            <w:vAlign w:val="bottom"/>
            <w:vMerge w:val="restart"/>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37,893</w:t>
            </w:r>
          </w:p>
        </w:tc>
        <w:tc>
          <w:tcPr>
            <w:tcW w:w="80" w:type="dxa"/>
            <w:vAlign w:val="bottom"/>
          </w:tcPr>
          <w:p>
            <w:pPr>
              <w:spacing w:after="0"/>
              <w:rPr>
                <w:sz w:val="10"/>
                <w:szCs w:val="10"/>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148,973</w:t>
            </w:r>
          </w:p>
        </w:tc>
        <w:tc>
          <w:tcPr>
            <w:tcW w:w="100" w:type="dxa"/>
            <w:vAlign w:val="bottom"/>
          </w:tcPr>
          <w:p>
            <w:pPr>
              <w:spacing w:after="0"/>
              <w:rPr>
                <w:sz w:val="10"/>
                <w:szCs w:val="10"/>
                <w:color w:val="auto"/>
              </w:rPr>
            </w:pPr>
          </w:p>
        </w:tc>
        <w:tc>
          <w:tcPr>
            <w:tcW w:w="360" w:type="dxa"/>
            <w:vAlign w:val="bottom"/>
            <w:vMerge w:val="restart"/>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vMerge w:val="restart"/>
          </w:tcPr>
          <w:p>
            <w:pPr>
              <w:jc w:val="right"/>
              <w:ind w:right="1"/>
              <w:spacing w:after="0"/>
              <w:rPr>
                <w:sz w:val="20"/>
                <w:szCs w:val="20"/>
                <w:color w:val="auto"/>
              </w:rPr>
            </w:pPr>
            <w:r>
              <w:rPr>
                <w:rFonts w:ascii="Arial" w:cs="Arial" w:eastAsia="Arial" w:hAnsi="Arial"/>
                <w:sz w:val="12"/>
                <w:szCs w:val="12"/>
                <w:color w:val="auto"/>
              </w:rPr>
              <w:t>113,759</w:t>
            </w:r>
          </w:p>
        </w:tc>
        <w:tc>
          <w:tcPr>
            <w:tcW w:w="0" w:type="dxa"/>
            <w:vAlign w:val="bottom"/>
          </w:tcPr>
          <w:p>
            <w:pPr>
              <w:spacing w:after="0"/>
              <w:rPr>
                <w:sz w:val="1"/>
                <w:szCs w:val="1"/>
                <w:color w:val="auto"/>
              </w:rPr>
            </w:pPr>
          </w:p>
        </w:tc>
      </w:tr>
      <w:tr>
        <w:trPr>
          <w:trHeight w:val="153"/>
        </w:trPr>
        <w:tc>
          <w:tcPr>
            <w:tcW w:w="5120" w:type="dxa"/>
            <w:vAlign w:val="bottom"/>
          </w:tcPr>
          <w:p>
            <w:pPr>
              <w:ind w:left="220"/>
              <w:spacing w:after="0"/>
              <w:rPr>
                <w:sz w:val="20"/>
                <w:szCs w:val="20"/>
                <w:color w:val="auto"/>
              </w:rPr>
            </w:pPr>
            <w:r>
              <w:rPr>
                <w:rFonts w:ascii="Arial" w:cs="Arial" w:eastAsia="Arial" w:hAnsi="Arial"/>
                <w:sz w:val="12"/>
                <w:szCs w:val="12"/>
                <w:color w:val="auto"/>
              </w:rPr>
              <w:t>September 30, 2021 and 2020, respectively)</w:t>
            </w:r>
          </w:p>
        </w:tc>
        <w:tc>
          <w:tcPr>
            <w:tcW w:w="8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12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89"/>
              </w:rPr>
              <w:t>Other revenue (including related party revenue of $65 and $0 for the three months ended September 30,</w:t>
            </w:r>
          </w:p>
        </w:tc>
        <w:tc>
          <w:tcPr>
            <w:tcW w:w="8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12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2021 and 2020, respectively and $153 and $0 for the nine months ended September 30, 2021 and</w:t>
            </w:r>
          </w:p>
        </w:tc>
        <w:tc>
          <w:tcPr>
            <w:tcW w:w="8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1,768</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715</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5,421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1,606</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2020, respectively)</w:t>
            </w: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revenue</w:t>
            </w: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43,178</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38,608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154,394</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115,365</w:t>
            </w:r>
          </w:p>
        </w:tc>
        <w:tc>
          <w:tcPr>
            <w:tcW w:w="0" w:type="dxa"/>
            <w:vAlign w:val="bottom"/>
          </w:tcPr>
          <w:p>
            <w:pPr>
              <w:spacing w:after="0"/>
              <w:rPr>
                <w:sz w:val="1"/>
                <w:szCs w:val="1"/>
                <w:color w:val="auto"/>
              </w:rPr>
            </w:pPr>
          </w:p>
        </w:tc>
      </w:tr>
      <w:tr>
        <w:trPr>
          <w:trHeight w:val="97"/>
        </w:trPr>
        <w:tc>
          <w:tcPr>
            <w:tcW w:w="512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Cost of services (including related party expenses of $656 and $452 for the three months ended</w:t>
            </w:r>
          </w:p>
        </w:tc>
        <w:tc>
          <w:tcPr>
            <w:tcW w:w="8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12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98"/>
              </w:rPr>
              <w:t>September 30, 2021 and 2020, respectively and $1,942 and $1,485 for the nine months ended,</w:t>
            </w:r>
          </w:p>
        </w:tc>
        <w:tc>
          <w:tcPr>
            <w:tcW w:w="8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58,752</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36,530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180,195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111,754</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September 30, 2021 and 2020 respectively)</w:t>
            </w: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Gross (loss) profit</w:t>
            </w: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(15,574)</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(25,801)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3,611</w:t>
            </w: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17,831</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19,083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82,916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41,540</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Selling and marketing</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22,121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12,735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69,937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33,154</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147,941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39,627</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Related party expenses</w:t>
            </w:r>
          </w:p>
        </w:tc>
        <w:tc>
          <w:tcPr>
            <w:tcW w:w="8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847</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6,239</w:t>
            </w: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from operations</w:t>
            </w:r>
          </w:p>
        </w:tc>
        <w:tc>
          <w:tcPr>
            <w:tcW w:w="8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(89,603)</w:t>
            </w: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(56,015)</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(330,127)</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(116,949)</w:t>
            </w:r>
          </w:p>
        </w:tc>
        <w:tc>
          <w:tcPr>
            <w:tcW w:w="0" w:type="dxa"/>
            <w:vAlign w:val="bottom"/>
          </w:tcPr>
          <w:p>
            <w:pPr>
              <w:spacing w:after="0"/>
              <w:rPr>
                <w:sz w:val="1"/>
                <w:szCs w:val="1"/>
                <w:color w:val="auto"/>
              </w:rPr>
            </w:pPr>
          </w:p>
        </w:tc>
      </w:tr>
      <w:tr>
        <w:trPr>
          <w:trHeight w:val="124"/>
        </w:trPr>
        <w:tc>
          <w:tcPr>
            <w:tcW w:w="5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Arial" w:cs="Arial" w:eastAsia="Arial" w:hAnsi="Arial"/>
                <w:sz w:val="12"/>
                <w:szCs w:val="12"/>
                <w:color w:val="auto"/>
              </w:rPr>
              <w:t>Change in fair market value of warrant and earn-out contingent liabilities</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122,171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122,171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473</w:t>
            </w: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(683)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(2,128)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(1,826)</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5,064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2,645</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Total other income (expense), net</w:t>
            </w: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120,995</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125,164</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1,292</w:t>
            </w: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31,392</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(56,615)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(115,657)</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Income tax provision</w:t>
            </w:r>
          </w:p>
        </w:tc>
        <w:tc>
          <w:tcPr>
            <w:tcW w:w="8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 and comprehensive income (loss)</w:t>
            </w:r>
          </w:p>
        </w:tc>
        <w:tc>
          <w:tcPr>
            <w:tcW w:w="84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31,392</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(115,657)</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20"/>
                <w:szCs w:val="20"/>
                <w:color w:val="auto"/>
              </w:rPr>
            </w:pPr>
            <w:r>
              <w:rPr>
                <w:rFonts w:ascii="Arial" w:cs="Arial" w:eastAsia="Arial" w:hAnsi="Arial"/>
                <w:sz w:val="12"/>
                <w:szCs w:val="12"/>
                <w:color w:val="auto"/>
              </w:rPr>
              <w:t>Weighted average shares outstanding of Class A common stock for basic earnings</w:t>
            </w:r>
          </w:p>
        </w:tc>
        <w:tc>
          <w:tcPr>
            <w:tcW w:w="8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86"/>
              </w:rPr>
              <w:t>185,680,394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63,121,738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 of Class A common stock for diluted earnings</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210,330,946</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63,121,738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Basic net income (loss) per share, Class A common stock</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0.17</w:t>
            </w:r>
          </w:p>
        </w:tc>
        <w:tc>
          <w:tcPr>
            <w:tcW w:w="80" w:type="dxa"/>
            <w:vAlign w:val="bottom"/>
          </w:tcPr>
          <w:p>
            <w:pPr>
              <w:spacing w:after="0"/>
              <w:rPr>
                <w:sz w:val="13"/>
                <w:szCs w:val="13"/>
                <w:color w:val="auto"/>
              </w:rPr>
            </w:pPr>
          </w:p>
        </w:tc>
        <w:tc>
          <w:tcPr>
            <w:tcW w:w="920" w:type="dxa"/>
            <w:vAlign w:val="bottom"/>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(456,573)</w:t>
            </w:r>
          </w:p>
        </w:tc>
        <w:tc>
          <w:tcPr>
            <w:tcW w:w="8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(932,718)</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Diluted net income (loss) per share, Class A common stock</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(456,573)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(932,718)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 of Redeemable Convertible Preferred Stock and Stockholders'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7"/>
          </w:tcPr>
          <w:p>
            <w:pPr>
              <w:ind w:left="180"/>
              <w:spacing w:after="0"/>
              <w:rPr>
                <w:sz w:val="20"/>
                <w:szCs w:val="20"/>
                <w:color w:val="auto"/>
              </w:rPr>
            </w:pPr>
            <w:r>
              <w:rPr>
                <w:rFonts w:ascii="Arial" w:cs="Arial" w:eastAsia="Arial" w:hAnsi="Arial"/>
                <w:sz w:val="11"/>
                <w:szCs w:val="11"/>
                <w:b w:val="1"/>
                <w:bCs w:val="1"/>
                <w:color w:val="auto"/>
              </w:rPr>
              <w:t>Three months ended September 30, 2021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gridSpan w:val="4"/>
          </w:tcPr>
          <w:p>
            <w:pPr>
              <w:jc w:val="right"/>
              <w:ind w:right="201"/>
              <w:spacing w:after="0"/>
              <w:rPr>
                <w:sz w:val="20"/>
                <w:szCs w:val="20"/>
                <w:color w:val="auto"/>
              </w:rPr>
            </w:pPr>
            <w:r>
              <w:rPr>
                <w:rFonts w:ascii="Arial" w:cs="Arial" w:eastAsia="Arial" w:hAnsi="Arial"/>
                <w:sz w:val="10"/>
                <w:szCs w:val="10"/>
                <w:b w:val="1"/>
                <w:bCs w:val="1"/>
                <w:color w:val="auto"/>
                <w:w w:val="92"/>
              </w:rPr>
              <w:t>Redeemable Convertible Preferred Stock</w:t>
            </w:r>
          </w:p>
        </w:tc>
        <w:tc>
          <w:tcPr>
            <w:tcW w:w="40" w:type="dxa"/>
            <w:vAlign w:val="bottom"/>
          </w:tcPr>
          <w:p>
            <w:pPr>
              <w:spacing w:after="0"/>
              <w:rPr>
                <w:sz w:val="11"/>
                <w:szCs w:val="11"/>
                <w:color w:val="auto"/>
              </w:rPr>
            </w:pPr>
          </w:p>
        </w:tc>
        <w:tc>
          <w:tcPr>
            <w:tcW w:w="188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0"/>
                <w:szCs w:val="10"/>
                <w:b w:val="1"/>
                <w:bCs w:val="1"/>
                <w:color w:val="auto"/>
              </w:rPr>
              <w:t>Class A Common Stock</w:t>
            </w:r>
          </w:p>
        </w:tc>
        <w:tc>
          <w:tcPr>
            <w:tcW w:w="80" w:type="dxa"/>
            <w:vAlign w:val="bottom"/>
          </w:tcPr>
          <w:p>
            <w:pPr>
              <w:spacing w:after="0"/>
              <w:rPr>
                <w:sz w:val="11"/>
                <w:szCs w:val="11"/>
                <w:color w:val="auto"/>
              </w:rPr>
            </w:pPr>
          </w:p>
        </w:tc>
        <w:tc>
          <w:tcPr>
            <w:tcW w:w="1840" w:type="dxa"/>
            <w:vAlign w:val="bottom"/>
            <w:tcBorders>
              <w:bottom w:val="single" w:sz="8" w:color="auto"/>
            </w:tcBorders>
            <w:gridSpan w:val="4"/>
          </w:tcPr>
          <w:p>
            <w:pPr>
              <w:ind w:left="440"/>
              <w:spacing w:after="0"/>
              <w:rPr>
                <w:sz w:val="20"/>
                <w:szCs w:val="20"/>
                <w:color w:val="auto"/>
              </w:rPr>
            </w:pPr>
            <w:r>
              <w:rPr>
                <w:rFonts w:ascii="Arial" w:cs="Arial" w:eastAsia="Arial" w:hAnsi="Arial"/>
                <w:sz w:val="10"/>
                <w:szCs w:val="10"/>
                <w:b w:val="1"/>
                <w:bCs w:val="1"/>
                <w:color w:val="auto"/>
              </w:rPr>
              <w:t>Class B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9"/>
              </w:rPr>
              <w:t>Additional paid-in</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5"/>
              </w:rPr>
              <w:t>Total stockholders’</w:t>
            </w:r>
          </w:p>
        </w:tc>
        <w:tc>
          <w:tcPr>
            <w:tcW w:w="0" w:type="dxa"/>
            <w:vAlign w:val="bottom"/>
          </w:tcPr>
          <w:p>
            <w:pPr>
              <w:spacing w:after="0"/>
              <w:rPr>
                <w:sz w:val="1"/>
                <w:szCs w:val="1"/>
                <w:color w:val="auto"/>
              </w:rPr>
            </w:pPr>
          </w:p>
        </w:tc>
      </w:tr>
      <w:tr>
        <w:trPr>
          <w:trHeight w:val="73"/>
        </w:trPr>
        <w:tc>
          <w:tcPr>
            <w:tcW w:w="2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6"/>
                <w:szCs w:val="6"/>
                <w:color w:val="auto"/>
              </w:rPr>
            </w:pPr>
          </w:p>
        </w:tc>
        <w:tc>
          <w:tcPr>
            <w:tcW w:w="84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6"/>
                <w:szCs w:val="6"/>
                <w:color w:val="auto"/>
              </w:rPr>
            </w:pPr>
          </w:p>
        </w:tc>
        <w:tc>
          <w:tcPr>
            <w:tcW w:w="100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6"/>
                <w:szCs w:val="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Par value</w:t>
            </w:r>
          </w:p>
        </w:tc>
        <w:tc>
          <w:tcPr>
            <w:tcW w:w="9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Par value</w:t>
            </w: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94"/>
              </w:rPr>
              <w:t>Accumulated deficit</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capital</w:t>
            </w: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61"/>
              <w:spacing w:after="0"/>
              <w:rPr>
                <w:sz w:val="20"/>
                <w:szCs w:val="20"/>
                <w:color w:val="auto"/>
              </w:rPr>
            </w:pPr>
            <w:r>
              <w:rPr>
                <w:rFonts w:ascii="Arial" w:cs="Arial" w:eastAsia="Arial" w:hAnsi="Arial"/>
                <w:sz w:val="10"/>
                <w:szCs w:val="10"/>
                <w:b w:val="1"/>
                <w:bCs w:val="1"/>
                <w:color w:val="auto"/>
                <w:w w:val="87"/>
              </w:rPr>
              <w:t>equity (deficit)</w:t>
            </w:r>
          </w:p>
        </w:tc>
        <w:tc>
          <w:tcPr>
            <w:tcW w:w="0" w:type="dxa"/>
            <w:vAlign w:val="bottom"/>
          </w:tcPr>
          <w:p>
            <w:pPr>
              <w:spacing w:after="0"/>
              <w:rPr>
                <w:sz w:val="1"/>
                <w:szCs w:val="1"/>
                <w:color w:val="auto"/>
              </w:rPr>
            </w:pPr>
          </w:p>
        </w:tc>
      </w:tr>
      <w:tr>
        <w:trPr>
          <w:trHeight w:val="143"/>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at June 30, 2021</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171,535,213</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right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b w:val="1"/>
                <w:bCs w:val="1"/>
                <w:color w:val="auto"/>
              </w:rPr>
              <w:t>334,439</w:t>
            </w: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4,458</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1,383,736</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1,483</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(566,406)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(564,923)</w:t>
            </w: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40" w:type="dxa"/>
            <w:vAlign w:val="bottom"/>
          </w:tcPr>
          <w:p>
            <w:pPr>
              <w:spacing w:after="0"/>
              <w:rPr>
                <w:sz w:val="13"/>
                <w:szCs w:val="13"/>
                <w:color w:val="auto"/>
              </w:rPr>
            </w:pPr>
          </w:p>
        </w:tc>
        <w:tc>
          <w:tcPr>
            <w:tcW w:w="10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31,392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31,392</w:t>
            </w: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of Preferred Stock</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(171,535,213)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(334,439)</w:t>
            </w:r>
          </w:p>
        </w:tc>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148,543,062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104,517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104,532</w:t>
            </w: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Conversion of Class B Common Stock</w:t>
            </w:r>
          </w:p>
        </w:tc>
        <w:tc>
          <w:tcPr>
            <w:tcW w:w="40" w:type="dxa"/>
            <w:vAlign w:val="bottom"/>
          </w:tcPr>
          <w:p>
            <w:pPr>
              <w:spacing w:after="0"/>
              <w:rPr>
                <w:sz w:val="13"/>
                <w:szCs w:val="13"/>
                <w:color w:val="auto"/>
              </w:rPr>
            </w:pPr>
          </w:p>
        </w:tc>
        <w:tc>
          <w:tcPr>
            <w:tcW w:w="10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1,309,320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(1,383,736)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(744)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(744)</w:t>
            </w:r>
          </w:p>
        </w:tc>
        <w:tc>
          <w:tcPr>
            <w:tcW w:w="0" w:type="dxa"/>
            <w:vAlign w:val="bottom"/>
          </w:tcPr>
          <w:p>
            <w:pPr>
              <w:spacing w:after="0"/>
              <w:rPr>
                <w:sz w:val="1"/>
                <w:szCs w:val="1"/>
                <w:color w:val="auto"/>
              </w:rPr>
            </w:pPr>
          </w:p>
        </w:tc>
      </w:tr>
      <w:tr>
        <w:trPr>
          <w:trHeight w:val="117"/>
        </w:trPr>
        <w:tc>
          <w:tcPr>
            <w:tcW w:w="24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Net equity infusion from the Business</w:t>
            </w:r>
          </w:p>
        </w:tc>
        <w:tc>
          <w:tcPr>
            <w:tcW w:w="4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90,333,562</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510,742</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510,751</w:t>
            </w: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Combination</w:t>
            </w:r>
          </w:p>
        </w:tc>
        <w:tc>
          <w:tcPr>
            <w:tcW w:w="4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40" w:type="dxa"/>
            <w:vAlign w:val="bottom"/>
          </w:tcPr>
          <w:p>
            <w:pPr>
              <w:ind w:left="120"/>
              <w:spacing w:after="0" w:line="117" w:lineRule="exact"/>
              <w:rPr>
                <w:sz w:val="20"/>
                <w:szCs w:val="20"/>
                <w:color w:val="auto"/>
              </w:rPr>
            </w:pPr>
            <w:r>
              <w:rPr>
                <w:rFonts w:ascii="Arial" w:cs="Arial" w:eastAsia="Arial" w:hAnsi="Arial"/>
                <w:sz w:val="12"/>
                <w:szCs w:val="12"/>
                <w:color w:val="auto"/>
              </w:rPr>
              <w:t>Stock based compensation modification</w:t>
            </w:r>
          </w:p>
        </w:tc>
        <w:tc>
          <w:tcPr>
            <w:tcW w:w="40" w:type="dxa"/>
            <w:vAlign w:val="bottom"/>
          </w:tcPr>
          <w:p>
            <w:pPr>
              <w:spacing w:after="0"/>
              <w:rPr>
                <w:sz w:val="10"/>
                <w:szCs w:val="10"/>
                <w:color w:val="auto"/>
              </w:rPr>
            </w:pPr>
          </w:p>
        </w:tc>
        <w:tc>
          <w:tcPr>
            <w:tcW w:w="1060" w:type="dxa"/>
            <w:vAlign w:val="bottom"/>
            <w:gridSpan w:val="2"/>
            <w:vMerge w:val="restart"/>
          </w:tcPr>
          <w:p>
            <w:pPr>
              <w:ind w:left="8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304,837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304,837</w:t>
            </w: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reclassification</w:t>
            </w:r>
          </w:p>
        </w:tc>
        <w:tc>
          <w:tcPr>
            <w:tcW w:w="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based compensation expense</w:t>
            </w: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5,418</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20"/>
                <w:szCs w:val="20"/>
                <w:color w:val="auto"/>
              </w:rPr>
            </w:pPr>
            <w:r>
              <w:rPr>
                <w:rFonts w:ascii="Arial" w:cs="Arial" w:eastAsia="Arial" w:hAnsi="Arial"/>
                <w:sz w:val="12"/>
                <w:szCs w:val="12"/>
                <w:b w:val="1"/>
                <w:bCs w:val="1"/>
                <w:color w:val="auto"/>
              </w:rPr>
              <w:t>Balances at September 30, 2021</w:t>
            </w:r>
          </w:p>
        </w:tc>
        <w:tc>
          <w:tcPr>
            <w:tcW w:w="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right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240,190,402</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w:t>
            </w: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926,253</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(535,014)</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391,263</w:t>
            </w:r>
          </w:p>
        </w:tc>
        <w:tc>
          <w:tcPr>
            <w:tcW w:w="0" w:type="dxa"/>
            <w:vAlign w:val="bottom"/>
          </w:tcPr>
          <w:p>
            <w:pPr>
              <w:spacing w:after="0"/>
              <w:rPr>
                <w:sz w:val="1"/>
                <w:szCs w:val="1"/>
                <w:color w:val="auto"/>
              </w:rPr>
            </w:pPr>
          </w:p>
        </w:tc>
      </w:tr>
      <w:tr>
        <w:trPr>
          <w:trHeight w:val="329"/>
        </w:trPr>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7"/>
          </w:tcPr>
          <w:p>
            <w:pPr>
              <w:ind w:left="220"/>
              <w:spacing w:after="0"/>
              <w:rPr>
                <w:sz w:val="20"/>
                <w:szCs w:val="20"/>
                <w:color w:val="auto"/>
              </w:rPr>
            </w:pPr>
            <w:r>
              <w:rPr>
                <w:rFonts w:ascii="Arial" w:cs="Arial" w:eastAsia="Arial" w:hAnsi="Arial"/>
                <w:sz w:val="11"/>
                <w:szCs w:val="11"/>
                <w:b w:val="1"/>
                <w:bCs w:val="1"/>
                <w:color w:val="auto"/>
              </w:rPr>
              <w:t>Nine months ended September 30, 2021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tcBorders>
              <w:bottom w:val="single" w:sz="8" w:color="auto"/>
              <w:right w:val="single" w:sz="8" w:color="auto"/>
            </w:tcBorders>
            <w:gridSpan w:val="4"/>
          </w:tcPr>
          <w:p>
            <w:pPr>
              <w:jc w:val="right"/>
              <w:ind w:right="181"/>
              <w:spacing w:after="0"/>
              <w:rPr>
                <w:sz w:val="20"/>
                <w:szCs w:val="20"/>
                <w:color w:val="auto"/>
              </w:rPr>
            </w:pPr>
            <w:r>
              <w:rPr>
                <w:rFonts w:ascii="Arial" w:cs="Arial" w:eastAsia="Arial" w:hAnsi="Arial"/>
                <w:sz w:val="10"/>
                <w:szCs w:val="10"/>
                <w:b w:val="1"/>
                <w:bCs w:val="1"/>
                <w:color w:val="auto"/>
                <w:w w:val="93"/>
              </w:rPr>
              <w:t>Redeemable Convertible Preferred Stock</w:t>
            </w:r>
          </w:p>
        </w:tc>
        <w:tc>
          <w:tcPr>
            <w:tcW w:w="40" w:type="dxa"/>
            <w:vAlign w:val="bottom"/>
          </w:tcPr>
          <w:p>
            <w:pPr>
              <w:spacing w:after="0"/>
              <w:rPr>
                <w:sz w:val="11"/>
                <w:szCs w:val="11"/>
                <w:color w:val="auto"/>
              </w:rPr>
            </w:pPr>
          </w:p>
        </w:tc>
        <w:tc>
          <w:tcPr>
            <w:tcW w:w="188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0"/>
                <w:szCs w:val="10"/>
                <w:b w:val="1"/>
                <w:bCs w:val="1"/>
                <w:color w:val="auto"/>
              </w:rPr>
              <w:t>Class A Common Stock</w:t>
            </w:r>
          </w:p>
        </w:tc>
        <w:tc>
          <w:tcPr>
            <w:tcW w:w="80" w:type="dxa"/>
            <w:vAlign w:val="bottom"/>
          </w:tcPr>
          <w:p>
            <w:pPr>
              <w:spacing w:after="0"/>
              <w:rPr>
                <w:sz w:val="11"/>
                <w:szCs w:val="11"/>
                <w:color w:val="auto"/>
              </w:rPr>
            </w:pPr>
          </w:p>
        </w:tc>
        <w:tc>
          <w:tcPr>
            <w:tcW w:w="1840" w:type="dxa"/>
            <w:vAlign w:val="bottom"/>
            <w:tcBorders>
              <w:bottom w:val="single" w:sz="8" w:color="auto"/>
            </w:tcBorders>
            <w:gridSpan w:val="4"/>
          </w:tcPr>
          <w:p>
            <w:pPr>
              <w:ind w:left="440"/>
              <w:spacing w:after="0"/>
              <w:rPr>
                <w:sz w:val="20"/>
                <w:szCs w:val="20"/>
                <w:color w:val="auto"/>
              </w:rPr>
            </w:pPr>
            <w:r>
              <w:rPr>
                <w:rFonts w:ascii="Arial" w:cs="Arial" w:eastAsia="Arial" w:hAnsi="Arial"/>
                <w:sz w:val="10"/>
                <w:szCs w:val="10"/>
                <w:b w:val="1"/>
                <w:bCs w:val="1"/>
                <w:color w:val="auto"/>
              </w:rPr>
              <w:t>Class B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9"/>
              </w:rPr>
              <w:t>Additional paid-in</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5"/>
              </w:rPr>
              <w:t>Total stockholders’</w:t>
            </w:r>
          </w:p>
        </w:tc>
        <w:tc>
          <w:tcPr>
            <w:tcW w:w="0" w:type="dxa"/>
            <w:vAlign w:val="bottom"/>
          </w:tcPr>
          <w:p>
            <w:pPr>
              <w:spacing w:after="0"/>
              <w:rPr>
                <w:sz w:val="1"/>
                <w:szCs w:val="1"/>
                <w:color w:val="auto"/>
              </w:rPr>
            </w:pPr>
          </w:p>
        </w:tc>
      </w:tr>
      <w:tr>
        <w:trPr>
          <w:trHeight w:val="73"/>
        </w:trPr>
        <w:tc>
          <w:tcPr>
            <w:tcW w:w="2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6"/>
                <w:szCs w:val="6"/>
                <w:color w:val="auto"/>
              </w:rPr>
            </w:pPr>
          </w:p>
        </w:tc>
        <w:tc>
          <w:tcPr>
            <w:tcW w:w="84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6"/>
                <w:szCs w:val="6"/>
                <w:color w:val="auto"/>
              </w:rPr>
            </w:pPr>
          </w:p>
        </w:tc>
        <w:tc>
          <w:tcPr>
            <w:tcW w:w="100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6"/>
                <w:szCs w:val="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Par value</w:t>
            </w:r>
          </w:p>
        </w:tc>
        <w:tc>
          <w:tcPr>
            <w:tcW w:w="9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Par value</w:t>
            </w: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94"/>
              </w:rPr>
              <w:t>Accumulated deficit</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capital</w:t>
            </w: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61"/>
              <w:spacing w:after="0"/>
              <w:rPr>
                <w:sz w:val="20"/>
                <w:szCs w:val="20"/>
                <w:color w:val="auto"/>
              </w:rPr>
            </w:pPr>
            <w:r>
              <w:rPr>
                <w:rFonts w:ascii="Arial" w:cs="Arial" w:eastAsia="Arial" w:hAnsi="Arial"/>
                <w:sz w:val="10"/>
                <w:szCs w:val="10"/>
                <w:b w:val="1"/>
                <w:bCs w:val="1"/>
                <w:color w:val="auto"/>
                <w:w w:val="87"/>
              </w:rPr>
              <w:t>equity (deficit)</w:t>
            </w:r>
          </w:p>
        </w:tc>
        <w:tc>
          <w:tcPr>
            <w:tcW w:w="0" w:type="dxa"/>
            <w:vAlign w:val="bottom"/>
          </w:tcPr>
          <w:p>
            <w:pPr>
              <w:spacing w:after="0"/>
              <w:rPr>
                <w:sz w:val="1"/>
                <w:szCs w:val="1"/>
                <w:color w:val="auto"/>
              </w:rPr>
            </w:pPr>
          </w:p>
        </w:tc>
      </w:tr>
      <w:tr>
        <w:trPr>
          <w:trHeight w:val="143"/>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2020</w:t>
            </w:r>
          </w:p>
        </w:tc>
        <w:tc>
          <w:tcPr>
            <w:tcW w:w="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171,535,213</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right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b w:val="1"/>
                <w:bCs w:val="1"/>
                <w:color w:val="auto"/>
              </w:rPr>
              <w:t>334,439</w:t>
            </w: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124</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130,557</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(330,051)</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(330,051)</w:t>
            </w: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Net loss</w:t>
            </w:r>
          </w:p>
        </w:tc>
        <w:tc>
          <w:tcPr>
            <w:tcW w:w="40" w:type="dxa"/>
            <w:vAlign w:val="bottom"/>
          </w:tcPr>
          <w:p>
            <w:pPr>
              <w:spacing w:after="0"/>
              <w:rPr>
                <w:sz w:val="13"/>
                <w:szCs w:val="13"/>
                <w:color w:val="auto"/>
              </w:rPr>
            </w:pPr>
          </w:p>
        </w:tc>
        <w:tc>
          <w:tcPr>
            <w:tcW w:w="10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(204,963)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(204,963)</w:t>
            </w: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 exercises</w:t>
            </w: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4,334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1,253,179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1,483</w:t>
            </w: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Conversion of Preferred Stock</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(171,535,213)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(334,439)</w:t>
            </w:r>
          </w:p>
        </w:tc>
        <w:tc>
          <w:tcPr>
            <w:tcW w:w="4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148,543,062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104,517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104,532</w:t>
            </w: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of Class B Common Stock</w:t>
            </w: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1,309,320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(1,383,736)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(744)</w:t>
            </w:r>
          </w:p>
        </w:tc>
        <w:tc>
          <w:tcPr>
            <w:tcW w:w="0" w:type="dxa"/>
            <w:vAlign w:val="bottom"/>
          </w:tcPr>
          <w:p>
            <w:pPr>
              <w:spacing w:after="0"/>
              <w:rPr>
                <w:sz w:val="1"/>
                <w:szCs w:val="1"/>
                <w:color w:val="auto"/>
              </w:rPr>
            </w:pPr>
          </w:p>
        </w:tc>
      </w:tr>
      <w:tr>
        <w:trPr>
          <w:trHeight w:val="117"/>
        </w:trPr>
        <w:tc>
          <w:tcPr>
            <w:tcW w:w="2440" w:type="dxa"/>
            <w:vAlign w:val="bottom"/>
          </w:tcPr>
          <w:p>
            <w:pPr>
              <w:ind w:left="120"/>
              <w:spacing w:after="0" w:line="117" w:lineRule="exact"/>
              <w:rPr>
                <w:sz w:val="20"/>
                <w:szCs w:val="20"/>
                <w:color w:val="auto"/>
              </w:rPr>
            </w:pPr>
            <w:r>
              <w:rPr>
                <w:rFonts w:ascii="Arial" w:cs="Arial" w:eastAsia="Arial" w:hAnsi="Arial"/>
                <w:sz w:val="12"/>
                <w:szCs w:val="12"/>
                <w:color w:val="auto"/>
              </w:rPr>
              <w:t>Net equity infusion from the Business</w:t>
            </w:r>
          </w:p>
        </w:tc>
        <w:tc>
          <w:tcPr>
            <w:tcW w:w="40" w:type="dxa"/>
            <w:vAlign w:val="bottom"/>
          </w:tcPr>
          <w:p>
            <w:pPr>
              <w:spacing w:after="0"/>
              <w:rPr>
                <w:sz w:val="10"/>
                <w:szCs w:val="10"/>
                <w:color w:val="auto"/>
              </w:rPr>
            </w:pPr>
          </w:p>
        </w:tc>
        <w:tc>
          <w:tcPr>
            <w:tcW w:w="1060" w:type="dxa"/>
            <w:vAlign w:val="bottom"/>
            <w:gridSpan w:val="2"/>
            <w:vMerge w:val="restart"/>
          </w:tcPr>
          <w:p>
            <w:pPr>
              <w:ind w:left="8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2"/>
                <w:szCs w:val="12"/>
                <w:color w:val="auto"/>
              </w:rPr>
              <w:t>90,333,562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510,742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510,751</w:t>
            </w: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Combination</w:t>
            </w:r>
          </w:p>
        </w:tc>
        <w:tc>
          <w:tcPr>
            <w:tcW w:w="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Stock based compensation modification</w:t>
            </w:r>
          </w:p>
        </w:tc>
        <w:tc>
          <w:tcPr>
            <w:tcW w:w="4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304,837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304,837</w:t>
            </w: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reclassification</w:t>
            </w:r>
          </w:p>
        </w:tc>
        <w:tc>
          <w:tcPr>
            <w:tcW w:w="4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120"/>
              <w:spacing w:after="0"/>
              <w:rPr>
                <w:sz w:val="20"/>
                <w:szCs w:val="20"/>
                <w:color w:val="auto"/>
              </w:rPr>
            </w:pPr>
            <w:r>
              <w:rPr>
                <w:rFonts w:ascii="Arial" w:cs="Arial" w:eastAsia="Arial" w:hAnsi="Arial"/>
                <w:sz w:val="12"/>
                <w:szCs w:val="12"/>
                <w:color w:val="auto"/>
              </w:rPr>
              <w:t>Stock based compensation expense</w:t>
            </w:r>
          </w:p>
        </w:tc>
        <w:tc>
          <w:tcPr>
            <w:tcW w:w="40" w:type="dxa"/>
            <w:vAlign w:val="bottom"/>
          </w:tcPr>
          <w:p>
            <w:pPr>
              <w:spacing w:after="0"/>
              <w:rPr>
                <w:sz w:val="13"/>
                <w:szCs w:val="13"/>
                <w:color w:val="auto"/>
              </w:rPr>
            </w:pPr>
          </w:p>
        </w:tc>
        <w:tc>
          <w:tcPr>
            <w:tcW w:w="10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5,418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5,418</w:t>
            </w:r>
          </w:p>
        </w:tc>
        <w:tc>
          <w:tcPr>
            <w:tcW w:w="0" w:type="dxa"/>
            <w:vAlign w:val="bottom"/>
          </w:tcPr>
          <w:p>
            <w:pPr>
              <w:spacing w:after="0"/>
              <w:rPr>
                <w:sz w:val="1"/>
                <w:szCs w:val="1"/>
                <w:color w:val="auto"/>
              </w:rPr>
            </w:pPr>
          </w:p>
        </w:tc>
      </w:tr>
      <w:tr>
        <w:trPr>
          <w:trHeight w:val="158"/>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Balances at September 30, 2021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top w:val="single" w:sz="8" w:color="auto"/>
              <w:bottom w:val="single" w:sz="8" w:color="auto"/>
              <w:right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240,190,402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926,253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(535,014)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391,263</w:t>
            </w:r>
          </w:p>
        </w:tc>
        <w:tc>
          <w:tcPr>
            <w:tcW w:w="0" w:type="dxa"/>
            <w:vAlign w:val="bottom"/>
          </w:tcPr>
          <w:p>
            <w:pPr>
              <w:spacing w:after="0"/>
              <w:rPr>
                <w:sz w:val="1"/>
                <w:szCs w:val="1"/>
                <w:color w:val="auto"/>
              </w:rPr>
            </w:pPr>
          </w:p>
        </w:tc>
      </w:tr>
      <w:tr>
        <w:trPr>
          <w:trHeight w:val="594"/>
        </w:trPr>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7</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Condensed Consolidated Statement of Redeemable Convertible Preferred Stock and Stockholders' Equity (Deficit)</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 thousands, except share amounts)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10"/>
          </w:tcPr>
          <w:p>
            <w:pPr>
              <w:ind w:left="380"/>
              <w:spacing w:after="0"/>
              <w:rPr>
                <w:sz w:val="20"/>
                <w:szCs w:val="20"/>
                <w:color w:val="auto"/>
              </w:rPr>
            </w:pPr>
            <w:r>
              <w:rPr>
                <w:rFonts w:ascii="Arial" w:cs="Arial" w:eastAsia="Arial" w:hAnsi="Arial"/>
                <w:sz w:val="11"/>
                <w:szCs w:val="11"/>
                <w:b w:val="1"/>
                <w:bCs w:val="1"/>
                <w:color w:val="auto"/>
                <w:w w:val="99"/>
              </w:rPr>
              <w:t>Three months ended September 30, 2020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gridSpan w:val="8"/>
          </w:tcPr>
          <w:p>
            <w:pPr>
              <w:jc w:val="right"/>
              <w:ind w:right="83"/>
              <w:spacing w:after="0"/>
              <w:rPr>
                <w:sz w:val="20"/>
                <w:szCs w:val="20"/>
                <w:color w:val="auto"/>
              </w:rPr>
            </w:pPr>
            <w:r>
              <w:rPr>
                <w:rFonts w:ascii="Arial" w:cs="Arial" w:eastAsia="Arial" w:hAnsi="Arial"/>
                <w:sz w:val="10"/>
                <w:szCs w:val="10"/>
                <w:b w:val="1"/>
                <w:bCs w:val="1"/>
                <w:color w:val="auto"/>
                <w:w w:val="90"/>
              </w:rPr>
              <w:t>Redeemable Convertible Preferred Stock</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6"/>
          </w:tcPr>
          <w:p>
            <w:pPr>
              <w:ind w:left="360"/>
              <w:spacing w:after="0"/>
              <w:rPr>
                <w:sz w:val="20"/>
                <w:szCs w:val="20"/>
                <w:color w:val="auto"/>
              </w:rPr>
            </w:pPr>
            <w:r>
              <w:rPr>
                <w:rFonts w:ascii="Arial" w:cs="Arial" w:eastAsia="Arial" w:hAnsi="Arial"/>
                <w:sz w:val="10"/>
                <w:szCs w:val="10"/>
                <w:b w:val="1"/>
                <w:bCs w:val="1"/>
                <w:color w:val="auto"/>
              </w:rPr>
              <w:t>Class A Common Stock</w:t>
            </w:r>
          </w:p>
        </w:tc>
        <w:tc>
          <w:tcPr>
            <w:tcW w:w="60" w:type="dxa"/>
            <w:vAlign w:val="bottom"/>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c>
          <w:tcPr>
            <w:tcW w:w="162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Class B Common Stock</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w w:val="97"/>
              </w:rPr>
              <w:t>Additional paid-in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9"/>
              </w:rPr>
              <w:t>Accumulated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Total stockholde</w:t>
            </w:r>
          </w:p>
        </w:tc>
        <w:tc>
          <w:tcPr>
            <w:tcW w:w="0" w:type="dxa"/>
            <w:vAlign w:val="bottom"/>
          </w:tcPr>
          <w:p>
            <w:pPr>
              <w:spacing w:after="0"/>
              <w:rPr>
                <w:sz w:val="1"/>
                <w:szCs w:val="1"/>
                <w:color w:val="auto"/>
              </w:rPr>
            </w:pPr>
          </w:p>
        </w:tc>
      </w:tr>
      <w:tr>
        <w:trPr>
          <w:trHeight w:val="77"/>
        </w:trPr>
        <w:tc>
          <w:tcPr>
            <w:tcW w:w="2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right w:val="single" w:sz="8" w:color="auto"/>
            </w:tcBorders>
            <w:vMerge w:val="restart"/>
          </w:tcPr>
          <w:p>
            <w:pPr>
              <w:jc w:val="right"/>
              <w:ind w:right="263"/>
              <w:spacing w:after="0"/>
              <w:rPr>
                <w:sz w:val="20"/>
                <w:szCs w:val="20"/>
                <w:color w:val="auto"/>
              </w:rPr>
            </w:pPr>
            <w:r>
              <w:rPr>
                <w:rFonts w:ascii="Arial" w:cs="Arial" w:eastAsia="Arial" w:hAnsi="Arial"/>
                <w:sz w:val="10"/>
                <w:szCs w:val="10"/>
                <w:b w:val="1"/>
                <w:bCs w:val="1"/>
                <w:color w:val="auto"/>
                <w:w w:val="89"/>
              </w:rPr>
              <w:t>Amount</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0"/>
                <w:szCs w:val="10"/>
                <w:b w:val="1"/>
                <w:bCs w:val="1"/>
                <w:color w:val="auto"/>
              </w:rPr>
              <w:t>Par value</w:t>
            </w:r>
          </w:p>
        </w:tc>
        <w:tc>
          <w:tcPr>
            <w:tcW w:w="6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Par value</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deficit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40"/>
              <w:spacing w:after="0"/>
              <w:rPr>
                <w:sz w:val="20"/>
                <w:szCs w:val="20"/>
                <w:color w:val="auto"/>
              </w:rPr>
            </w:pPr>
            <w:r>
              <w:rPr>
                <w:rFonts w:ascii="Arial" w:cs="Arial" w:eastAsia="Arial" w:hAnsi="Arial"/>
                <w:sz w:val="10"/>
                <w:szCs w:val="10"/>
                <w:b w:val="1"/>
                <w:bCs w:val="1"/>
                <w:color w:val="auto"/>
                <w:w w:val="96"/>
              </w:rPr>
              <w:t>equity (deficit)</w:t>
            </w:r>
          </w:p>
        </w:tc>
        <w:tc>
          <w:tcPr>
            <w:tcW w:w="0" w:type="dxa"/>
            <w:vAlign w:val="bottom"/>
          </w:tcPr>
          <w:p>
            <w:pPr>
              <w:spacing w:after="0"/>
              <w:rPr>
                <w:sz w:val="1"/>
                <w:szCs w:val="1"/>
                <w:color w:val="auto"/>
              </w:rPr>
            </w:pPr>
          </w:p>
        </w:tc>
      </w:tr>
      <w:tr>
        <w:trPr>
          <w:trHeight w:val="143"/>
        </w:trPr>
        <w:tc>
          <w:tcPr>
            <w:tcW w:w="20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b w:val="1"/>
                <w:bCs w:val="1"/>
                <w:color w:val="auto"/>
              </w:rPr>
              <w:t>Balances at June 30, 2020</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147,038,267</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217,115</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b w:val="1"/>
                <w:bCs w:val="1"/>
                <w:color w:val="auto"/>
                <w:w w:val="89"/>
              </w:rPr>
              <w:t>124</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2"/>
                <w:szCs w:val="12"/>
                <w:b w:val="1"/>
                <w:bCs w:val="1"/>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(147,753)</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2"/>
                <w:szCs w:val="12"/>
                <w:b w:val="1"/>
                <w:bCs w:val="1"/>
                <w:color w:val="auto"/>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(147,7</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240" w:type="dxa"/>
            <w:vAlign w:val="bottom"/>
            <w:gridSpan w:val="2"/>
          </w:tcPr>
          <w:p>
            <w:pPr>
              <w:ind w:left="340"/>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3"/>
                <w:szCs w:val="13"/>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ind w:left="4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(56,615)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(56,6</w:t>
            </w: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240" w:type="dxa"/>
            <w:vAlign w:val="bottom"/>
            <w:gridSpan w:val="2"/>
            <w:shd w:val="clear" w:color="auto" w:fill="CCEEFF"/>
          </w:tcPr>
          <w:p>
            <w:pPr>
              <w:ind w:left="340"/>
              <w:spacing w:after="0" w:line="117" w:lineRule="exact"/>
              <w:rPr>
                <w:sz w:val="20"/>
                <w:szCs w:val="20"/>
                <w:color w:val="auto"/>
              </w:rPr>
            </w:pPr>
            <w:r>
              <w:rPr>
                <w:rFonts w:ascii="Arial" w:cs="Arial" w:eastAsia="Arial" w:hAnsi="Arial"/>
                <w:sz w:val="12"/>
                <w:szCs w:val="12"/>
                <w:color w:val="auto"/>
              </w:rPr>
              <w:t>Issuance of Preferred Series C, net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24,496,946</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right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2"/>
                <w:szCs w:val="12"/>
                <w:color w:val="auto"/>
              </w:rPr>
              <w:t>117,324</w:t>
            </w: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220" w:type="dxa"/>
            <w:vAlign w:val="bottom"/>
            <w:gridSpan w:val="2"/>
            <w:vMerge w:val="restart"/>
            <w:shd w:val="clear" w:color="auto" w:fill="CCEEFF"/>
          </w:tcPr>
          <w:p>
            <w:pPr>
              <w:spacing w:after="0"/>
              <w:rPr>
                <w:sz w:val="10"/>
                <w:szCs w:val="10"/>
                <w:color w:val="auto"/>
              </w:rPr>
            </w:pP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of issuance costs</w:t>
            </w: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right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220" w:type="dxa"/>
            <w:vAlign w:val="bottom"/>
            <w:tcBorders>
              <w:bottom w:val="single" w:sz="8" w:color="auto"/>
            </w:tcBorders>
            <w:gridSpan w:val="2"/>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2060" w:type="dxa"/>
            <w:vAlign w:val="bottom"/>
          </w:tcPr>
          <w:p>
            <w:pPr>
              <w:ind w:left="240"/>
              <w:spacing w:after="0"/>
              <w:rPr>
                <w:sz w:val="20"/>
                <w:szCs w:val="20"/>
                <w:color w:val="auto"/>
              </w:rPr>
            </w:pPr>
            <w:r>
              <w:rPr>
                <w:rFonts w:ascii="Arial" w:cs="Arial" w:eastAsia="Arial" w:hAnsi="Arial"/>
                <w:sz w:val="12"/>
                <w:szCs w:val="12"/>
                <w:b w:val="1"/>
                <w:bCs w:val="1"/>
                <w:color w:val="auto"/>
                <w:w w:val="98"/>
              </w:rPr>
              <w:t>Balances at September 30, 2020</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171,535,213</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334,439</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w w:val="89"/>
              </w:rPr>
              <w:t>124</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w w:val="82"/>
              </w:rPr>
              <w:t>—</w:t>
            </w:r>
          </w:p>
        </w:tc>
        <w:tc>
          <w:tcPr>
            <w:tcW w:w="80" w:type="dxa"/>
            <w:vAlign w:val="bottom"/>
          </w:tcPr>
          <w:p>
            <w:pPr>
              <w:spacing w:after="0"/>
              <w:rPr>
                <w:sz w:val="13"/>
                <w:szCs w:val="13"/>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(204,368)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(204,3</w:t>
            </w:r>
          </w:p>
        </w:tc>
        <w:tc>
          <w:tcPr>
            <w:tcW w:w="0" w:type="dxa"/>
            <w:vAlign w:val="bottom"/>
          </w:tcPr>
          <w:p>
            <w:pPr>
              <w:spacing w:after="0"/>
              <w:rPr>
                <w:sz w:val="1"/>
                <w:szCs w:val="1"/>
                <w:color w:val="auto"/>
              </w:rPr>
            </w:pPr>
          </w:p>
        </w:tc>
      </w:tr>
      <w:tr>
        <w:trPr>
          <w:trHeight w:val="329"/>
        </w:trPr>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10"/>
          </w:tcPr>
          <w:p>
            <w:pPr>
              <w:ind w:left="360"/>
              <w:spacing w:after="0"/>
              <w:rPr>
                <w:sz w:val="20"/>
                <w:szCs w:val="20"/>
                <w:color w:val="auto"/>
              </w:rPr>
            </w:pPr>
            <w:r>
              <w:rPr>
                <w:rFonts w:ascii="Arial" w:cs="Arial" w:eastAsia="Arial" w:hAnsi="Arial"/>
                <w:sz w:val="11"/>
                <w:szCs w:val="11"/>
                <w:b w:val="1"/>
                <w:bCs w:val="1"/>
                <w:color w:val="auto"/>
              </w:rPr>
              <w:t>Nine months ended September 30, 2020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bottom w:val="single" w:sz="8" w:color="auto"/>
              <w:right w:val="single" w:sz="8" w:color="auto"/>
            </w:tcBorders>
            <w:gridSpan w:val="9"/>
          </w:tcPr>
          <w:p>
            <w:pPr>
              <w:ind w:left="100"/>
              <w:spacing w:after="0"/>
              <w:rPr>
                <w:sz w:val="20"/>
                <w:szCs w:val="20"/>
                <w:color w:val="auto"/>
              </w:rPr>
            </w:pPr>
            <w:r>
              <w:rPr>
                <w:rFonts w:ascii="Arial" w:cs="Arial" w:eastAsia="Arial" w:hAnsi="Arial"/>
                <w:sz w:val="10"/>
                <w:szCs w:val="10"/>
                <w:b w:val="1"/>
                <w:bCs w:val="1"/>
                <w:color w:val="auto"/>
                <w:w w:val="94"/>
              </w:rPr>
              <w:t>Redeemable Convertible Preferred Stock</w:t>
            </w:r>
          </w:p>
        </w:tc>
        <w:tc>
          <w:tcPr>
            <w:tcW w:w="40" w:type="dxa"/>
            <w:vAlign w:val="bottom"/>
          </w:tcPr>
          <w:p>
            <w:pPr>
              <w:spacing w:after="0"/>
              <w:rPr>
                <w:sz w:val="11"/>
                <w:szCs w:val="11"/>
                <w:color w:val="auto"/>
              </w:rPr>
            </w:pPr>
          </w:p>
        </w:tc>
        <w:tc>
          <w:tcPr>
            <w:tcW w:w="1880" w:type="dxa"/>
            <w:vAlign w:val="bottom"/>
            <w:tcBorders>
              <w:bottom w:val="single" w:sz="8" w:color="auto"/>
            </w:tcBorders>
            <w:gridSpan w:val="8"/>
          </w:tcPr>
          <w:p>
            <w:pPr>
              <w:ind w:left="460"/>
              <w:spacing w:after="0"/>
              <w:rPr>
                <w:sz w:val="20"/>
                <w:szCs w:val="20"/>
                <w:color w:val="auto"/>
              </w:rPr>
            </w:pPr>
            <w:r>
              <w:rPr>
                <w:rFonts w:ascii="Arial" w:cs="Arial" w:eastAsia="Arial" w:hAnsi="Arial"/>
                <w:sz w:val="10"/>
                <w:szCs w:val="10"/>
                <w:b w:val="1"/>
                <w:bCs w:val="1"/>
                <w:color w:val="auto"/>
              </w:rPr>
              <w:t>Class A Common Stock</w:t>
            </w:r>
          </w:p>
        </w:tc>
        <w:tc>
          <w:tcPr>
            <w:tcW w:w="60" w:type="dxa"/>
            <w:vAlign w:val="bottom"/>
          </w:tcPr>
          <w:p>
            <w:pPr>
              <w:spacing w:after="0"/>
              <w:rPr>
                <w:sz w:val="11"/>
                <w:szCs w:val="11"/>
                <w:color w:val="auto"/>
              </w:rPr>
            </w:pPr>
          </w:p>
        </w:tc>
        <w:tc>
          <w:tcPr>
            <w:tcW w:w="1680" w:type="dxa"/>
            <w:vAlign w:val="bottom"/>
            <w:tcBorders>
              <w:bottom w:val="single" w:sz="8" w:color="auto"/>
            </w:tcBorders>
            <w:gridSpan w:val="6"/>
          </w:tcPr>
          <w:p>
            <w:pPr>
              <w:ind w:left="460"/>
              <w:spacing w:after="0"/>
              <w:rPr>
                <w:sz w:val="20"/>
                <w:szCs w:val="20"/>
                <w:color w:val="auto"/>
              </w:rPr>
            </w:pPr>
            <w:r>
              <w:rPr>
                <w:rFonts w:ascii="Arial" w:cs="Arial" w:eastAsia="Arial" w:hAnsi="Arial"/>
                <w:sz w:val="10"/>
                <w:szCs w:val="10"/>
                <w:b w:val="1"/>
                <w:bCs w:val="1"/>
                <w:color w:val="auto"/>
              </w:rPr>
              <w:t>Class B Common Stock</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9"/>
              </w:rPr>
              <w:t>Additional 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w w:val="85"/>
              </w:rPr>
              <w:t>Total stockholders’</w:t>
            </w:r>
          </w:p>
        </w:tc>
        <w:tc>
          <w:tcPr>
            <w:tcW w:w="0" w:type="dxa"/>
            <w:vAlign w:val="bottom"/>
          </w:tcPr>
          <w:p>
            <w:pPr>
              <w:spacing w:after="0"/>
              <w:rPr>
                <w:sz w:val="1"/>
                <w:szCs w:val="1"/>
                <w:color w:val="auto"/>
              </w:rPr>
            </w:pPr>
          </w:p>
        </w:tc>
      </w:tr>
      <w:tr>
        <w:trPr>
          <w:trHeight w:val="73"/>
        </w:trPr>
        <w:tc>
          <w:tcPr>
            <w:tcW w:w="2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gridSpan w:val="3"/>
            <w:vMerge w:val="restart"/>
          </w:tcPr>
          <w:p>
            <w:pPr>
              <w:jc w:val="right"/>
              <w:ind w:right="36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6"/>
                <w:szCs w:val="6"/>
                <w:color w:val="auto"/>
              </w:rPr>
            </w:pPr>
          </w:p>
        </w:tc>
        <w:tc>
          <w:tcPr>
            <w:tcW w:w="92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0"/>
                <w:szCs w:val="10"/>
                <w:b w:val="1"/>
                <w:bCs w:val="1"/>
                <w:color w:val="auto"/>
              </w:rPr>
              <w:t>Par value</w:t>
            </w:r>
          </w:p>
        </w:tc>
        <w:tc>
          <w:tcPr>
            <w:tcW w:w="66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w w:val="95"/>
              </w:rPr>
              <w:t>Shares</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w w:val="98"/>
              </w:rPr>
              <w:t>Par value</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0"/>
                <w:szCs w:val="10"/>
                <w:b w:val="1"/>
                <w:bCs w:val="1"/>
                <w:color w:val="auto"/>
                <w:w w:val="88"/>
              </w:rPr>
              <w:t>Accumulated deficit</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240"/>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9"/>
              </w:rPr>
              <w:t>equity (deficit)</w:t>
            </w:r>
          </w:p>
        </w:tc>
        <w:tc>
          <w:tcPr>
            <w:tcW w:w="0" w:type="dxa"/>
            <w:vAlign w:val="bottom"/>
          </w:tcPr>
          <w:p>
            <w:pPr>
              <w:spacing w:after="0"/>
              <w:rPr>
                <w:sz w:val="1"/>
                <w:szCs w:val="1"/>
                <w:color w:val="auto"/>
              </w:rPr>
            </w:pPr>
          </w:p>
        </w:tc>
      </w:tr>
      <w:tr>
        <w:trPr>
          <w:trHeight w:val="143"/>
        </w:trPr>
        <w:tc>
          <w:tcPr>
            <w:tcW w:w="24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2019</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4"/>
            <w:shd w:val="clear" w:color="auto" w:fill="CCEEFF"/>
          </w:tcPr>
          <w:p>
            <w:pPr>
              <w:ind w:left="320"/>
              <w:spacing w:after="0"/>
              <w:rPr>
                <w:sz w:val="20"/>
                <w:szCs w:val="20"/>
                <w:color w:val="auto"/>
              </w:rPr>
            </w:pPr>
            <w:r>
              <w:rPr>
                <w:rFonts w:ascii="Arial" w:cs="Arial" w:eastAsia="Arial" w:hAnsi="Arial"/>
                <w:sz w:val="12"/>
                <w:szCs w:val="12"/>
                <w:b w:val="1"/>
                <w:bCs w:val="1"/>
                <w:color w:val="auto"/>
                <w:w w:val="89"/>
              </w:rPr>
              <w:t>147,038,267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217,115</w:t>
            </w:r>
          </w:p>
        </w:tc>
        <w:tc>
          <w:tcPr>
            <w:tcW w:w="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3"/>
            <w:shd w:val="clear" w:color="auto" w:fill="CCEEFF"/>
          </w:tcPr>
          <w:p>
            <w:pPr>
              <w:jc w:val="center"/>
              <w:ind w:left="685"/>
              <w:spacing w:after="0"/>
              <w:rPr>
                <w:sz w:val="20"/>
                <w:szCs w:val="20"/>
                <w:color w:val="auto"/>
              </w:rPr>
            </w:pPr>
            <w:r>
              <w:rPr>
                <w:rFonts w:ascii="Arial" w:cs="Arial" w:eastAsia="Arial" w:hAnsi="Arial"/>
                <w:sz w:val="12"/>
                <w:szCs w:val="12"/>
                <w:b w:val="1"/>
                <w:bCs w:val="1"/>
                <w:color w:val="auto"/>
                <w:w w:val="89"/>
              </w:rPr>
              <w:t>124</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2"/>
                <w:szCs w:val="12"/>
                <w:b w:val="1"/>
                <w:bCs w:val="1"/>
                <w:color w:val="auto"/>
                <w:w w:val="82"/>
              </w:rPr>
              <w:t>—</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(88,711)</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(88,711)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gridSpan w:val="3"/>
          </w:tcPr>
          <w:p>
            <w:pPr>
              <w:ind w:left="120"/>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5"/>
                <w:szCs w:val="5"/>
                <w:color w:val="auto"/>
                <w:w w:val="79"/>
              </w:rPr>
              <w:t>—</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gridSpan w:val="3"/>
          </w:tcPr>
          <w:p>
            <w:pPr>
              <w:ind w:left="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66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(115,657)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(115,657)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40" w:type="dxa"/>
            <w:vAlign w:val="bottom"/>
            <w:gridSpan w:val="3"/>
            <w:shd w:val="clear" w:color="auto" w:fill="CCEEFF"/>
          </w:tcPr>
          <w:p>
            <w:pPr>
              <w:ind w:left="120"/>
              <w:spacing w:after="0" w:line="117" w:lineRule="exact"/>
              <w:rPr>
                <w:sz w:val="20"/>
                <w:szCs w:val="20"/>
                <w:color w:val="auto"/>
              </w:rPr>
            </w:pPr>
            <w:r>
              <w:rPr>
                <w:rFonts w:ascii="Arial" w:cs="Arial" w:eastAsia="Arial" w:hAnsi="Arial"/>
                <w:sz w:val="12"/>
                <w:szCs w:val="12"/>
                <w:color w:val="auto"/>
                <w:w w:val="91"/>
              </w:rPr>
              <w:t>Issuance of Preferred Series C, net of issuance</w:t>
            </w:r>
          </w:p>
        </w:tc>
        <w:tc>
          <w:tcPr>
            <w:tcW w:w="102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24,496,946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117,324</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660"/>
              <w:spacing w:after="0"/>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4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costs</w:t>
            </w:r>
          </w:p>
        </w:tc>
        <w:tc>
          <w:tcPr>
            <w:tcW w:w="102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gridSpan w:val="3"/>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40" w:type="dxa"/>
            <w:vAlign w:val="bottom"/>
            <w:gridSpan w:val="3"/>
          </w:tcPr>
          <w:p>
            <w:pPr>
              <w:spacing w:after="0"/>
              <w:rPr>
                <w:sz w:val="20"/>
                <w:szCs w:val="20"/>
                <w:color w:val="auto"/>
              </w:rPr>
            </w:pPr>
            <w:r>
              <w:rPr>
                <w:rFonts w:ascii="Arial" w:cs="Arial" w:eastAsia="Arial" w:hAnsi="Arial"/>
                <w:sz w:val="12"/>
                <w:szCs w:val="12"/>
                <w:b w:val="1"/>
                <w:bCs w:val="1"/>
                <w:color w:val="auto"/>
              </w:rPr>
              <w:t>Balances at September 30, 2020</w:t>
            </w: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w w:val="89"/>
              </w:rPr>
              <w:t>171,535,213</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334,439</w:t>
            </w:r>
          </w:p>
        </w:tc>
        <w:tc>
          <w:tcPr>
            <w:tcW w:w="40" w:type="dxa"/>
            <w:vAlign w:val="bottom"/>
          </w:tcPr>
          <w:p>
            <w:pPr>
              <w:spacing w:after="0"/>
              <w:rPr>
                <w:sz w:val="13"/>
                <w:szCs w:val="13"/>
                <w:color w:val="auto"/>
              </w:rPr>
            </w:pPr>
          </w:p>
        </w:tc>
        <w:tc>
          <w:tcPr>
            <w:tcW w:w="920" w:type="dxa"/>
            <w:vAlign w:val="bottom"/>
            <w:tcBorders>
              <w:top w:val="single" w:sz="8" w:color="auto"/>
              <w:bottom w:val="single" w:sz="8" w:color="auto"/>
            </w:tcBorders>
            <w:gridSpan w:val="3"/>
          </w:tcPr>
          <w:p>
            <w:pPr>
              <w:jc w:val="center"/>
              <w:ind w:left="685"/>
              <w:spacing w:after="0"/>
              <w:rPr>
                <w:sz w:val="20"/>
                <w:szCs w:val="20"/>
                <w:color w:val="auto"/>
              </w:rPr>
            </w:pPr>
            <w:r>
              <w:rPr>
                <w:rFonts w:ascii="Arial" w:cs="Arial" w:eastAsia="Arial" w:hAnsi="Arial"/>
                <w:sz w:val="12"/>
                <w:szCs w:val="12"/>
                <w:b w:val="1"/>
                <w:bCs w:val="1"/>
                <w:color w:val="auto"/>
                <w:w w:val="89"/>
              </w:rPr>
              <w:t>124</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2"/>
                <w:szCs w:val="12"/>
                <w:b w:val="1"/>
                <w:bCs w:val="1"/>
                <w:color w:val="auto"/>
                <w:w w:val="82"/>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(204,368)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(204,368)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40" w:right="23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5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auto"/>
              </w:rPr>
              <w:t>Nine months ended September 30,</w:t>
            </w:r>
          </w:p>
        </w:tc>
        <w:tc>
          <w:tcPr>
            <w:tcW w:w="560" w:type="dxa"/>
            <w:vAlign w:val="bottom"/>
            <w:tcBorders>
              <w:bottom w:val="single" w:sz="8" w:color="auto"/>
            </w:tcBorders>
          </w:tcPr>
          <w:p>
            <w:pPr>
              <w:spacing w:after="0"/>
              <w:rPr>
                <w:sz w:val="11"/>
                <w:szCs w:val="11"/>
                <w:color w:val="auto"/>
              </w:rPr>
            </w:pPr>
          </w:p>
        </w:tc>
      </w:tr>
      <w:tr>
        <w:trPr>
          <w:trHeight w:val="118"/>
        </w:trPr>
        <w:tc>
          <w:tcPr>
            <w:tcW w:w="5140" w:type="dxa"/>
            <w:vAlign w:val="bottom"/>
            <w:tcBorders>
              <w:bottom w:val="single" w:sz="8" w:color="CCEEFF"/>
            </w:tcBorders>
          </w:tcPr>
          <w:p>
            <w:pPr>
              <w:spacing w:after="0"/>
              <w:rPr>
                <w:sz w:val="10"/>
                <w:szCs w:val="10"/>
                <w:color w:val="auto"/>
              </w:rPr>
            </w:pPr>
          </w:p>
        </w:tc>
        <w:tc>
          <w:tcPr>
            <w:tcW w:w="310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r>
      <w:tr>
        <w:trPr>
          <w:trHeight w:val="134"/>
        </w:trPr>
        <w:tc>
          <w:tcPr>
            <w:tcW w:w="51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Operating activities</w:t>
            </w:r>
          </w:p>
        </w:tc>
        <w:tc>
          <w:tcPr>
            <w:tcW w:w="3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Net loss</w:t>
            </w:r>
          </w:p>
        </w:tc>
        <w:tc>
          <w:tcPr>
            <w:tcW w:w="402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tcPr>
          <w:p>
            <w:pPr>
              <w:spacing w:after="0"/>
              <w:rPr>
                <w:sz w:val="13"/>
                <w:szCs w:val="13"/>
                <w:color w:val="auto"/>
              </w:rPr>
            </w:pP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(115,657)</w:t>
            </w:r>
          </w:p>
        </w:tc>
      </w:tr>
      <w:tr>
        <w:trPr>
          <w:trHeight w:val="171"/>
        </w:trPr>
        <w:tc>
          <w:tcPr>
            <w:tcW w:w="514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3"/>
        </w:trPr>
        <w:tc>
          <w:tcPr>
            <w:tcW w:w="51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 expense</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16,012</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8,147</w:t>
            </w:r>
          </w:p>
        </w:tc>
      </w:tr>
      <w:tr>
        <w:trPr>
          <w:trHeight w:val="153"/>
        </w:trPr>
        <w:tc>
          <w:tcPr>
            <w:tcW w:w="5140" w:type="dxa"/>
            <w:vAlign w:val="bottom"/>
          </w:tcPr>
          <w:p>
            <w:pPr>
              <w:ind w:left="120"/>
              <w:spacing w:after="0"/>
              <w:rPr>
                <w:sz w:val="20"/>
                <w:szCs w:val="20"/>
                <w:color w:val="auto"/>
              </w:rPr>
            </w:pPr>
            <w:r>
              <w:rPr>
                <w:rFonts w:ascii="Arial" w:cs="Arial" w:eastAsia="Arial" w:hAnsi="Arial"/>
                <w:sz w:val="12"/>
                <w:szCs w:val="12"/>
                <w:color w:val="auto"/>
              </w:rPr>
              <w:t>Stock-based compensation expense</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182,454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30,073</w:t>
            </w:r>
          </w:p>
        </w:tc>
      </w:tr>
      <w:tr>
        <w:trPr>
          <w:trHeight w:val="162"/>
        </w:trPr>
        <w:tc>
          <w:tcPr>
            <w:tcW w:w="5140" w:type="dxa"/>
            <w:vAlign w:val="bottom"/>
            <w:shd w:val="clear" w:color="auto" w:fill="CCEEFF"/>
          </w:tcPr>
          <w:p>
            <w:pPr>
              <w:ind w:left="120"/>
              <w:spacing w:after="0"/>
              <w:rPr>
                <w:sz w:val="20"/>
                <w:szCs w:val="20"/>
                <w:color w:val="auto"/>
              </w:rPr>
            </w:pPr>
            <w:r>
              <w:rPr>
                <w:rFonts w:ascii="Arial" w:cs="Arial" w:eastAsia="Arial" w:hAnsi="Arial"/>
                <w:sz w:val="12"/>
                <w:szCs w:val="12"/>
                <w:color w:val="2B2A29"/>
              </w:rPr>
              <w:t>Change in fair value of warrant and contingent liabilities</w:t>
            </w:r>
          </w:p>
        </w:tc>
        <w:tc>
          <w:tcPr>
            <w:tcW w:w="3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(122,171)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5140" w:type="dxa"/>
            <w:vAlign w:val="bottom"/>
          </w:tcPr>
          <w:p>
            <w:pPr>
              <w:ind w:left="120"/>
              <w:spacing w:after="0"/>
              <w:rPr>
                <w:sz w:val="20"/>
                <w:szCs w:val="20"/>
                <w:color w:val="auto"/>
              </w:rPr>
            </w:pPr>
            <w:r>
              <w:rPr>
                <w:rFonts w:ascii="Arial" w:cs="Arial" w:eastAsia="Arial" w:hAnsi="Arial"/>
                <w:sz w:val="12"/>
                <w:szCs w:val="12"/>
                <w:color w:val="2B2A29"/>
              </w:rPr>
              <w:t>Provision for excess and obsolete inventory</w:t>
            </w:r>
          </w:p>
        </w:tc>
        <w:tc>
          <w:tcPr>
            <w:tcW w:w="3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1,122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lease expense</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2,203</w:t>
            </w:r>
          </w:p>
        </w:tc>
      </w:tr>
      <w:tr>
        <w:trPr>
          <w:trHeight w:val="153"/>
        </w:trPr>
        <w:tc>
          <w:tcPr>
            <w:tcW w:w="5140" w:type="dxa"/>
            <w:vAlign w:val="bottom"/>
          </w:tcPr>
          <w:p>
            <w:pPr>
              <w:ind w:left="120"/>
              <w:spacing w:after="0"/>
              <w:rPr>
                <w:sz w:val="20"/>
                <w:szCs w:val="20"/>
                <w:color w:val="auto"/>
              </w:rPr>
            </w:pPr>
            <w:r>
              <w:rPr>
                <w:rFonts w:ascii="Arial" w:cs="Arial" w:eastAsia="Arial" w:hAnsi="Arial"/>
                <w:sz w:val="12"/>
                <w:szCs w:val="12"/>
                <w:color w:val="auto"/>
              </w:rPr>
              <w:t>Loss on extinguishment of debt</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3"/>
        </w:trPr>
        <w:tc>
          <w:tcPr>
            <w:tcW w:w="514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10,787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(3,159)</w:t>
            </w:r>
          </w:p>
        </w:tc>
      </w:tr>
      <w:tr>
        <w:trPr>
          <w:trHeight w:val="153"/>
        </w:trPr>
        <w:tc>
          <w:tcPr>
            <w:tcW w:w="5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Inventory</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(8,105)</w:t>
            </w:r>
          </w:p>
        </w:tc>
      </w:tr>
      <w:tr>
        <w:trPr>
          <w:trHeight w:val="153"/>
        </w:trPr>
        <w:tc>
          <w:tcPr>
            <w:tcW w:w="514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(15,710)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516</w:t>
            </w:r>
          </w:p>
        </w:tc>
      </w:tr>
      <w:tr>
        <w:trPr>
          <w:trHeight w:val="153"/>
        </w:trPr>
        <w:tc>
          <w:tcPr>
            <w:tcW w:w="5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Due to/from related parties</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w:t>
            </w:r>
          </w:p>
        </w:tc>
      </w:tr>
      <w:tr>
        <w:trPr>
          <w:trHeight w:val="153"/>
        </w:trPr>
        <w:tc>
          <w:tcPr>
            <w:tcW w:w="5140" w:type="dxa"/>
            <w:vAlign w:val="bottom"/>
          </w:tcPr>
          <w:p>
            <w:pPr>
              <w:ind w:left="220"/>
              <w:spacing w:after="0"/>
              <w:rPr>
                <w:sz w:val="20"/>
                <w:szCs w:val="20"/>
                <w:color w:val="auto"/>
              </w:rPr>
            </w:pPr>
            <w:r>
              <w:rPr>
                <w:rFonts w:ascii="Arial" w:cs="Arial" w:eastAsia="Arial" w:hAnsi="Arial"/>
                <w:sz w:val="12"/>
                <w:szCs w:val="12"/>
                <w:color w:val="auto"/>
              </w:rPr>
              <w:t>Other assets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1,174</w:t>
            </w:r>
          </w:p>
        </w:tc>
      </w:tr>
      <w:tr>
        <w:trPr>
          <w:trHeight w:val="153"/>
        </w:trPr>
        <w:tc>
          <w:tcPr>
            <w:tcW w:w="5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 and accrued expenses</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w:t>
            </w:r>
          </w:p>
        </w:tc>
      </w:tr>
      <w:tr>
        <w:trPr>
          <w:trHeight w:val="153"/>
        </w:trPr>
        <w:tc>
          <w:tcPr>
            <w:tcW w:w="5140" w:type="dxa"/>
            <w:vAlign w:val="bottom"/>
          </w:tcPr>
          <w:p>
            <w:pPr>
              <w:ind w:left="220"/>
              <w:spacing w:after="0"/>
              <w:rPr>
                <w:sz w:val="20"/>
                <w:szCs w:val="20"/>
                <w:color w:val="auto"/>
              </w:rPr>
            </w:pPr>
            <w:r>
              <w:rPr>
                <w:rFonts w:ascii="Arial" w:cs="Arial" w:eastAsia="Arial" w:hAnsi="Arial"/>
                <w:sz w:val="12"/>
                <w:szCs w:val="12"/>
                <w:color w:val="auto"/>
              </w:rPr>
              <w:t>Contract liabilities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(1,290)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153"/>
        </w:trPr>
        <w:tc>
          <w:tcPr>
            <w:tcW w:w="5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liabilities</w:t>
            </w:r>
          </w:p>
        </w:tc>
        <w:tc>
          <w:tcPr>
            <w:tcW w:w="3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(3,375)</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10,068</w:t>
            </w:r>
          </w:p>
        </w:tc>
      </w:tr>
      <w:tr>
        <w:trPr>
          <w:trHeight w:val="142"/>
        </w:trPr>
        <w:tc>
          <w:tcPr>
            <w:tcW w:w="5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used in operating activities</w:t>
            </w:r>
          </w:p>
        </w:tc>
        <w:tc>
          <w:tcPr>
            <w:tcW w:w="3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(138,449)</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(74,795)</w:t>
            </w:r>
          </w:p>
        </w:tc>
      </w:tr>
      <w:tr>
        <w:trPr>
          <w:trHeight w:val="151"/>
        </w:trPr>
        <w:tc>
          <w:tcPr>
            <w:tcW w:w="51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(17,310)</w:t>
            </w:r>
          </w:p>
        </w:tc>
      </w:tr>
      <w:tr>
        <w:trPr>
          <w:trHeight w:val="153"/>
        </w:trPr>
        <w:tc>
          <w:tcPr>
            <w:tcW w:w="5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Development of internal-use software assets</w:t>
            </w:r>
          </w:p>
        </w:tc>
        <w:tc>
          <w:tcPr>
            <w:tcW w:w="3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(8,749)</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(3,165)</w:t>
            </w:r>
          </w:p>
        </w:tc>
      </w:tr>
      <w:tr>
        <w:trPr>
          <w:trHeight w:val="142"/>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3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(13,093)</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(20,475)</w:t>
            </w:r>
          </w:p>
        </w:tc>
      </w:tr>
      <w:tr>
        <w:trPr>
          <w:trHeight w:val="151"/>
        </w:trPr>
        <w:tc>
          <w:tcPr>
            <w:tcW w:w="5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w w:val="98"/>
              </w:rPr>
              <w:t>Proceeds from issuance of Series C redeemable convertible preferred stock, net of issuance costs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117,326</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PIPE issuance</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Proceeds from equity infusion from the merger, net of redemptions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442,684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Legacy Sema4 Shareholder payout</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(230,665)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Payment of transaction costs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(51,760)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Stock Appreciation Rights payout</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Repayment of long-term debt</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(8,741)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Capital lease principal payments</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(2,960)</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(3,384)</w:t>
            </w: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Long-term debt principal payments</w:t>
            </w: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long-term debt</w:t>
            </w:r>
          </w:p>
        </w:tc>
        <w:tc>
          <w:tcPr>
            <w:tcW w:w="3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w:t>
            </w:r>
          </w:p>
        </w:tc>
      </w:tr>
      <w:tr>
        <w:trPr>
          <w:trHeight w:val="153"/>
        </w:trPr>
        <w:tc>
          <w:tcPr>
            <w:tcW w:w="5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Exercise of stock options</w:t>
            </w:r>
          </w:p>
        </w:tc>
        <w:tc>
          <w:tcPr>
            <w:tcW w:w="3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995</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5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financing activities</w:t>
            </w:r>
          </w:p>
        </w:tc>
        <w:tc>
          <w:tcPr>
            <w:tcW w:w="3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494,758</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119,942</w:t>
            </w:r>
          </w:p>
        </w:tc>
      </w:tr>
      <w:tr>
        <w:trPr>
          <w:trHeight w:val="151"/>
        </w:trPr>
        <w:tc>
          <w:tcPr>
            <w:tcW w:w="5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2"/>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cash equivalents and restricted cash</w:t>
            </w:r>
          </w:p>
        </w:tc>
        <w:tc>
          <w:tcPr>
            <w:tcW w:w="3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343,216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24,672</w:t>
            </w:r>
          </w:p>
        </w:tc>
      </w:tr>
      <w:tr>
        <w:trPr>
          <w:trHeight w:val="153"/>
        </w:trPr>
        <w:tc>
          <w:tcPr>
            <w:tcW w:w="5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and restricted cash, at beginning of period</w:t>
            </w:r>
          </w:p>
        </w:tc>
        <w:tc>
          <w:tcPr>
            <w:tcW w:w="3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118,960</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115,006</w:t>
            </w:r>
          </w:p>
        </w:tc>
      </w:tr>
      <w:tr>
        <w:trPr>
          <w:trHeight w:val="142"/>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at end of period</w:t>
            </w:r>
          </w:p>
        </w:tc>
        <w:tc>
          <w:tcPr>
            <w:tcW w:w="4020" w:type="dxa"/>
            <w:vAlign w:val="bottom"/>
            <w:gridSpan w:val="2"/>
            <w:shd w:val="clear" w:color="auto" w:fill="CCEEFF"/>
          </w:tcPr>
          <w:p>
            <w:pPr>
              <w:jc w:val="right"/>
              <w:ind w:right="792"/>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462,176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139,678</w:t>
            </w:r>
          </w:p>
        </w:tc>
      </w:tr>
      <w:tr>
        <w:trPr>
          <w:trHeight w:val="603"/>
        </w:trPr>
        <w:tc>
          <w:tcPr>
            <w:tcW w:w="5140" w:type="dxa"/>
            <w:vAlign w:val="bottom"/>
          </w:tcPr>
          <w:p>
            <w:pPr>
              <w:spacing w:after="0"/>
              <w:rPr>
                <w:sz w:val="24"/>
                <w:szCs w:val="24"/>
                <w:color w:val="auto"/>
              </w:rPr>
            </w:pPr>
          </w:p>
        </w:tc>
        <w:tc>
          <w:tcPr>
            <w:tcW w:w="3100" w:type="dxa"/>
            <w:vAlign w:val="bottom"/>
          </w:tcPr>
          <w:p>
            <w:pPr>
              <w:jc w:val="right"/>
              <w:ind w:right="2500"/>
              <w:spacing w:after="0"/>
              <w:rPr>
                <w:sz w:val="20"/>
                <w:szCs w:val="20"/>
                <w:color w:val="auto"/>
              </w:rPr>
            </w:pPr>
            <w:r>
              <w:rPr>
                <w:rFonts w:ascii="Arial" w:cs="Arial" w:eastAsia="Arial" w:hAnsi="Arial"/>
                <w:sz w:val="12"/>
                <w:szCs w:val="12"/>
                <w:color w:val="auto"/>
              </w:rPr>
              <w:t>9</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0"/>
        </w:trPr>
        <w:tc>
          <w:tcPr>
            <w:tcW w:w="5140" w:type="dxa"/>
            <w:vAlign w:val="bottom"/>
            <w:tcBorders>
              <w:bottom w:val="single" w:sz="8" w:color="9A9A9A"/>
            </w:tcBorders>
          </w:tcPr>
          <w:p>
            <w:pPr>
              <w:spacing w:after="0"/>
              <w:rPr>
                <w:sz w:val="15"/>
                <w:szCs w:val="15"/>
                <w:color w:val="auto"/>
              </w:rPr>
            </w:pPr>
          </w:p>
        </w:tc>
        <w:tc>
          <w:tcPr>
            <w:tcW w:w="31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2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2"/>
                <w:szCs w:val="12"/>
                <w:color w:val="auto"/>
              </w:rPr>
              <w:t>Cash paid for interest</w:t>
            </w:r>
          </w:p>
        </w:tc>
        <w:tc>
          <w:tcPr>
            <w:tcW w:w="282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2,128</w:t>
            </w:r>
          </w:p>
        </w:tc>
        <w:tc>
          <w:tcPr>
            <w:tcW w:w="68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1,826</w:t>
            </w:r>
          </w:p>
        </w:tc>
      </w:tr>
      <w:tr>
        <w:trPr>
          <w:trHeight w:val="162"/>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Cash paid for taxes</w:t>
            </w:r>
          </w:p>
        </w:tc>
        <w:tc>
          <w:tcPr>
            <w:tcW w:w="28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w:t>
            </w: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6040" w:type="dxa"/>
            <w:vAlign w:val="bottom"/>
          </w:tcPr>
          <w:p>
            <w:pPr>
              <w:spacing w:after="0"/>
              <w:rPr>
                <w:sz w:val="20"/>
                <w:szCs w:val="20"/>
                <w:color w:val="auto"/>
              </w:rPr>
            </w:pPr>
            <w:r>
              <w:rPr>
                <w:rFonts w:ascii="Arial" w:cs="Arial" w:eastAsia="Arial" w:hAnsi="Arial"/>
                <w:sz w:val="12"/>
                <w:szCs w:val="12"/>
                <w:color w:val="auto"/>
              </w:rPr>
              <w:t>Purchases of property and equipment in accounts payable and accrued expenses</w:t>
            </w:r>
          </w:p>
        </w:tc>
        <w:tc>
          <w:tcPr>
            <w:tcW w:w="282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193</w:t>
            </w:r>
          </w:p>
        </w:tc>
        <w:tc>
          <w:tcPr>
            <w:tcW w:w="68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268</w:t>
            </w:r>
          </w:p>
        </w:tc>
      </w:tr>
      <w:tr>
        <w:trPr>
          <w:trHeight w:val="162"/>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Software development costs in accounts payable and accrued expenses</w:t>
            </w:r>
          </w:p>
        </w:tc>
        <w:tc>
          <w:tcPr>
            <w:tcW w:w="28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1,228</w:t>
            </w: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1,629</w:t>
            </w:r>
          </w:p>
        </w:tc>
      </w:tr>
      <w:tr>
        <w:trPr>
          <w:trHeight w:val="153"/>
        </w:trPr>
        <w:tc>
          <w:tcPr>
            <w:tcW w:w="6040" w:type="dxa"/>
            <w:vAlign w:val="bottom"/>
          </w:tcPr>
          <w:p>
            <w:pPr>
              <w:spacing w:after="0"/>
              <w:rPr>
                <w:sz w:val="20"/>
                <w:szCs w:val="20"/>
                <w:color w:val="auto"/>
              </w:rPr>
            </w:pPr>
            <w:r>
              <w:rPr>
                <w:rFonts w:ascii="Arial" w:cs="Arial" w:eastAsia="Arial" w:hAnsi="Arial"/>
                <w:sz w:val="12"/>
                <w:szCs w:val="12"/>
                <w:color w:val="auto"/>
              </w:rPr>
              <w:t>Assets acquired under capital leases obligations</w:t>
            </w:r>
          </w:p>
        </w:tc>
        <w:tc>
          <w:tcPr>
            <w:tcW w:w="282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641</w:t>
            </w:r>
          </w:p>
        </w:tc>
        <w:tc>
          <w:tcPr>
            <w:tcW w:w="68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5,637</w:t>
            </w:r>
          </w:p>
        </w:tc>
      </w:tr>
    </w:tbl>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12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Mount Sinai Genomics Inc., a Delaware corporation (“Legacy Sema4”)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recent novel coronavirus (“COVID-19”) outbreak. Legacy Sema4 serves patients and bills third-party payors across the United States, with a substantial portion of its diagnostic testing volume occurring in New York, California, Florida, Connecticut and New Jersey.</w:t>
      </w:r>
    </w:p>
    <w:p>
      <w:pPr>
        <w:spacing w:after="0" w:line="10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93"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9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2020, 2019 and 2018.</w:t>
      </w:r>
    </w:p>
    <w:p>
      <w:pPr>
        <w:spacing w:after="0" w:line="10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Company’s historical financial information includes costs of certain services historically provided by Icahn School of Medicine at Mount Sinai (“ISMMS”) pursuant to the Transition Services Agreement ("TSA") and service agreements.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Except as described elsewhere in Note 2 and in Note 3, “Business Combination”, there have been no material changes to the Company’s significant accounting policies as described in the unaudited condensed consolidated financial statements for the periods ended September 30, 2021 and 2020.</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Although the Company has incurred recurring losses in each year since inception, the Company expects its cash and cash equivalents will be sufficient to fund operations for at least the next twelve months from the date of filing of this Form 10-Q.</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13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warrant liability and earn-out contingent liability.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 and Other Risks and Uncertainties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and cash equivalents and accounts receivable.</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9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Company assesses both the customer and, if applicable, the third-party payor that reimburses the Company on the customer’s behalf when evaluating the concentration of credit risk. Significant customers and payors are those that represent more than 10% of the Company’s total annual revenues or accounts receivable balance at each respective balance sheet date. The significant concentrations of accounts receivable as of September 30, 2021 and December 31, 2020 were primarily from large managed care insurance companies and a reference laboratory. There was no individual customer that accounted for 10% or more of the Company’s revenue or accounts receivable for any of the periods presented. The Company does not require collateral as a means to mitigate customer credit risk.</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 each significant payor, revenue as a percentage of total revenues and accounts receivable as a percentage of total accounts receivable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1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ind w:left="320"/>
              <w:spacing w:after="0"/>
              <w:rPr>
                <w:sz w:val="20"/>
                <w:szCs w:val="20"/>
                <w:color w:val="auto"/>
              </w:rPr>
            </w:pPr>
            <w:r>
              <w:rPr>
                <w:rFonts w:ascii="Arial" w:cs="Arial" w:eastAsia="Arial" w:hAnsi="Arial"/>
                <w:sz w:val="10"/>
                <w:szCs w:val="10"/>
                <w:b w:val="1"/>
                <w:bCs w:val="1"/>
                <w:color w:val="auto"/>
              </w:rPr>
              <w:t>Revenue</w:t>
            </w:r>
          </w:p>
        </w:tc>
        <w:tc>
          <w:tcPr>
            <w:tcW w:w="7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7"/>
              </w:rPr>
              <w:t>Accounts Receivable</w:t>
            </w: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40" w:type="dxa"/>
            <w:vAlign w:val="bottom"/>
          </w:tcPr>
          <w:p>
            <w:pPr>
              <w:spacing w:after="0"/>
              <w:rPr>
                <w:sz w:val="7"/>
                <w:szCs w:val="7"/>
                <w:color w:val="auto"/>
              </w:rPr>
            </w:pPr>
          </w:p>
        </w:tc>
        <w:tc>
          <w:tcPr>
            <w:tcW w:w="2520" w:type="dxa"/>
            <w:vAlign w:val="bottom"/>
            <w:gridSpan w:val="4"/>
            <w:vMerge w:val="restart"/>
          </w:tcPr>
          <w:p>
            <w:pPr>
              <w:jc w:val="right"/>
              <w:ind w:right="272"/>
              <w:spacing w:after="0"/>
              <w:rPr>
                <w:sz w:val="20"/>
                <w:szCs w:val="20"/>
                <w:color w:val="auto"/>
              </w:rPr>
            </w:pPr>
            <w:r>
              <w:rPr>
                <w:rFonts w:ascii="Arial" w:cs="Arial" w:eastAsia="Arial" w:hAnsi="Arial"/>
                <w:sz w:val="10"/>
                <w:szCs w:val="10"/>
                <w:b w:val="1"/>
                <w:bCs w:val="1"/>
                <w:color w:val="auto"/>
              </w:rPr>
              <w:t>Three months ended September 30,</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60" w:type="dxa"/>
            <w:vAlign w:val="bottom"/>
            <w:gridSpan w:val="4"/>
            <w:vMerge w:val="restart"/>
          </w:tcPr>
          <w:p>
            <w:pPr>
              <w:jc w:val="right"/>
              <w:ind w:right="292"/>
              <w:spacing w:after="0"/>
              <w:rPr>
                <w:sz w:val="20"/>
                <w:szCs w:val="20"/>
                <w:color w:val="auto"/>
              </w:rPr>
            </w:pPr>
            <w:r>
              <w:rPr>
                <w:rFonts w:ascii="Arial" w:cs="Arial" w:eastAsia="Arial" w:hAnsi="Arial"/>
                <w:sz w:val="10"/>
                <w:szCs w:val="10"/>
                <w:b w:val="1"/>
                <w:bCs w:val="1"/>
                <w:color w:val="auto"/>
              </w:rPr>
              <w:t>Nine months ended September 30,</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jc w:val="center"/>
              <w:ind w:left="374"/>
              <w:spacing w:after="0" w:line="83" w:lineRule="exact"/>
              <w:rPr>
                <w:sz w:val="20"/>
                <w:szCs w:val="20"/>
                <w:color w:val="auto"/>
              </w:rPr>
            </w:pPr>
            <w:r>
              <w:rPr>
                <w:rFonts w:ascii="Arial" w:cs="Arial" w:eastAsia="Arial" w:hAnsi="Arial"/>
                <w:sz w:val="8"/>
                <w:szCs w:val="8"/>
                <w:b w:val="1"/>
                <w:bCs w:val="1"/>
                <w:color w:val="auto"/>
              </w:rPr>
              <w:t>As of</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jc w:val="center"/>
              <w:ind w:right="385"/>
              <w:spacing w:after="0" w:line="83" w:lineRule="exact"/>
              <w:rPr>
                <w:sz w:val="20"/>
                <w:szCs w:val="20"/>
                <w:color w:val="auto"/>
              </w:rPr>
            </w:pPr>
            <w:r>
              <w:rPr>
                <w:rFonts w:ascii="Arial" w:cs="Arial" w:eastAsia="Arial" w:hAnsi="Arial"/>
                <w:sz w:val="8"/>
                <w:szCs w:val="8"/>
                <w:b w:val="1"/>
                <w:bCs w:val="1"/>
                <w:color w:val="auto"/>
              </w:rPr>
              <w:t>As of</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4"/>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bottom w:val="single" w:sz="8" w:color="auto"/>
            </w:tcBorders>
          </w:tcPr>
          <w:p>
            <w:pPr>
              <w:jc w:val="center"/>
              <w:ind w:left="374"/>
              <w:spacing w:after="0"/>
              <w:rPr>
                <w:sz w:val="20"/>
                <w:szCs w:val="20"/>
                <w:color w:val="auto"/>
              </w:rPr>
            </w:pPr>
            <w:r>
              <w:rPr>
                <w:rFonts w:ascii="Arial" w:cs="Arial" w:eastAsia="Arial" w:hAnsi="Arial"/>
                <w:sz w:val="10"/>
                <w:szCs w:val="10"/>
                <w:b w:val="1"/>
                <w:bCs w:val="1"/>
                <w:color w:val="auto"/>
                <w:w w:val="84"/>
              </w:rPr>
              <w:t>September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365"/>
              <w:spacing w:after="0"/>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center"/>
              <w:ind w:left="374"/>
              <w:spacing w:after="0"/>
              <w:rPr>
                <w:sz w:val="20"/>
                <w:szCs w:val="20"/>
                <w:color w:val="auto"/>
              </w:rPr>
            </w:pPr>
            <w:r>
              <w:rPr>
                <w:rFonts w:ascii="Arial" w:cs="Arial" w:eastAsia="Arial" w:hAnsi="Arial"/>
                <w:sz w:val="10"/>
                <w:szCs w:val="10"/>
                <w:b w:val="1"/>
                <w:bCs w:val="1"/>
                <w:color w:val="auto"/>
                <w:w w:val="80"/>
              </w:rPr>
              <w:t>2021</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385"/>
              <w:spacing w:after="0"/>
              <w:rPr>
                <w:sz w:val="20"/>
                <w:szCs w:val="20"/>
                <w:color w:val="auto"/>
              </w:rPr>
            </w:pPr>
            <w:r>
              <w:rPr>
                <w:rFonts w:ascii="Arial" w:cs="Arial" w:eastAsia="Arial" w:hAnsi="Arial"/>
                <w:sz w:val="10"/>
                <w:szCs w:val="10"/>
                <w:b w:val="1"/>
                <w:bCs w:val="1"/>
                <w:color w:val="auto"/>
                <w:w w:val="80"/>
              </w:rPr>
              <w:t>2020</w:t>
            </w:r>
          </w:p>
        </w:tc>
        <w:tc>
          <w:tcPr>
            <w:tcW w:w="0" w:type="dxa"/>
            <w:vAlign w:val="bottom"/>
          </w:tcPr>
          <w:p>
            <w:pPr>
              <w:spacing w:after="0"/>
              <w:rPr>
                <w:sz w:val="1"/>
                <w:szCs w:val="1"/>
                <w:color w:val="auto"/>
              </w:rPr>
            </w:pPr>
          </w:p>
        </w:tc>
      </w:tr>
      <w:tr>
        <w:trPr>
          <w:trHeight w:val="143"/>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Payor A</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34 %</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0" w:type="dxa"/>
            <w:vAlign w:val="bottom"/>
          </w:tcPr>
          <w:p>
            <w:pPr>
              <w:spacing w:after="0"/>
              <w:rPr>
                <w:sz w:val="1"/>
                <w:szCs w:val="1"/>
                <w:color w:val="auto"/>
              </w:rPr>
            </w:pPr>
          </w:p>
        </w:tc>
      </w:tr>
      <w:tr>
        <w:trPr>
          <w:trHeight w:val="153"/>
        </w:trPr>
        <w:tc>
          <w:tcPr>
            <w:tcW w:w="3120" w:type="dxa"/>
            <w:vAlign w:val="bottom"/>
            <w:gridSpan w:val="2"/>
          </w:tcPr>
          <w:p>
            <w:pPr>
              <w:spacing w:after="0"/>
              <w:rPr>
                <w:sz w:val="20"/>
                <w:szCs w:val="20"/>
                <w:color w:val="auto"/>
              </w:rPr>
            </w:pPr>
            <w:r>
              <w:rPr>
                <w:rFonts w:ascii="Arial" w:cs="Arial" w:eastAsia="Arial" w:hAnsi="Arial"/>
                <w:sz w:val="12"/>
                <w:szCs w:val="12"/>
                <w:color w:val="auto"/>
              </w:rPr>
              <w:t>Payor B</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Payor C</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20" w:type="dxa"/>
            <w:vAlign w:val="bottom"/>
            <w:gridSpan w:val="2"/>
          </w:tcPr>
          <w:p>
            <w:pPr>
              <w:spacing w:after="0"/>
              <w:rPr>
                <w:sz w:val="20"/>
                <w:szCs w:val="20"/>
                <w:color w:val="auto"/>
              </w:rPr>
            </w:pPr>
            <w:r>
              <w:rPr>
                <w:rFonts w:ascii="Arial" w:cs="Arial" w:eastAsia="Arial" w:hAnsi="Arial"/>
                <w:sz w:val="12"/>
                <w:szCs w:val="12"/>
                <w:color w:val="auto"/>
              </w:rPr>
              <w:t>Payor D</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Payor E</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3120" w:type="dxa"/>
            <w:vAlign w:val="bottom"/>
            <w:gridSpan w:val="2"/>
          </w:tcPr>
          <w:p>
            <w:pPr>
              <w:spacing w:after="0"/>
              <w:rPr>
                <w:sz w:val="20"/>
                <w:szCs w:val="20"/>
                <w:color w:val="auto"/>
              </w:rPr>
            </w:pPr>
            <w:r>
              <w:rPr>
                <w:rFonts w:ascii="Arial" w:cs="Arial" w:eastAsia="Arial" w:hAnsi="Arial"/>
                <w:sz w:val="12"/>
                <w:szCs w:val="12"/>
                <w:color w:val="auto"/>
              </w:rPr>
              <w:t>*less than 10%</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428"/>
              <w:spacing w:after="0"/>
              <w:rPr>
                <w:sz w:val="20"/>
                <w:szCs w:val="20"/>
                <w:color w:val="auto"/>
              </w:rPr>
            </w:pPr>
            <w:r>
              <w:rPr>
                <w:rFonts w:ascii="Arial" w:cs="Arial" w:eastAsia="Arial" w:hAnsi="Arial"/>
                <w:sz w:val="12"/>
                <w:szCs w:val="12"/>
                <w:color w:val="auto"/>
              </w:rPr>
              <w:t>12</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ind w:firstLine="216"/>
        <w:spacing w:after="0" w:line="379" w:lineRule="auto"/>
        <w:rPr>
          <w:sz w:val="20"/>
          <w:szCs w:val="20"/>
          <w:color w:val="auto"/>
        </w:rPr>
      </w:pPr>
      <w:r>
        <w:rPr>
          <w:rFonts w:ascii="Arial" w:cs="Arial" w:eastAsia="Arial" w:hAnsi="Arial"/>
          <w:sz w:val="10"/>
          <w:szCs w:val="10"/>
          <w:color w:val="auto"/>
        </w:rPr>
        <w:t>The Company is subject to a concentration of risk from a limited number of suppliers for certain reagents and laboratory supplies. One supplier accounted for approximately 8% and 12% for the three months ended September 30, 2021 and 2020, respectively and 10% and 9% of purchases of lab supplies, reagents and kits for the nine months ended September 30, 2021 and 2020, respectively. This risk is managed by maintaining a target quantity of surplus stock.</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of COVID-19</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March 2020, the World Health Organization declared the COVID-19 outbreak a global pandemic. COVID-19 has had, and continues to have, an extensive impact on global health and economic conditions. Many jurisdictions, including those in which the Company has current operations, have implemented measures to combat the spread of COVID-19, such as travel restrictions and shelter in place orders. In addition, the healthcare sector generally experienced a decline in discretionary care services at the onset of the pandemic.</w:t>
      </w:r>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strains.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9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September 30, 2021 and December 31, 2020.</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During 2021, the Company received an additional $5.6 million under the PRF distribution, which was recognized in other income (expense), net in the condensed consolidated statements of operations and comprehensive loss.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Cash Equivalents and Restricted Cash</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Cash equivalents consist of amounts invested in money market funds. Carrying values of cash equivalents approximate fair value due to the short-term nature of these instruments.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following table provides a reconciliation of cash, cash equivalents and restricted cash reported on the condensed consolidated balance sheets that sum to the total of the same amounts shown on the condensed consolidated statements of cash flows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7"/>
              </w:rPr>
              <w:t>As of</w:t>
            </w:r>
          </w:p>
        </w:tc>
        <w:tc>
          <w:tcPr>
            <w:tcW w:w="200" w:type="dxa"/>
            <w:vAlign w:val="bottom"/>
          </w:tcPr>
          <w:p>
            <w:pPr>
              <w:spacing w:after="0"/>
              <w:rPr>
                <w:sz w:val="10"/>
                <w:szCs w:val="10"/>
                <w:color w:val="auto"/>
              </w:rPr>
            </w:pPr>
          </w:p>
        </w:tc>
        <w:tc>
          <w:tcPr>
            <w:tcW w:w="1280" w:type="dxa"/>
            <w:vAlign w:val="bottom"/>
          </w:tcPr>
          <w:p>
            <w:pPr>
              <w:jc w:val="right"/>
              <w:ind w:right="585"/>
              <w:spacing w:after="0"/>
              <w:rPr>
                <w:sz w:val="20"/>
                <w:szCs w:val="20"/>
                <w:color w:val="auto"/>
              </w:rPr>
            </w:pPr>
            <w:r>
              <w:rPr>
                <w:rFonts w:ascii="Arial" w:cs="Arial" w:eastAsia="Arial" w:hAnsi="Arial"/>
                <w:sz w:val="10"/>
                <w:szCs w:val="10"/>
                <w:b w:val="1"/>
                <w:bCs w:val="1"/>
                <w:color w:val="auto"/>
              </w:rPr>
              <w:t>As of</w:t>
            </w:r>
          </w:p>
        </w:tc>
      </w:tr>
      <w:tr>
        <w:trPr>
          <w:trHeight w:val="125"/>
        </w:trPr>
        <w:tc>
          <w:tcPr>
            <w:tcW w:w="8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September 30, 2021</w:t>
            </w:r>
          </w:p>
        </w:tc>
        <w:tc>
          <w:tcPr>
            <w:tcW w:w="200" w:type="dxa"/>
            <w:vAlign w:val="bottom"/>
          </w:tcPr>
          <w:p>
            <w:pPr>
              <w:spacing w:after="0"/>
              <w:rPr>
                <w:sz w:val="10"/>
                <w:szCs w:val="10"/>
                <w:color w:val="auto"/>
              </w:rPr>
            </w:pPr>
          </w:p>
        </w:tc>
        <w:tc>
          <w:tcPr>
            <w:tcW w:w="1280" w:type="dxa"/>
            <w:vAlign w:val="bottom"/>
          </w:tcPr>
          <w:p>
            <w:pPr>
              <w:jc w:val="right"/>
              <w:ind w:right="305"/>
              <w:spacing w:after="0"/>
              <w:rPr>
                <w:sz w:val="20"/>
                <w:szCs w:val="20"/>
                <w:color w:val="auto"/>
              </w:rPr>
            </w:pPr>
            <w:r>
              <w:rPr>
                <w:rFonts w:ascii="Arial" w:cs="Arial" w:eastAsia="Arial" w:hAnsi="Arial"/>
                <w:sz w:val="10"/>
                <w:szCs w:val="10"/>
                <w:b w:val="1"/>
                <w:bCs w:val="1"/>
                <w:color w:val="auto"/>
                <w:w w:val="99"/>
              </w:rPr>
              <w:t>December 31, 2020</w:t>
            </w:r>
          </w:p>
        </w:tc>
      </w:tr>
      <w:tr>
        <w:trPr>
          <w:trHeight w:val="143"/>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461,276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108,132</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cash</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10,828</w:t>
            </w:r>
          </w:p>
        </w:tc>
      </w:tr>
      <w:tr>
        <w:trPr>
          <w:trHeight w:val="158"/>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462,176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118,960</w:t>
            </w:r>
          </w:p>
        </w:tc>
      </w:tr>
    </w:tbl>
    <w:p>
      <w:pPr>
        <w:spacing w:after="0" w:line="171" w:lineRule="exact"/>
        <w:rPr>
          <w:sz w:val="20"/>
          <w:szCs w:val="20"/>
          <w:color w:val="auto"/>
        </w:rPr>
      </w:pPr>
    </w:p>
    <w:p>
      <w:pPr>
        <w:ind w:right="1100" w:firstLine="216"/>
        <w:spacing w:after="0" w:line="453" w:lineRule="auto"/>
        <w:rPr>
          <w:sz w:val="20"/>
          <w:szCs w:val="20"/>
          <w:color w:val="auto"/>
        </w:rPr>
      </w:pPr>
      <w:r>
        <w:rPr>
          <w:rFonts w:ascii="Arial" w:cs="Arial" w:eastAsia="Arial" w:hAnsi="Arial"/>
          <w:sz w:val="12"/>
          <w:szCs w:val="12"/>
          <w:color w:val="auto"/>
        </w:rPr>
        <w:t xml:space="preserve">Restricted cash as of September 30, 2021 consists of money market deposit accounts that secure an irrevocable standby letter of credit that serves as collateral for security deposit operating leases (see Note 9). </w:t>
      </w:r>
      <w:r>
        <w:rPr>
          <w:rFonts w:ascii="Arial" w:cs="Arial" w:eastAsia="Arial" w:hAnsi="Arial"/>
          <w:sz w:val="12"/>
          <w:szCs w:val="12"/>
          <w:b w:val="1"/>
          <w:bCs w:val="1"/>
          <w:i w:val="1"/>
          <w:iCs w:val="1"/>
          <w:color w:val="auto"/>
        </w:rPr>
        <w:t>Warrant Liability</w:t>
      </w:r>
    </w:p>
    <w:p>
      <w:pPr>
        <w:spacing w:after="0" w:line="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the consummation of the Merger in July 2021, there were 21,995,000 warrants to purchase shares of Class A common stock outstanding, including 14,758,333 public warrants and 7,236,667 private placement warrants. As of September 30,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A common stock at an exercise price of $11.50 per share, subject to adjustment, at any time commencing on September 4, 2021.</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may redeem the outstanding public warrants if the price per share of the common stock equals or exceeds $18.00 as described below:</w:t>
      </w:r>
    </w:p>
    <w:p>
      <w:pPr>
        <w:spacing w:after="0" w:line="168"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at a price of $0.01 per public warrant;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upon not less than 30 days’ prior written notice of redemption to each warrant holder; and</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may redeem the outstanding public warrants if the price per share of the common stock equals or exceeds $10.00 as described below:</w:t>
      </w:r>
    </w:p>
    <w:p>
      <w:pPr>
        <w:spacing w:after="0" w:line="168"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8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were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Earn-out contingent liability</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determined the fair value of the earn-out shares issued to the Legacy Sema4 stockholders as of September 30, 2021 was $61.4 million.</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for the earn-out RSUs for the Legacy Sema4 option holders, the vesting of such arrangement is conditioned on the satisfaction of both the service requirement and on the satisfaction of a market-based requirement. Therefore, the Company accounts for this arrangement in accordance with ASC 718- Compensation — Stock Compensation (“ASC 718”) and no amounts have been recorded in relation to the earn-out RSU during the quarter because they were not granted to the option holders during the three and nine months ended on September 30, 2021.</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estimated fair value of the earn-out is determined using a Monte Carlo valuation analysis.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Capitalized Internal-Use Software Costs</w:t>
      </w:r>
    </w:p>
    <w:p>
      <w:pPr>
        <w:spacing w:after="0" w:line="12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Emerging Growth Company</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3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unaudited condensed consolidated financial statements as the Company is not currently a participant in any such collaborative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 Not Yet Adopted</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February 2016, the FASB issued ASU 2016-02, Leases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and determining incremental borrowing rate and complete population of the leases for evaluation.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8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 xml:space="preserve">In June 2016, the FASB issued ASU 2016-13, </w:t>
      </w:r>
      <w:r>
        <w:rPr>
          <w:rFonts w:ascii="Arial" w:cs="Arial" w:eastAsia="Arial" w:hAnsi="Arial"/>
          <w:sz w:val="11"/>
          <w:szCs w:val="11"/>
          <w:i w:val="1"/>
          <w:iCs w:val="1"/>
          <w:color w:val="auto"/>
        </w:rPr>
        <w:t>Financial Instruments – Credit Losses (Topic 326): Measurement of Credit Losses on Financial Instruments</w:t>
      </w:r>
      <w:r>
        <w:rPr>
          <w:rFonts w:ascii="Arial" w:cs="Arial" w:eastAsia="Arial" w:hAnsi="Arial"/>
          <w:sz w:val="11"/>
          <w:szCs w:val="11"/>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86"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 xml:space="preserve">In August 2018, the FASB issued ASU 2018-15, </w:t>
      </w:r>
      <w:r>
        <w:rPr>
          <w:rFonts w:ascii="Arial" w:cs="Arial" w:eastAsia="Arial" w:hAnsi="Arial"/>
          <w:sz w:val="11"/>
          <w:szCs w:val="11"/>
          <w:i w:val="1"/>
          <w:iCs w:val="1"/>
          <w:color w:val="auto"/>
        </w:rPr>
        <w:t>Intangibles – Goodwill and Other – Internal-Use Software (Subtopic 350-40): Customer’s Accounting for Implementation Costs Incurred in a Cloud Computing Arrangement That Is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a Service Contract </w:t>
      </w:r>
      <w:r>
        <w:rPr>
          <w:rFonts w:ascii="Arial" w:cs="Arial" w:eastAsia="Arial" w:hAnsi="Arial"/>
          <w:sz w:val="11"/>
          <w:szCs w:val="11"/>
          <w:color w:val="auto"/>
        </w:rPr>
        <w:t>(“ASU 2018-15”), which aligns the requirements for capitalizing implementation costs incurred in a hosting arrangement that is a service contract with the requirements for capitalizing implementation costs incurred</w:t>
      </w:r>
      <w:r>
        <w:rPr>
          <w:rFonts w:ascii="Arial" w:cs="Arial" w:eastAsia="Arial" w:hAnsi="Arial"/>
          <w:sz w:val="11"/>
          <w:szCs w:val="11"/>
          <w:i w:val="1"/>
          <w:iCs w:val="1"/>
          <w:color w:val="auto"/>
        </w:rPr>
        <w:t xml:space="preserve"> </w:t>
      </w:r>
      <w:r>
        <w:rPr>
          <w:rFonts w:ascii="Arial" w:cs="Arial" w:eastAsia="Arial" w:hAnsi="Arial"/>
          <w:sz w:val="11"/>
          <w:szCs w:val="11"/>
          <w:color w:val="auto"/>
        </w:rPr>
        <w:t>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Additionally, ASU 2018-15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expecting to prospectively apply amendments to all implementation costs incurred after the date of adoption.</w:t>
      </w:r>
    </w:p>
    <w:p>
      <w:pPr>
        <w:spacing w:after="0" w:line="119"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12"/>
          <w:szCs w:val="12"/>
          <w:color w:val="auto"/>
        </w:rPr>
        <w:t>In December 2019, the FASB issued ASU 2019-12, Income Taxes (Topic 740): Simplifying the Accounting for Income Taxes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Business Combination</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discussed in Note 1, on July 22, 2021, the Company consummated the Business Combination and received net cash proceeds of $510.0 million.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Business Combination, the following occurred:</w:t>
      </w:r>
    </w:p>
    <w:p>
      <w:pPr>
        <w:spacing w:after="0" w:line="15" w:lineRule="exact"/>
        <w:rPr>
          <w:sz w:val="20"/>
          <w:szCs w:val="20"/>
          <w:color w:val="auto"/>
        </w:rPr>
      </w:pPr>
    </w:p>
    <w:p>
      <w:pPr>
        <w:ind w:left="420" w:hanging="212"/>
        <w:spacing w:after="0" w:line="26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235"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Each share of CMLS’s Class B common stock was automatically converted into common stock of the Company.</w:t>
      </w:r>
    </w:p>
    <w:p>
      <w:pPr>
        <w:spacing w:after="0" w:line="114"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86"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78"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97"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Diagnostic Revenue</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majority of the Company’s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Revenue</w:t>
      </w:r>
    </w:p>
    <w:p>
      <w:pPr>
        <w:spacing w:after="0" w:line="12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Disaggregated revenue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tables summarize the Company’s revenue disaggregated by type of customer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0"/>
                <w:szCs w:val="10"/>
                <w:b w:val="1"/>
                <w:bCs w:val="1"/>
                <w:color w:val="auto"/>
              </w:rPr>
              <w:t>Three months ended September 30,</w:t>
            </w:r>
          </w:p>
        </w:tc>
        <w:tc>
          <w:tcPr>
            <w:tcW w:w="540" w:type="dxa"/>
            <w:vAlign w:val="bottom"/>
            <w:tcBorders>
              <w:bottom w:val="single" w:sz="8" w:color="auto"/>
            </w:tcBorders>
          </w:tcPr>
          <w:p>
            <w:pPr>
              <w:spacing w:after="0"/>
              <w:rPr>
                <w:sz w:val="11"/>
                <w:szCs w:val="11"/>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r>
      <w:tr>
        <w:trPr>
          <w:trHeight w:val="134"/>
        </w:trPr>
        <w:tc>
          <w:tcPr>
            <w:tcW w:w="8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Diagnostic test revenue</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53"/>
        </w:trPr>
        <w:tc>
          <w:tcPr>
            <w:tcW w:w="8240" w:type="dxa"/>
            <w:vAlign w:val="bottom"/>
          </w:tcPr>
          <w:p>
            <w:pPr>
              <w:ind w:left="120"/>
              <w:spacing w:after="0"/>
              <w:rPr>
                <w:sz w:val="20"/>
                <w:szCs w:val="20"/>
                <w:color w:val="auto"/>
              </w:rPr>
            </w:pPr>
            <w:r>
              <w:rPr>
                <w:rFonts w:ascii="Arial" w:cs="Arial" w:eastAsia="Arial" w:hAnsi="Arial"/>
                <w:sz w:val="12"/>
                <w:szCs w:val="12"/>
                <w:color w:val="auto"/>
              </w:rPr>
              <w:t>Patients with third-party insurance</w:t>
            </w:r>
          </w:p>
        </w:tc>
        <w:tc>
          <w:tcPr>
            <w:tcW w:w="940" w:type="dxa"/>
            <w:vAlign w:val="bottom"/>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36,738</w:t>
            </w:r>
          </w:p>
        </w:tc>
        <w:tc>
          <w:tcPr>
            <w:tcW w:w="100" w:type="dxa"/>
            <w:vAlign w:val="bottom"/>
          </w:tcPr>
          <w:p>
            <w:pPr>
              <w:spacing w:after="0"/>
              <w:rPr>
                <w:sz w:val="13"/>
                <w:szCs w:val="13"/>
                <w:color w:val="auto"/>
              </w:rPr>
            </w:pP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31,627</w:t>
            </w: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Institutional customers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3,656</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5,796</w:t>
            </w:r>
          </w:p>
        </w:tc>
      </w:tr>
      <w:tr>
        <w:trPr>
          <w:trHeight w:val="15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Self-pay patients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1,016</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470</w:t>
            </w:r>
          </w:p>
        </w:tc>
      </w:tr>
      <w:tr>
        <w:trPr>
          <w:trHeight w:val="142"/>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Total diagnostic test revenue</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41,410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37,893</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revenue</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1,768</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w:t>
            </w:r>
          </w:p>
        </w:tc>
      </w:tr>
      <w:tr>
        <w:trPr>
          <w:trHeight w:val="149"/>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43,178</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38,608</w:t>
            </w:r>
          </w:p>
        </w:tc>
      </w:tr>
      <w:tr>
        <w:trPr>
          <w:trHeight w:val="20"/>
        </w:trPr>
        <w:tc>
          <w:tcPr>
            <w:tcW w:w="82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09"/>
        </w:trPr>
        <w:tc>
          <w:tcPr>
            <w:tcW w:w="824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0"/>
                <w:szCs w:val="10"/>
                <w:b w:val="1"/>
                <w:bCs w:val="1"/>
                <w:color w:val="auto"/>
              </w:rPr>
              <w:t>Nine months ended September 30,</w:t>
            </w:r>
          </w:p>
        </w:tc>
        <w:tc>
          <w:tcPr>
            <w:tcW w:w="540" w:type="dxa"/>
            <w:vAlign w:val="bottom"/>
            <w:tcBorders>
              <w:bottom w:val="single" w:sz="8" w:color="auto"/>
            </w:tcBorders>
          </w:tcPr>
          <w:p>
            <w:pPr>
              <w:spacing w:after="0"/>
              <w:rPr>
                <w:sz w:val="24"/>
                <w:szCs w:val="24"/>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r>
      <w:tr>
        <w:trPr>
          <w:trHeight w:val="134"/>
        </w:trPr>
        <w:tc>
          <w:tcPr>
            <w:tcW w:w="8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Diagnostic test revenue</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53"/>
        </w:trPr>
        <w:tc>
          <w:tcPr>
            <w:tcW w:w="8240" w:type="dxa"/>
            <w:vAlign w:val="bottom"/>
          </w:tcPr>
          <w:p>
            <w:pPr>
              <w:ind w:left="120"/>
              <w:spacing w:after="0"/>
              <w:rPr>
                <w:sz w:val="20"/>
                <w:szCs w:val="20"/>
                <w:color w:val="auto"/>
              </w:rPr>
            </w:pPr>
            <w:r>
              <w:rPr>
                <w:rFonts w:ascii="Arial" w:cs="Arial" w:eastAsia="Arial" w:hAnsi="Arial"/>
                <w:sz w:val="12"/>
                <w:szCs w:val="12"/>
                <w:color w:val="auto"/>
              </w:rPr>
              <w:t>Patients with third-party insurance</w:t>
            </w:r>
          </w:p>
        </w:tc>
        <w:tc>
          <w:tcPr>
            <w:tcW w:w="940" w:type="dxa"/>
            <w:vAlign w:val="bottom"/>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123,395</w:t>
            </w:r>
          </w:p>
        </w:tc>
        <w:tc>
          <w:tcPr>
            <w:tcW w:w="100" w:type="dxa"/>
            <w:vAlign w:val="bottom"/>
          </w:tcPr>
          <w:p>
            <w:pPr>
              <w:spacing w:after="0"/>
              <w:rPr>
                <w:sz w:val="13"/>
                <w:szCs w:val="13"/>
                <w:color w:val="auto"/>
              </w:rPr>
            </w:pP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103,422</w:t>
            </w: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Institutional customers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23,075</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8,948</w:t>
            </w:r>
          </w:p>
        </w:tc>
      </w:tr>
      <w:tr>
        <w:trPr>
          <w:trHeight w:val="15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Self-pay patients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2,503</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1,389</w:t>
            </w:r>
          </w:p>
        </w:tc>
      </w:tr>
      <w:tr>
        <w:trPr>
          <w:trHeight w:val="142"/>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Total diagnostic test revenue</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148,973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113,759</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revenue</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5,421</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1,606</w:t>
            </w:r>
          </w:p>
        </w:tc>
      </w:tr>
      <w:tr>
        <w:trPr>
          <w:trHeight w:val="158"/>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154,394</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115,365</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Reassessment of variable consideration</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97"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For the three months ended September 30, 2021, the quarterly change in estimate resulted in a net $0.6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September 30, 2020, the quarterly change in estimate did not result in material adjustments to the Company’s previously reported revenue or accounts receivable amounts.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Remaining performance obligations</w:t>
      </w:r>
    </w:p>
    <w:p>
      <w:pPr>
        <w:spacing w:after="0" w:line="123"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Due to the long-term nature of the collaboration service agreement, the Company’s obligations pursuant to such agreement represent partially unsatisfied performance obligations as of September 30, 2021. The revenues under existing collaboration service agreements with original expected durations of more than one year are estimated to be approximately $10.7 million. The Company expects to recognize the majority of this revenue over the next 4 years.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 assets and liabilities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reconciliation of the beginning and ending balances of contract assets and contract liabilities is shown in the table below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1060" w:type="dxa"/>
            <w:vAlign w:val="bottom"/>
          </w:tcPr>
          <w:p>
            <w:pPr>
              <w:jc w:val="right"/>
              <w:ind w:right="66"/>
              <w:spacing w:after="0"/>
              <w:rPr>
                <w:sz w:val="20"/>
                <w:szCs w:val="20"/>
                <w:color w:val="auto"/>
              </w:rPr>
            </w:pPr>
            <w:r>
              <w:rPr>
                <w:rFonts w:ascii="Arial" w:cs="Arial" w:eastAsia="Arial" w:hAnsi="Arial"/>
                <w:sz w:val="10"/>
                <w:szCs w:val="10"/>
                <w:b w:val="1"/>
                <w:bCs w:val="1"/>
                <w:color w:val="auto"/>
              </w:rPr>
              <w:t>Contract</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503"/>
              <w:spacing w:after="0"/>
              <w:rPr>
                <w:sz w:val="20"/>
                <w:szCs w:val="20"/>
                <w:color w:val="auto"/>
              </w:rPr>
            </w:pPr>
            <w:r>
              <w:rPr>
                <w:rFonts w:ascii="Arial" w:cs="Arial" w:eastAsia="Arial" w:hAnsi="Arial"/>
                <w:sz w:val="10"/>
                <w:szCs w:val="10"/>
                <w:b w:val="1"/>
                <w:bCs w:val="1"/>
                <w:color w:val="auto"/>
              </w:rPr>
              <w:t>Contract</w:t>
            </w:r>
          </w:p>
        </w:tc>
      </w:tr>
      <w:tr>
        <w:trPr>
          <w:trHeight w:val="125"/>
        </w:trPr>
        <w:tc>
          <w:tcPr>
            <w:tcW w:w="824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Assets</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Liabilities</w:t>
            </w: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December 31, 2020</w:t>
            </w:r>
          </w:p>
        </w:tc>
        <w:tc>
          <w:tcPr>
            <w:tcW w:w="1060" w:type="dxa"/>
            <w:vAlign w:val="bottom"/>
            <w:shd w:val="clear" w:color="auto" w:fill="CCEEFF"/>
          </w:tcPr>
          <w:p>
            <w:pPr>
              <w:jc w:val="right"/>
              <w:ind w:right="92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3,811</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Contract asset additions</w:t>
            </w:r>
          </w:p>
        </w:tc>
        <w:tc>
          <w:tcPr>
            <w:tcW w:w="10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Customer prepayments</w:t>
            </w: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1,723</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Revenue recognized</w:t>
            </w: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(2,076)</w:t>
            </w:r>
          </w:p>
        </w:tc>
      </w:tr>
      <w:tr>
        <w:trPr>
          <w:trHeight w:val="158"/>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September 30, 2021</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3,458</w:t>
            </w:r>
          </w:p>
        </w:tc>
      </w:tr>
    </w:tbl>
    <w:p>
      <w:pPr>
        <w:spacing w:after="0" w:line="171"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decrease in contract liabilities as of September 30, 2021 is primarily due to the execution of the performance obligations during the period. The Company presents contract assets and contract liabilities with respect to customer contracts on a net basis on its condensed consolidated balance sheets. As of September 30, 2021 and December 31, 2020, $0.5 million and $1.8 million is recorded as current contract liabilities, respectively.</w:t>
      </w:r>
    </w:p>
    <w:p>
      <w:pPr>
        <w:spacing w:after="0" w:line="6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Revenues recognized that were included in the contract liability balance at the beginning of each period were $0.3 million and $0.1 million, respectively, for the three months ended September 30, 2021 and September 30, 2020 and $2.1 million and $0.3 million for the nine months ended September 30, 2021 and September 30,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Costs to fulfill contracts</w:t>
      </w:r>
    </w:p>
    <w:p>
      <w:pPr>
        <w:spacing w:after="0" w:line="123" w:lineRule="exact"/>
        <w:rPr>
          <w:sz w:val="20"/>
          <w:szCs w:val="20"/>
          <w:color w:val="auto"/>
        </w:rPr>
      </w:pPr>
    </w:p>
    <w:p>
      <w:pPr>
        <w:jc w:val="both"/>
        <w:ind w:right="20" w:firstLine="216"/>
        <w:spacing w:after="0" w:line="379" w:lineRule="auto"/>
        <w:rPr>
          <w:sz w:val="20"/>
          <w:szCs w:val="20"/>
          <w:color w:val="auto"/>
        </w:rPr>
      </w:pPr>
      <w:r>
        <w:rPr>
          <w:rFonts w:ascii="Arial" w:cs="Arial" w:eastAsia="Arial" w:hAnsi="Arial"/>
          <w:sz w:val="10"/>
          <w:szCs w:val="10"/>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consolidated balance sheets as current or non-current based upon forecasted performance.</w:t>
      </w:r>
    </w:p>
    <w:p>
      <w:pPr>
        <w:spacing w:after="0" w:line="4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September 30, 2021 and December 31, 2020, the Company had outstanding deferred costs to fulfill contracts of $2.2 million and $3.0 million, respectively. As of September 30, 2021 and December 31, 2020, all outstanding deferred costs were recorded as prepaid expenses and other current assets.</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Amortization of deferred costs was $0.3 million and $0.2 million for the three months ended September 30, 2021 and 2020, respectively and $0.9 million and $0.7 million for the nine months ended September 30, 2021 and 2020, respectively. The amortization of these costs is recorded in the cost of services on the condensed consolidated statements of operations and comprehensive loss.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Measurements</w:t>
      </w:r>
    </w:p>
    <w:p>
      <w:pPr>
        <w:spacing w:after="0" w:line="17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3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Observable inputs such as quoted prices (unadjusted) in active markets that are accessible at the measurement date for identical assets or liabilities.</w:t>
      </w:r>
    </w:p>
    <w:p>
      <w:pPr>
        <w:spacing w:after="0" w:line="168" w:lineRule="exact"/>
        <w:rPr>
          <w:sz w:val="20"/>
          <w:szCs w:val="20"/>
          <w:color w:val="auto"/>
        </w:rPr>
      </w:pPr>
    </w:p>
    <w:p>
      <w:pPr>
        <w:ind w:left="260"/>
        <w:spacing w:after="0" w:line="27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Observable inputs such as quoted prices for similar instruments in active markets, quoted prices for identical or similar instruments in markets that are not active or model-derived valuations whose significant inputs are</w:t>
      </w:r>
      <w:r>
        <w:rPr>
          <w:rFonts w:ascii="Arial" w:cs="Arial" w:eastAsia="Arial" w:hAnsi="Arial"/>
          <w:sz w:val="12"/>
          <w:szCs w:val="12"/>
          <w:i w:val="1"/>
          <w:iCs w:val="1"/>
          <w:color w:val="auto"/>
        </w:rPr>
        <w:t xml:space="preserve"> </w:t>
      </w:r>
      <w:r>
        <w:rPr>
          <w:rFonts w:ascii="Arial" w:cs="Arial" w:eastAsia="Arial" w:hAnsi="Arial"/>
          <w:sz w:val="12"/>
          <w:szCs w:val="12"/>
          <w:color w:val="auto"/>
        </w:rPr>
        <w:t>observable.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Unobservable inputs that are significant to the measurement of fair value but are supported by little to no market data.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Company’s financial assets and liabilities consist of cash and cash equivalents, restricted cash, accounts receivable, accounts payable, accrued liabilities, capital leases, warrant liability, earn-out contingent liability and long-term debt. The Company’s cash and cash equivalents, restricted cash, accounts receivable, accounts payable and accrued liabilities approximate their fair value due to the relatively short-term nature of these accounts.</w:t>
      </w:r>
    </w:p>
    <w:p>
      <w:pPr>
        <w:spacing w:after="0" w:line="6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tables set forth the fair value of financial instruments that were measured at fair value on a recurring basis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September 30, 2021</w:t>
            </w: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18"/>
        </w:trPr>
        <w:tc>
          <w:tcPr>
            <w:tcW w:w="5580" w:type="dxa"/>
            <w:vAlign w:val="bottom"/>
          </w:tcPr>
          <w:p>
            <w:pPr>
              <w:spacing w:after="0"/>
              <w:rPr>
                <w:sz w:val="10"/>
                <w:szCs w:val="10"/>
                <w:color w:val="auto"/>
              </w:rPr>
            </w:pPr>
          </w:p>
        </w:tc>
        <w:tc>
          <w:tcPr>
            <w:tcW w:w="860" w:type="dxa"/>
            <w:vAlign w:val="bottom"/>
          </w:tcPr>
          <w:p>
            <w:pPr>
              <w:jc w:val="right"/>
              <w:ind w:right="3"/>
              <w:spacing w:after="0"/>
              <w:rPr>
                <w:sz w:val="20"/>
                <w:szCs w:val="20"/>
                <w:color w:val="auto"/>
              </w:rPr>
            </w:pPr>
            <w:r>
              <w:rPr>
                <w:rFonts w:ascii="Arial" w:cs="Arial" w:eastAsia="Arial" w:hAnsi="Arial"/>
                <w:sz w:val="10"/>
                <w:szCs w:val="10"/>
                <w:b w:val="1"/>
                <w:bCs w:val="1"/>
                <w:color w:val="auto"/>
              </w:rPr>
              <w:t>Total</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Level 2</w:t>
            </w:r>
          </w:p>
        </w:tc>
        <w:tc>
          <w:tcPr>
            <w:tcW w:w="320" w:type="dxa"/>
            <w:vAlign w:val="bottom"/>
          </w:tcPr>
          <w:p>
            <w:pPr>
              <w:spacing w:after="0"/>
              <w:rPr>
                <w:sz w:val="10"/>
                <w:szCs w:val="10"/>
                <w:color w:val="auto"/>
              </w:rPr>
            </w:pPr>
          </w:p>
        </w:tc>
        <w:tc>
          <w:tcPr>
            <w:tcW w:w="1060" w:type="dxa"/>
            <w:vAlign w:val="bottom"/>
          </w:tcPr>
          <w:p>
            <w:pPr>
              <w:jc w:val="right"/>
              <w:ind w:right="482"/>
              <w:spacing w:after="0"/>
              <w:rPr>
                <w:sz w:val="20"/>
                <w:szCs w:val="20"/>
                <w:color w:val="auto"/>
              </w:rPr>
            </w:pPr>
            <w:r>
              <w:rPr>
                <w:rFonts w:ascii="Arial" w:cs="Arial" w:eastAsia="Arial" w:hAnsi="Arial"/>
                <w:sz w:val="10"/>
                <w:szCs w:val="10"/>
                <w:b w:val="1"/>
                <w:bCs w:val="1"/>
                <w:color w:val="auto"/>
              </w:rPr>
              <w:t>Level 3</w:t>
            </w:r>
          </w:p>
        </w:tc>
      </w:tr>
      <w:tr>
        <w:trPr>
          <w:trHeight w:val="134"/>
        </w:trPr>
        <w:tc>
          <w:tcPr>
            <w:tcW w:w="55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Financial Assets:</w:t>
            </w:r>
          </w:p>
        </w:tc>
        <w:tc>
          <w:tcPr>
            <w:tcW w:w="8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r>
      <w:tr>
        <w:trPr>
          <w:trHeight w:val="153"/>
        </w:trPr>
        <w:tc>
          <w:tcPr>
            <w:tcW w:w="5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Money market funds</w:t>
            </w:r>
          </w:p>
        </w:tc>
        <w:tc>
          <w:tcPr>
            <w:tcW w:w="860" w:type="dxa"/>
            <w:vAlign w:val="bottom"/>
            <w:tcBorders>
              <w:bottom w:val="single" w:sz="8" w:color="auto"/>
            </w:tcBorders>
          </w:tcPr>
          <w:p>
            <w:pPr>
              <w:jc w:val="right"/>
              <w:ind w:right="7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451,784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451,784</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r>
      <w:tr>
        <w:trPr>
          <w:trHeight w:val="158"/>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Total financial assets</w:t>
            </w: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451,784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451,784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5580" w:type="dxa"/>
            <w:vAlign w:val="bottom"/>
            <w:tcBorders>
              <w:top w:val="single" w:sz="8" w:color="CCEEFF"/>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53"/>
        </w:trPr>
        <w:tc>
          <w:tcPr>
            <w:tcW w:w="5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Financial Liabilities: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Public warrant liability</w:t>
            </w:r>
          </w:p>
        </w:tc>
        <w:tc>
          <w:tcPr>
            <w:tcW w:w="860" w:type="dxa"/>
            <w:vAlign w:val="bottom"/>
          </w:tcPr>
          <w:p>
            <w:pPr>
              <w:jc w:val="right"/>
              <w:ind w:right="723"/>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31,287</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31,287</w:t>
            </w:r>
          </w:p>
        </w:tc>
        <w:tc>
          <w:tcPr>
            <w:tcW w:w="8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Private warrant liability</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15,342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15,342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Earn-out contingent liability</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61,400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61,400</w:t>
            </w:r>
          </w:p>
        </w:tc>
      </w:tr>
      <w:tr>
        <w:trPr>
          <w:trHeight w:val="14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financial liabilities</w:t>
            </w:r>
          </w:p>
        </w:tc>
        <w:tc>
          <w:tcPr>
            <w:tcW w:w="86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108,029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61,400</w:t>
            </w:r>
          </w:p>
        </w:tc>
      </w:tr>
      <w:tr>
        <w:trPr>
          <w:trHeight w:val="20"/>
        </w:trPr>
        <w:tc>
          <w:tcPr>
            <w:tcW w:w="5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9"/>
        </w:trPr>
        <w:tc>
          <w:tcPr>
            <w:tcW w:w="55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 2020</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18"/>
        </w:trPr>
        <w:tc>
          <w:tcPr>
            <w:tcW w:w="5580" w:type="dxa"/>
            <w:vAlign w:val="bottom"/>
          </w:tcPr>
          <w:p>
            <w:pPr>
              <w:spacing w:after="0"/>
              <w:rPr>
                <w:sz w:val="10"/>
                <w:szCs w:val="10"/>
                <w:color w:val="auto"/>
              </w:rPr>
            </w:pPr>
          </w:p>
        </w:tc>
        <w:tc>
          <w:tcPr>
            <w:tcW w:w="860" w:type="dxa"/>
            <w:vAlign w:val="bottom"/>
          </w:tcPr>
          <w:p>
            <w:pPr>
              <w:jc w:val="right"/>
              <w:ind w:right="3"/>
              <w:spacing w:after="0"/>
              <w:rPr>
                <w:sz w:val="20"/>
                <w:szCs w:val="20"/>
                <w:color w:val="auto"/>
              </w:rPr>
            </w:pPr>
            <w:r>
              <w:rPr>
                <w:rFonts w:ascii="Arial" w:cs="Arial" w:eastAsia="Arial" w:hAnsi="Arial"/>
                <w:sz w:val="10"/>
                <w:szCs w:val="10"/>
                <w:b w:val="1"/>
                <w:bCs w:val="1"/>
                <w:color w:val="auto"/>
              </w:rPr>
              <w:t>Total</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Level 2</w:t>
            </w:r>
          </w:p>
        </w:tc>
        <w:tc>
          <w:tcPr>
            <w:tcW w:w="320" w:type="dxa"/>
            <w:vAlign w:val="bottom"/>
          </w:tcPr>
          <w:p>
            <w:pPr>
              <w:spacing w:after="0"/>
              <w:rPr>
                <w:sz w:val="10"/>
                <w:szCs w:val="10"/>
                <w:color w:val="auto"/>
              </w:rPr>
            </w:pPr>
          </w:p>
        </w:tc>
        <w:tc>
          <w:tcPr>
            <w:tcW w:w="1060" w:type="dxa"/>
            <w:vAlign w:val="bottom"/>
          </w:tcPr>
          <w:p>
            <w:pPr>
              <w:jc w:val="right"/>
              <w:ind w:right="482"/>
              <w:spacing w:after="0"/>
              <w:rPr>
                <w:sz w:val="20"/>
                <w:szCs w:val="20"/>
                <w:color w:val="auto"/>
              </w:rPr>
            </w:pPr>
            <w:r>
              <w:rPr>
                <w:rFonts w:ascii="Arial" w:cs="Arial" w:eastAsia="Arial" w:hAnsi="Arial"/>
                <w:sz w:val="10"/>
                <w:szCs w:val="10"/>
                <w:b w:val="1"/>
                <w:bCs w:val="1"/>
                <w:color w:val="auto"/>
              </w:rPr>
              <w:t>Level 3</w:t>
            </w:r>
          </w:p>
        </w:tc>
      </w:tr>
      <w:tr>
        <w:trPr>
          <w:trHeight w:val="134"/>
        </w:trPr>
        <w:tc>
          <w:tcPr>
            <w:tcW w:w="55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Financial Assets:</w:t>
            </w:r>
          </w:p>
        </w:tc>
        <w:tc>
          <w:tcPr>
            <w:tcW w:w="8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r>
      <w:tr>
        <w:trPr>
          <w:trHeight w:val="153"/>
        </w:trPr>
        <w:tc>
          <w:tcPr>
            <w:tcW w:w="5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Money market funds</w:t>
            </w:r>
          </w:p>
        </w:tc>
        <w:tc>
          <w:tcPr>
            <w:tcW w:w="860" w:type="dxa"/>
            <w:vAlign w:val="bottom"/>
            <w:tcBorders>
              <w:bottom w:val="single" w:sz="8" w:color="auto"/>
            </w:tcBorders>
          </w:tcPr>
          <w:p>
            <w:pPr>
              <w:jc w:val="right"/>
              <w:ind w:right="7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92,940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92,940</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r>
      <w:tr>
        <w:trPr>
          <w:trHeight w:val="158"/>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financial assets</w:t>
            </w: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92,940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92,940</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2021 and December 31, 2020, money market funds are classified within Level 1 of the fair value hierarchy as the fair value is based on quoted prices in active markets.</w:t>
      </w:r>
    </w:p>
    <w:p>
      <w:pPr>
        <w:spacing w:after="0" w:line="27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September 30,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37" w:lineRule="exact"/>
        <w:rPr>
          <w:sz w:val="20"/>
          <w:szCs w:val="20"/>
          <w:color w:val="auto"/>
        </w:rPr>
      </w:pPr>
    </w:p>
    <w:p>
      <w:pPr>
        <w:jc w:val="both"/>
        <w:ind w:firstLine="216"/>
        <w:spacing w:after="0" w:line="228" w:lineRule="auto"/>
        <w:rPr>
          <w:sz w:val="20"/>
          <w:szCs w:val="20"/>
          <w:color w:val="auto"/>
        </w:rPr>
      </w:pPr>
      <w:r>
        <w:rPr>
          <w:rFonts w:ascii="Arial" w:cs="Arial" w:eastAsia="Arial" w:hAnsi="Arial"/>
          <w:sz w:val="12"/>
          <w:szCs w:val="12"/>
          <w:color w:val="auto"/>
        </w:rPr>
        <w:t>The contingent obligation to issue earn-out shares for Legacy Sema4 stockholders was accounted for as a liability and required remeasurement at each reporting date. The estimated fair value of the total earn-out shares as of September 30,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 operating metrics. The key assumptions utilized in the valuation included the Company’s stock price of $7.59, expected volatility of 67.5%, risk-free rate of 0.24%, and an expected term of 1.8 years. The earn-out contingent liability is categorized as Level 3 of the fair value hierarchy as the Company utilizes unobservable inputs in estimating volatility rate. Initial fair value determined and recorded at the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22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Closing Date was $143.1 million and a gain of $81.7 million was recorded in the change in fair market value of warrant and earn-out contingent liabilities in the condensed consolidated statements of operations and comprehensive loss based on re-measurement performed as of September 30, 2021.</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were no transfers between Level 1, Level 2 and Level 3 during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Property and Equipment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Property and equipment consisted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1040" w:type="dxa"/>
            <w:vAlign w:val="bottom"/>
          </w:tcPr>
          <w:p>
            <w:pPr>
              <w:jc w:val="center"/>
              <w:ind w:left="407"/>
              <w:spacing w:after="0"/>
              <w:rPr>
                <w:sz w:val="20"/>
                <w:szCs w:val="20"/>
                <w:color w:val="auto"/>
              </w:rPr>
            </w:pPr>
            <w:r>
              <w:rPr>
                <w:rFonts w:ascii="Arial" w:cs="Arial" w:eastAsia="Arial" w:hAnsi="Arial"/>
                <w:sz w:val="10"/>
                <w:szCs w:val="10"/>
                <w:b w:val="1"/>
                <w:bCs w:val="1"/>
                <w:color w:val="auto"/>
                <w:w w:val="87"/>
              </w:rPr>
              <w:t>As of</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3"/>
              <w:spacing w:after="0"/>
              <w:rPr>
                <w:sz w:val="20"/>
                <w:szCs w:val="20"/>
                <w:color w:val="auto"/>
              </w:rPr>
            </w:pPr>
            <w:r>
              <w:rPr>
                <w:rFonts w:ascii="Arial" w:cs="Arial" w:eastAsia="Arial" w:hAnsi="Arial"/>
                <w:sz w:val="10"/>
                <w:szCs w:val="10"/>
                <w:b w:val="1"/>
                <w:bCs w:val="1"/>
                <w:color w:val="auto"/>
                <w:w w:val="87"/>
              </w:rPr>
              <w:t>As of</w:t>
            </w:r>
          </w:p>
        </w:tc>
      </w:tr>
      <w:tr>
        <w:trPr>
          <w:trHeight w:val="90"/>
        </w:trPr>
        <w:tc>
          <w:tcPr>
            <w:tcW w:w="8240" w:type="dxa"/>
            <w:vAlign w:val="bottom"/>
          </w:tcPr>
          <w:p>
            <w:pPr>
              <w:spacing w:after="0"/>
              <w:rPr>
                <w:sz w:val="7"/>
                <w:szCs w:val="7"/>
                <w:color w:val="auto"/>
              </w:rPr>
            </w:pPr>
          </w:p>
        </w:tc>
        <w:tc>
          <w:tcPr>
            <w:tcW w:w="1040" w:type="dxa"/>
            <w:vAlign w:val="bottom"/>
          </w:tcPr>
          <w:p>
            <w:pPr>
              <w:jc w:val="center"/>
              <w:ind w:left="407"/>
              <w:spacing w:after="0" w:line="90" w:lineRule="exact"/>
              <w:rPr>
                <w:sz w:val="20"/>
                <w:szCs w:val="20"/>
                <w:color w:val="auto"/>
              </w:rPr>
            </w:pPr>
            <w:r>
              <w:rPr>
                <w:rFonts w:ascii="Arial" w:cs="Arial" w:eastAsia="Arial" w:hAnsi="Arial"/>
                <w:sz w:val="10"/>
                <w:szCs w:val="10"/>
                <w:b w:val="1"/>
                <w:bCs w:val="1"/>
                <w:color w:val="auto"/>
                <w:w w:val="84"/>
              </w:rPr>
              <w:t>September 30,</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jc w:val="center"/>
              <w:ind w:right="203"/>
              <w:spacing w:after="0" w:line="90" w:lineRule="exact"/>
              <w:rPr>
                <w:sz w:val="20"/>
                <w:szCs w:val="20"/>
                <w:color w:val="auto"/>
              </w:rPr>
            </w:pPr>
            <w:r>
              <w:rPr>
                <w:rFonts w:ascii="Arial" w:cs="Arial" w:eastAsia="Arial" w:hAnsi="Arial"/>
                <w:sz w:val="10"/>
                <w:szCs w:val="10"/>
                <w:b w:val="1"/>
                <w:bCs w:val="1"/>
                <w:color w:val="auto"/>
                <w:w w:val="86"/>
              </w:rPr>
              <w:t>December 31,</w:t>
            </w:r>
          </w:p>
        </w:tc>
      </w:tr>
      <w:tr>
        <w:trPr>
          <w:trHeight w:val="125"/>
        </w:trPr>
        <w:tc>
          <w:tcPr>
            <w:tcW w:w="824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center"/>
              <w:ind w:left="407"/>
              <w:spacing w:after="0"/>
              <w:rPr>
                <w:sz w:val="20"/>
                <w:szCs w:val="20"/>
                <w:color w:val="auto"/>
              </w:rPr>
            </w:pPr>
            <w:r>
              <w:rPr>
                <w:rFonts w:ascii="Arial" w:cs="Arial" w:eastAsia="Arial" w:hAnsi="Arial"/>
                <w:sz w:val="10"/>
                <w:szCs w:val="10"/>
                <w:b w:val="1"/>
                <w:bCs w:val="1"/>
                <w:color w:val="auto"/>
                <w:w w:val="80"/>
              </w:rPr>
              <w:t>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0"/>
              </w:rPr>
              <w:t>2020</w:t>
            </w: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1040" w:type="dxa"/>
            <w:vAlign w:val="bottom"/>
            <w:shd w:val="clear" w:color="auto" w:fill="CCEEFF"/>
          </w:tcPr>
          <w:p>
            <w:pPr>
              <w:jc w:val="right"/>
              <w:ind w:right="907"/>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22,818</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Equipment under capital leases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21,384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20,743</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21,650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16,736</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Capitalized software</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23,135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14,631</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Building under capital lease</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6,276</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Construction in-progress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4,673</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Computer equipment</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4,118</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Furniture, fixtures and other equipment</w:t>
            </w: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3,214</w:t>
            </w:r>
          </w:p>
        </w:tc>
      </w:tr>
      <w:tr>
        <w:trPr>
          <w:trHeight w:val="142"/>
        </w:trPr>
        <w:tc>
          <w:tcPr>
            <w:tcW w:w="8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property and equipment</w:t>
            </w:r>
          </w:p>
        </w:tc>
        <w:tc>
          <w:tcPr>
            <w:tcW w:w="10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106,443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93,209</w:t>
            </w:r>
          </w:p>
        </w:tc>
      </w:tr>
      <w:tr>
        <w:trPr>
          <w:trHeight w:val="142"/>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depreciation and amortization</w:t>
            </w: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(46,110)</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(30,099)</w:t>
            </w:r>
          </w:p>
        </w:tc>
      </w:tr>
      <w:tr>
        <w:trPr>
          <w:trHeight w:val="15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Property and equipment, net</w:t>
            </w:r>
          </w:p>
        </w:tc>
        <w:tc>
          <w:tcPr>
            <w:tcW w:w="104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60,333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63,110</w:t>
            </w:r>
          </w:p>
        </w:tc>
      </w:tr>
    </w:tbl>
    <w:p>
      <w:pPr>
        <w:spacing w:after="0" w:line="171"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For the three months ended September 30, 2021 and 2020, depreciation and amortization expense was $5.5 million and $3.1 million. For the nine months ended September 30, 2021 and 2020, depreciation and amortization expense was $16.0 million and $8.1 million, respectively. This included software amortization expense of $1.4 million and $0.8 million for the three months ended September 30, 2021 and 2020 and $4.0 million and $2.0 million for the nine months ended September 30, 2021 and 2020, respectively. Depreciation and amortization expense is included within the condensed consolidated statements of operations and comprehensive loss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0"/>
                <w:szCs w:val="10"/>
                <w:b w:val="1"/>
                <w:bCs w:val="1"/>
                <w:color w:val="auto"/>
              </w:rPr>
              <w:t>Three months ended September 30,</w:t>
            </w:r>
          </w:p>
        </w:tc>
        <w:tc>
          <w:tcPr>
            <w:tcW w:w="480" w:type="dxa"/>
            <w:vAlign w:val="bottom"/>
            <w:tcBorders>
              <w:bottom w:val="single" w:sz="8" w:color="auto"/>
            </w:tcBorders>
          </w:tcPr>
          <w:p>
            <w:pPr>
              <w:spacing w:after="0"/>
              <w:rPr>
                <w:sz w:val="11"/>
                <w:szCs w:val="11"/>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3,679</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182</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w:t>
            </w: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902</w:t>
            </w:r>
          </w:p>
        </w:tc>
      </w:tr>
      <w:tr>
        <w:trPr>
          <w:trHeight w:val="149"/>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depreciation and amortization expenses</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5,491</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3,067</w:t>
            </w:r>
          </w:p>
        </w:tc>
      </w:tr>
      <w:tr>
        <w:trPr>
          <w:trHeight w:val="20"/>
        </w:trPr>
        <w:tc>
          <w:tcPr>
            <w:tcW w:w="82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309"/>
        </w:trPr>
        <w:tc>
          <w:tcPr>
            <w:tcW w:w="82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0"/>
                <w:szCs w:val="10"/>
                <w:b w:val="1"/>
                <w:bCs w:val="1"/>
                <w:color w:val="auto"/>
              </w:rPr>
              <w:t>Nine months ended September 30,</w:t>
            </w:r>
          </w:p>
        </w:tc>
        <w:tc>
          <w:tcPr>
            <w:tcW w:w="480" w:type="dxa"/>
            <w:vAlign w:val="bottom"/>
            <w:tcBorders>
              <w:bottom w:val="single" w:sz="8" w:color="auto"/>
            </w:tcBorders>
          </w:tcPr>
          <w:p>
            <w:pPr>
              <w:spacing w:after="0"/>
              <w:rPr>
                <w:sz w:val="24"/>
                <w:szCs w:val="24"/>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5,805</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4,197</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692</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w:t>
            </w: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1,650</w:t>
            </w:r>
          </w:p>
        </w:tc>
      </w:tr>
      <w:tr>
        <w:trPr>
          <w:trHeight w:val="15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depreciation and amortization expenses</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16,012</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8,147</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Related Party Transactions</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June 1, 2017, the Company signed a contribution and funding agreement and other agreements with ISMMS, whereby ISMMS contributed certain assets and liabilities related to the Company’s operations, provided certain services to</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For three and nine months ended September 30, 2021 and 2020, the Company incurred certain related party costs. Expenses recognized under the TSA totaled $0 and $1.7 million for the three months ended September 30, 2021 and 2020, respectively and $1.4 million and $5.5 million for the nine months ended September 30, 2021 and 2020 and are presented within related party expenses in the condensed consolidated statements of operations and comprehensive loss. The Company had TSA payables due to ISMMS of $0 and $0.6 million as of September 30, 2021 and December 31, 2020, respectively. These amounts are included within due to related parties on the Company’s condensed consolidated balance sheets.</w:t>
      </w:r>
    </w:p>
    <w:p>
      <w:pPr>
        <w:spacing w:after="0" w:line="9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Expenses recognized pursuant to other service arrangements with ISMMS totaled $1.5 million and $0.6 million for the three months ended September 30, 2021 and 2020 and $4.1 million and $2.2 million for the nine months ended September 30, 2021 and 2020, respectively. These amounts are included in either cost of services or related party expenses on the condensed consolidated statements of operations and comprehensive loss depending on the particular activity to which the costs relate. Payables due to ISMMS for the other service arrangements were $1.4 million $0.8 million as of September 30, 2021 and December 31, 2020, respectively. These amounts are included within due to related parties on the Company’s condensed consolidated balance sheets.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Total related party costs are included within cost of services and related party expenses in the condensed consolidated statements of operations and comprehensive loss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0"/>
                <w:szCs w:val="10"/>
                <w:b w:val="1"/>
                <w:bCs w:val="1"/>
                <w:color w:val="auto"/>
              </w:rPr>
              <w:t>Three months ended September 30,</w:t>
            </w:r>
          </w:p>
        </w:tc>
        <w:tc>
          <w:tcPr>
            <w:tcW w:w="480" w:type="dxa"/>
            <w:vAlign w:val="bottom"/>
            <w:tcBorders>
              <w:bottom w:val="single" w:sz="8" w:color="auto"/>
            </w:tcBorders>
          </w:tcPr>
          <w:p>
            <w:pPr>
              <w:spacing w:after="0"/>
              <w:rPr>
                <w:sz w:val="11"/>
                <w:szCs w:val="11"/>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1000" w:type="dxa"/>
            <w:vAlign w:val="bottom"/>
            <w:shd w:val="clear" w:color="auto" w:fill="CCEEFF"/>
          </w:tcPr>
          <w:p>
            <w:pPr>
              <w:jc w:val="right"/>
              <w:ind w:right="86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Related party expenses</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847</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1,933</w:t>
            </w:r>
          </w:p>
        </w:tc>
      </w:tr>
      <w:tr>
        <w:trPr>
          <w:trHeight w:val="149"/>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related party costs</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2,385</w:t>
            </w:r>
          </w:p>
        </w:tc>
      </w:tr>
      <w:tr>
        <w:trPr>
          <w:trHeight w:val="20"/>
        </w:trPr>
        <w:tc>
          <w:tcPr>
            <w:tcW w:w="82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462"/>
        </w:trPr>
        <w:tc>
          <w:tcPr>
            <w:tcW w:w="82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0"/>
                <w:szCs w:val="10"/>
                <w:b w:val="1"/>
                <w:bCs w:val="1"/>
                <w:color w:val="auto"/>
              </w:rPr>
              <w:t>Nine months ended September 30,</w:t>
            </w:r>
          </w:p>
        </w:tc>
        <w:tc>
          <w:tcPr>
            <w:tcW w:w="480" w:type="dxa"/>
            <w:vAlign w:val="bottom"/>
            <w:tcBorders>
              <w:bottom w:val="single" w:sz="8" w:color="auto"/>
            </w:tcBorders>
          </w:tcPr>
          <w:p>
            <w:pPr>
              <w:spacing w:after="0"/>
              <w:rPr>
                <w:sz w:val="24"/>
                <w:szCs w:val="24"/>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1000" w:type="dxa"/>
            <w:vAlign w:val="bottom"/>
            <w:shd w:val="clear" w:color="auto" w:fill="CCEEFF"/>
          </w:tcPr>
          <w:p>
            <w:pPr>
              <w:jc w:val="right"/>
              <w:ind w:right="86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1,942</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Related party expenses</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3,532</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6,239</w:t>
            </w:r>
          </w:p>
        </w:tc>
      </w:tr>
      <w:tr>
        <w:trPr>
          <w:trHeight w:val="15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related party costs</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5,474</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7,724</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Long-Term Debt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2016 Funding Commitment</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June 2017, ISMMS assigned a loan funding commitment from the Connecticut Department of Economic and Community Development (“DECD”) to the Company (the “DECD Loan Agreement”).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outstanding loan balance from the DECD Loan Agreement was $11.0 million as of September 30, 2021 and December 31, 2020.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2020 Master Loan Agreement</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August 2020, the Company entered into a loan and security agreement with a bank (the “Master Loan Agreement”), in which the Company received a loan of $6.3 million and deposited the proceeds into a deposit account held by the bank.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was required to make sixty consecutive monthly payments of principal and interest at a fixed monthly amount of $0.1 million beginning in November 2020. Interest payments were fixed at an annual interest rate of 4.75%.</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recorded the $6.3 million proceeds as restricted cash on the condensed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(expense), net in the condensed consolidated statements of operations and comprehensive loss.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2020 Master Lease Agreement</w:t>
      </w:r>
    </w:p>
    <w:p>
      <w:pPr>
        <w:spacing w:after="0" w:line="132"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recorded the $3.6 million proceeds as restricted cash on the condensed consolidated balance sheets at December 31, 2020. The outstanding loan balance was $3.6 million at December 31, 2020. In July 2021, the Company terminated the Master Lease Agreement by paying off the full amount, including $3.3 million principal and interest and early payment penalties of $0.2 million assessed pursuant to the terms of the agreement which is included in other income (expense), net in the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Maturities of Long-Term Debt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820" w:type="dxa"/>
            <w:vAlign w:val="bottom"/>
          </w:tcPr>
          <w:p>
            <w:pPr>
              <w:ind w:left="200"/>
              <w:spacing w:after="0"/>
              <w:rPr>
                <w:sz w:val="20"/>
                <w:szCs w:val="20"/>
                <w:color w:val="auto"/>
              </w:rPr>
            </w:pPr>
            <w:r>
              <w:rPr>
                <w:rFonts w:ascii="Arial" w:cs="Arial" w:eastAsia="Arial" w:hAnsi="Arial"/>
                <w:sz w:val="12"/>
                <w:szCs w:val="12"/>
                <w:color w:val="auto"/>
              </w:rPr>
              <w:t>As of September 30, 2021, long-term debt matures as follows (in thousands):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79"/>
        </w:trPr>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9820" w:type="dxa"/>
            <w:vAlign w:val="bottom"/>
          </w:tcPr>
          <w:p>
            <w:pPr>
              <w:spacing w:after="0"/>
              <w:rPr>
                <w:sz w:val="20"/>
                <w:szCs w:val="20"/>
                <w:color w:val="auto"/>
              </w:rPr>
            </w:pPr>
            <w:r>
              <w:rPr>
                <w:rFonts w:ascii="Arial" w:cs="Arial" w:eastAsia="Arial" w:hAnsi="Arial"/>
                <w:sz w:val="12"/>
                <w:szCs w:val="12"/>
                <w:color w:val="auto"/>
              </w:rPr>
              <w:t>2022</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r>
      <w:tr>
        <w:trPr>
          <w:trHeight w:val="153"/>
        </w:trPr>
        <w:tc>
          <w:tcPr>
            <w:tcW w:w="9820" w:type="dxa"/>
            <w:vAlign w:val="bottom"/>
          </w:tcPr>
          <w:p>
            <w:pPr>
              <w:spacing w:after="0"/>
              <w:rPr>
                <w:sz w:val="20"/>
                <w:szCs w:val="20"/>
                <w:color w:val="auto"/>
              </w:rPr>
            </w:pPr>
            <w:r>
              <w:rPr>
                <w:rFonts w:ascii="Arial" w:cs="Arial" w:eastAsia="Arial" w:hAnsi="Arial"/>
                <w:sz w:val="12"/>
                <w:szCs w:val="12"/>
                <w:color w:val="auto"/>
              </w:rPr>
              <w:t>2024</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2,131</w:t>
            </w: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2,174</w:t>
            </w:r>
          </w:p>
        </w:tc>
      </w:tr>
      <w:tr>
        <w:trPr>
          <w:trHeight w:val="153"/>
        </w:trPr>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5,820</w:t>
            </w:r>
          </w:p>
        </w:tc>
      </w:tr>
      <w:tr>
        <w:trPr>
          <w:trHeight w:val="142"/>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Total maturities of long-term debt</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w:t>
            </w:r>
          </w:p>
        </w:tc>
      </w:tr>
      <w:tr>
        <w:trPr>
          <w:trHeight w:val="153"/>
        </w:trPr>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current portion of long-term debt</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long-term debt, net of current maturities</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11,000</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Commitments and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Company’s operating leases consist of office and lab space leases and a ground lease associated with a building under capital lease. The Company has entered into leases of office and lab space with ISMMS, including month-to-month leases in place during the nine months ended September 30, 2021 and 2020. Pursuant to the terms of a lease agreement, the Company was required to have issued an irrevocable standby letter of credit to the lessor for $0.9 million, which was included in restricted cash on the condensed consolidated balance sheets as of September 30, 2021 and December 31, 2020.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820" w:type="dxa"/>
            <w:vAlign w:val="bottom"/>
          </w:tcPr>
          <w:p>
            <w:pPr>
              <w:ind w:left="5060"/>
              <w:spacing w:after="0"/>
              <w:rPr>
                <w:sz w:val="20"/>
                <w:szCs w:val="20"/>
                <w:color w:val="auto"/>
              </w:rPr>
            </w:pPr>
            <w:r>
              <w:rPr>
                <w:rFonts w:ascii="Arial" w:cs="Arial" w:eastAsia="Arial" w:hAnsi="Arial"/>
                <w:sz w:val="12"/>
                <w:szCs w:val="12"/>
                <w:b w:val="1"/>
                <w:bCs w:val="1"/>
                <w:color w:val="auto"/>
              </w:rPr>
              <w:t>Sema4 Holdings Corp.</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61"/>
        </w:trPr>
        <w:tc>
          <w:tcPr>
            <w:tcW w:w="9820" w:type="dxa"/>
            <w:vAlign w:val="bottom"/>
          </w:tcPr>
          <w:p>
            <w:pPr>
              <w:ind w:left="3940"/>
              <w:spacing w:after="0"/>
              <w:rPr>
                <w:sz w:val="20"/>
                <w:szCs w:val="20"/>
                <w:color w:val="auto"/>
              </w:rPr>
            </w:pPr>
            <w:r>
              <w:rPr>
                <w:rFonts w:ascii="Arial" w:cs="Arial" w:eastAsia="Arial" w:hAnsi="Arial"/>
                <w:sz w:val="12"/>
                <w:szCs w:val="12"/>
                <w:b w:val="1"/>
                <w:bCs w:val="1"/>
                <w:color w:val="auto"/>
              </w:rPr>
              <w:t>Notes to Unaudited Condensed Consolidated Financial Statements</w:t>
            </w: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95"/>
        </w:trPr>
        <w:tc>
          <w:tcPr>
            <w:tcW w:w="9820" w:type="dxa"/>
            <w:vAlign w:val="bottom"/>
          </w:tcPr>
          <w:p>
            <w:pPr>
              <w:ind w:left="200"/>
              <w:spacing w:after="0"/>
              <w:rPr>
                <w:sz w:val="20"/>
                <w:szCs w:val="20"/>
                <w:color w:val="auto"/>
              </w:rPr>
            </w:pPr>
            <w:r>
              <w:rPr>
                <w:rFonts w:ascii="Arial" w:cs="Arial" w:eastAsia="Arial" w:hAnsi="Arial"/>
                <w:sz w:val="12"/>
                <w:szCs w:val="12"/>
                <w:color w:val="auto"/>
              </w:rPr>
              <w:t>Future minimum payments under non-cancelable operating leases as of September 30, 2021 are as follows (in thousands):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9"/>
        </w:trPr>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r>
      <w:tr>
        <w:trPr>
          <w:trHeight w:val="153"/>
        </w:trPr>
        <w:tc>
          <w:tcPr>
            <w:tcW w:w="9820" w:type="dxa"/>
            <w:vAlign w:val="bottom"/>
          </w:tcPr>
          <w:p>
            <w:pPr>
              <w:spacing w:after="0"/>
              <w:rPr>
                <w:sz w:val="20"/>
                <w:szCs w:val="20"/>
                <w:color w:val="auto"/>
              </w:rPr>
            </w:pPr>
            <w:r>
              <w:rPr>
                <w:rFonts w:ascii="Arial" w:cs="Arial" w:eastAsia="Arial" w:hAnsi="Arial"/>
                <w:sz w:val="12"/>
                <w:szCs w:val="12"/>
                <w:color w:val="auto"/>
              </w:rPr>
              <w:t>2022</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4,383</w:t>
            </w: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4,474</w:t>
            </w:r>
          </w:p>
        </w:tc>
      </w:tr>
      <w:tr>
        <w:trPr>
          <w:trHeight w:val="153"/>
        </w:trPr>
        <w:tc>
          <w:tcPr>
            <w:tcW w:w="9820" w:type="dxa"/>
            <w:vAlign w:val="bottom"/>
          </w:tcPr>
          <w:p>
            <w:pPr>
              <w:spacing w:after="0"/>
              <w:rPr>
                <w:sz w:val="20"/>
                <w:szCs w:val="20"/>
                <w:color w:val="auto"/>
              </w:rPr>
            </w:pPr>
            <w:r>
              <w:rPr>
                <w:rFonts w:ascii="Arial" w:cs="Arial" w:eastAsia="Arial" w:hAnsi="Arial"/>
                <w:sz w:val="12"/>
                <w:szCs w:val="12"/>
                <w:color w:val="auto"/>
              </w:rPr>
              <w:t>2024</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4,562</w:t>
            </w: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4,684</w:t>
            </w:r>
          </w:p>
        </w:tc>
      </w:tr>
      <w:tr>
        <w:trPr>
          <w:trHeight w:val="153"/>
        </w:trPr>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50,239</w:t>
            </w:r>
          </w:p>
        </w:tc>
      </w:tr>
      <w:tr>
        <w:trPr>
          <w:trHeight w:val="158"/>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operating lease obligations</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69,418</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Rent expense related to non-cancelable operating leases was $1.4 million for the three months ended September 30, 2021 and 2020, respectively. Rent expense related to month-to-month operating leases was $0.3 million and $0.9 million for the three months ended September 30, 2021 and 2020. Rent expense related to non-cancelable operating leases was $4.3 million and $4.0 million for the nine months ended September 30, 2021 and 2020, respectively. Rent expense related to month-to-month operating leases was $0.9 million and $2.4 million for the nine months ended September 30, 2021 and 2020.</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Leases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entered into various capital lease agreements to obtain laboratory equipment that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9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Property and equipment under capital leases was $27.7 million and $27.0 million as of September 30, 2021 and December 31, 2020, respectively. Accumulated amortization on capital lease assets was $12.6 million and $9.7 million on September 30, 2021 and December 31, 2020, respectively.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0"/>
          <w:szCs w:val="10"/>
          <w:color w:val="auto"/>
        </w:rPr>
        <w:t>For all capital leases, the portion of the future payments designated as principal repayment is recorded as a capital lease obligation on the Company’s condensed consolidated balance sheets in accordance with repayment terms.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Future payments under capital leases as of September 30, 2021,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w:t>
            </w:r>
          </w:p>
        </w:tc>
      </w:tr>
      <w:tr>
        <w:trPr>
          <w:trHeight w:val="153"/>
        </w:trPr>
        <w:tc>
          <w:tcPr>
            <w:tcW w:w="9820" w:type="dxa"/>
            <w:vAlign w:val="bottom"/>
          </w:tcPr>
          <w:p>
            <w:pPr>
              <w:spacing w:after="0"/>
              <w:rPr>
                <w:sz w:val="20"/>
                <w:szCs w:val="20"/>
                <w:color w:val="auto"/>
              </w:rPr>
            </w:pPr>
            <w:r>
              <w:rPr>
                <w:rFonts w:ascii="Arial" w:cs="Arial" w:eastAsia="Arial" w:hAnsi="Arial"/>
                <w:sz w:val="12"/>
                <w:szCs w:val="12"/>
                <w:color w:val="auto"/>
              </w:rPr>
              <w:t>2022</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4,808</w:t>
            </w: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3,584</w:t>
            </w:r>
          </w:p>
        </w:tc>
      </w:tr>
      <w:tr>
        <w:trPr>
          <w:trHeight w:val="153"/>
        </w:trPr>
        <w:tc>
          <w:tcPr>
            <w:tcW w:w="9820" w:type="dxa"/>
            <w:vAlign w:val="bottom"/>
          </w:tcPr>
          <w:p>
            <w:pPr>
              <w:spacing w:after="0"/>
              <w:rPr>
                <w:sz w:val="20"/>
                <w:szCs w:val="20"/>
                <w:color w:val="auto"/>
              </w:rPr>
            </w:pPr>
            <w:r>
              <w:rPr>
                <w:rFonts w:ascii="Arial" w:cs="Arial" w:eastAsia="Arial" w:hAnsi="Arial"/>
                <w:sz w:val="12"/>
                <w:szCs w:val="12"/>
                <w:color w:val="auto"/>
              </w:rPr>
              <w:t>2024</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2,763</w:t>
            </w:r>
          </w:p>
        </w:tc>
      </w:tr>
      <w:tr>
        <w:trPr>
          <w:trHeight w:val="153"/>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2,451</w:t>
            </w:r>
          </w:p>
        </w:tc>
      </w:tr>
      <w:tr>
        <w:trPr>
          <w:trHeight w:val="153"/>
        </w:trPr>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51,886</w:t>
            </w:r>
          </w:p>
        </w:tc>
      </w:tr>
      <w:tr>
        <w:trPr>
          <w:trHeight w:val="142"/>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Total capital lease obligations</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66,717</w:t>
            </w:r>
          </w:p>
        </w:tc>
      </w:tr>
      <w:tr>
        <w:trPr>
          <w:trHeight w:val="153"/>
        </w:trPr>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amounts representing interest</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(44,271)</w:t>
            </w:r>
          </w:p>
        </w:tc>
      </w:tr>
      <w:tr>
        <w:trPr>
          <w:trHeight w:val="142"/>
        </w:trPr>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Present value of net minimum capital lease payments</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22,446</w:t>
            </w:r>
          </w:p>
        </w:tc>
      </w:tr>
      <w:tr>
        <w:trPr>
          <w:trHeight w:val="153"/>
        </w:trPr>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 current portion</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(3,515)</w:t>
            </w:r>
          </w:p>
        </w:tc>
      </w:tr>
      <w:tr>
        <w:trPr>
          <w:trHeight w:val="158"/>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Capital lease obligations, net of current portion</w:t>
            </w: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18,931</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Interest expense related to capital leases was $0.6 million for the three months ended September 30, 2021 and 2020 and $1.7 million for the nine months ended September 30, 2021 and 2020.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Contingencies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Company was not a party to any material legal proceedings as of September 30, 2021, nor is it a party to any legal proceedings as of the date of issuance of these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Stock-Based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Incentive Plans</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9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95"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The Company did not make any grants under the 2021 Plan during the three and nine month period ended September 30, 2021.</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3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three and nine month periods ended September 30, 2021.</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 Activity</w:t>
      </w:r>
    </w:p>
    <w:p>
      <w:pPr>
        <w:spacing w:after="0" w:line="12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fair value of the liability awards were remeasured at each reporting period until the stockholder bears the risks and rewards of equity ownership for a reasonable period of time, which the Company concludes is at least six months.</w:t>
      </w:r>
    </w:p>
    <w:p>
      <w:pPr>
        <w:spacing w:after="0" w:line="8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shareholders’ equity in the unaudited condensed consolidated financial statements as of July 22, 2021. An incremental expense of $0.4 million resulting from the modification event was recorded in the three months ended September 30, 2021.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6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Class A Common Stock</w:t>
            </w:r>
          </w:p>
        </w:tc>
        <w:tc>
          <w:tcPr>
            <w:tcW w:w="1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Stock Options Outstanding</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w w:val="90"/>
              </w:rPr>
              <w:t>Weighted Average Exercise Price</w:t>
            </w:r>
          </w:p>
        </w:tc>
        <w:tc>
          <w:tcPr>
            <w:tcW w:w="20" w:type="dxa"/>
            <w:vAlign w:val="bottom"/>
          </w:tcPr>
          <w:p>
            <w:pPr>
              <w:spacing w:after="0"/>
              <w:rPr>
                <w:sz w:val="11"/>
                <w:szCs w:val="11"/>
                <w:color w:val="auto"/>
              </w:rPr>
            </w:pPr>
          </w:p>
        </w:tc>
      </w:tr>
      <w:tr>
        <w:trPr>
          <w:trHeight w:val="146"/>
        </w:trPr>
        <w:tc>
          <w:tcPr>
            <w:tcW w:w="7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32,339,970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0.54</w:t>
            </w:r>
          </w:p>
        </w:tc>
        <w:tc>
          <w:tcPr>
            <w:tcW w:w="20" w:type="dxa"/>
            <w:vAlign w:val="bottom"/>
          </w:tcPr>
          <w:p>
            <w:pPr>
              <w:spacing w:after="0"/>
              <w:rPr>
                <w:sz w:val="12"/>
                <w:szCs w:val="12"/>
                <w:color w:val="auto"/>
              </w:rPr>
            </w:pPr>
          </w:p>
        </w:tc>
      </w:tr>
      <w:tr>
        <w:trPr>
          <w:trHeight w:val="153"/>
        </w:trPr>
        <w:tc>
          <w:tcPr>
            <w:tcW w:w="7360" w:type="dxa"/>
            <w:vAlign w:val="bottom"/>
            <w:gridSpan w:val="2"/>
          </w:tcPr>
          <w:p>
            <w:pPr>
              <w:ind w:left="120"/>
              <w:spacing w:after="0"/>
              <w:rPr>
                <w:sz w:val="20"/>
                <w:szCs w:val="20"/>
                <w:color w:val="auto"/>
              </w:rPr>
            </w:pPr>
            <w:r>
              <w:rPr>
                <w:rFonts w:ascii="Arial" w:cs="Arial" w:eastAsia="Arial" w:hAnsi="Arial"/>
                <w:sz w:val="12"/>
                <w:szCs w:val="12"/>
                <w:color w:val="auto"/>
              </w:rPr>
              <w:t>Options granted under 2017 Plan</w:t>
            </w:r>
          </w:p>
        </w:tc>
        <w:tc>
          <w:tcPr>
            <w:tcW w:w="1920" w:type="dxa"/>
            <w:vAlign w:val="bottom"/>
            <w:gridSpan w:val="2"/>
          </w:tcPr>
          <w:p>
            <w:pPr>
              <w:jc w:val="right"/>
              <w:ind w:right="40"/>
              <w:spacing w:after="0"/>
              <w:rPr>
                <w:sz w:val="20"/>
                <w:szCs w:val="20"/>
                <w:color w:val="auto"/>
              </w:rPr>
            </w:pPr>
            <w:r>
              <w:rPr>
                <w:rFonts w:ascii="Arial" w:cs="Arial" w:eastAsia="Arial" w:hAnsi="Arial"/>
                <w:sz w:val="12"/>
                <w:szCs w:val="12"/>
                <w:color w:val="auto"/>
              </w:rPr>
              <w:t>241,112</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1.90</w:t>
            </w:r>
          </w:p>
        </w:tc>
        <w:tc>
          <w:tcPr>
            <w:tcW w:w="20" w:type="dxa"/>
            <w:vAlign w:val="bottom"/>
          </w:tcPr>
          <w:p>
            <w:pPr>
              <w:spacing w:after="0"/>
              <w:rPr>
                <w:sz w:val="13"/>
                <w:szCs w:val="13"/>
                <w:color w:val="auto"/>
              </w:rPr>
            </w:pPr>
          </w:p>
        </w:tc>
      </w:tr>
      <w:tr>
        <w:trPr>
          <w:trHeight w:val="153"/>
        </w:trPr>
        <w:tc>
          <w:tcPr>
            <w:tcW w:w="73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Options exercised</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(1,257,513)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0.85</w:t>
            </w:r>
          </w:p>
        </w:tc>
        <w:tc>
          <w:tcPr>
            <w:tcW w:w="20" w:type="dxa"/>
            <w:vAlign w:val="bottom"/>
          </w:tcPr>
          <w:p>
            <w:pPr>
              <w:spacing w:after="0"/>
              <w:rPr>
                <w:sz w:val="13"/>
                <w:szCs w:val="13"/>
                <w:color w:val="auto"/>
              </w:rPr>
            </w:pPr>
          </w:p>
        </w:tc>
      </w:tr>
      <w:tr>
        <w:trPr>
          <w:trHeight w:val="153"/>
        </w:trPr>
        <w:tc>
          <w:tcPr>
            <w:tcW w:w="7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Options forfeited and canceled</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(2,477,613)</w:t>
            </w:r>
          </w:p>
        </w:tc>
        <w:tc>
          <w:tcPr>
            <w:tcW w:w="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1.18</w:t>
            </w:r>
          </w:p>
        </w:tc>
        <w:tc>
          <w:tcPr>
            <w:tcW w:w="20" w:type="dxa"/>
            <w:vAlign w:val="bottom"/>
          </w:tcPr>
          <w:p>
            <w:pPr>
              <w:spacing w:after="0"/>
              <w:rPr>
                <w:sz w:val="13"/>
                <w:szCs w:val="13"/>
                <w:color w:val="auto"/>
              </w:rPr>
            </w:pPr>
          </w:p>
        </w:tc>
      </w:tr>
      <w:tr>
        <w:trPr>
          <w:trHeight w:val="142"/>
        </w:trPr>
        <w:tc>
          <w:tcPr>
            <w:tcW w:w="7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September 30, 2021</w:t>
            </w:r>
          </w:p>
        </w:tc>
        <w:tc>
          <w:tcPr>
            <w:tcW w:w="1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28,845,956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0.49</w:t>
            </w:r>
          </w:p>
        </w:tc>
        <w:tc>
          <w:tcPr>
            <w:tcW w:w="20" w:type="dxa"/>
            <w:vAlign w:val="bottom"/>
          </w:tcPr>
          <w:p>
            <w:pPr>
              <w:spacing w:after="0"/>
              <w:rPr>
                <w:sz w:val="12"/>
                <w:szCs w:val="12"/>
                <w:color w:val="auto"/>
              </w:rPr>
            </w:pPr>
          </w:p>
        </w:tc>
      </w:tr>
      <w:tr>
        <w:trPr>
          <w:trHeight w:val="142"/>
        </w:trPr>
        <w:tc>
          <w:tcPr>
            <w:tcW w:w="7360" w:type="dxa"/>
            <w:vAlign w:val="bottom"/>
            <w:gridSpan w:val="2"/>
          </w:tcPr>
          <w:p>
            <w:pPr>
              <w:ind w:left="120"/>
              <w:spacing w:after="0"/>
              <w:rPr>
                <w:sz w:val="20"/>
                <w:szCs w:val="20"/>
                <w:color w:val="auto"/>
              </w:rPr>
            </w:pPr>
            <w:r>
              <w:rPr>
                <w:rFonts w:ascii="Arial" w:cs="Arial" w:eastAsia="Arial" w:hAnsi="Arial"/>
                <w:sz w:val="12"/>
                <w:szCs w:val="12"/>
                <w:color w:val="auto"/>
              </w:rPr>
              <w:t>Options exercisable at September 30, 2021</w:t>
            </w:r>
          </w:p>
        </w:tc>
        <w:tc>
          <w:tcPr>
            <w:tcW w:w="1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22,851,188</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0.33</w:t>
            </w:r>
          </w:p>
        </w:tc>
        <w:tc>
          <w:tcPr>
            <w:tcW w:w="20" w:type="dxa"/>
            <w:vAlign w:val="bottom"/>
          </w:tcPr>
          <w:p>
            <w:pPr>
              <w:spacing w:after="0"/>
              <w:rPr>
                <w:sz w:val="12"/>
                <w:szCs w:val="12"/>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300"/>
        </w:trPr>
        <w:tc>
          <w:tcPr>
            <w:tcW w:w="11300" w:type="dxa"/>
            <w:vAlign w:val="bottom"/>
            <w:gridSpan w:val="8"/>
          </w:tcPr>
          <w:p>
            <w:pPr>
              <w:ind w:left="200"/>
              <w:spacing w:after="0"/>
              <w:rPr>
                <w:sz w:val="20"/>
                <w:szCs w:val="20"/>
                <w:color w:val="auto"/>
              </w:rPr>
            </w:pPr>
            <w:r>
              <w:rPr>
                <w:rFonts w:ascii="Arial" w:cs="Arial" w:eastAsia="Arial" w:hAnsi="Arial"/>
                <w:sz w:val="12"/>
                <w:szCs w:val="12"/>
                <w:color w:val="auto"/>
              </w:rPr>
              <w:t>The estimated fair value of the stock option awards as of September 30, 2021 and September 30, 2020, was estimated using the Black-Scholes option pricing model with the following assumptions:</w:t>
            </w:r>
          </w:p>
        </w:tc>
      </w:tr>
      <w:tr>
        <w:trPr>
          <w:trHeight w:val="257"/>
        </w:trPr>
        <w:tc>
          <w:tcPr>
            <w:tcW w:w="7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gridSpan w:val="6"/>
          </w:tcPr>
          <w:p>
            <w:pPr>
              <w:jc w:val="right"/>
              <w:ind w:right="1360"/>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7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8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10"/>
                <w:szCs w:val="10"/>
                <w:color w:val="auto"/>
              </w:rPr>
            </w:pPr>
          </w:p>
        </w:tc>
      </w:tr>
      <w:tr>
        <w:trPr>
          <w:trHeight w:val="143"/>
        </w:trPr>
        <w:tc>
          <w:tcPr>
            <w:tcW w:w="7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49.60 %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65.00 %</w:t>
            </w:r>
          </w:p>
        </w:tc>
      </w:tr>
      <w:tr>
        <w:trPr>
          <w:trHeight w:val="153"/>
        </w:trPr>
        <w:tc>
          <w:tcPr>
            <w:tcW w:w="7360" w:type="dxa"/>
            <w:vAlign w:val="bottom"/>
            <w:gridSpan w:val="2"/>
          </w:tcPr>
          <w:p>
            <w:pPr>
              <w:spacing w:after="0"/>
              <w:rPr>
                <w:sz w:val="20"/>
                <w:szCs w:val="20"/>
                <w:color w:val="auto"/>
              </w:rPr>
            </w:pPr>
            <w:r>
              <w:rPr>
                <w:rFonts w:ascii="Arial" w:cs="Arial" w:eastAsia="Arial" w:hAnsi="Arial"/>
                <w:sz w:val="12"/>
                <w:szCs w:val="12"/>
                <w:color w:val="auto"/>
              </w:rPr>
              <w:t>Expected term (in years)</w:t>
            </w:r>
          </w:p>
        </w:tc>
        <w:tc>
          <w:tcPr>
            <w:tcW w:w="1840" w:type="dxa"/>
            <w:vAlign w:val="bottom"/>
          </w:tcPr>
          <w:p>
            <w:pPr>
              <w:jc w:val="right"/>
              <w:spacing w:after="0"/>
              <w:rPr>
                <w:sz w:val="20"/>
                <w:szCs w:val="20"/>
                <w:color w:val="auto"/>
              </w:rPr>
            </w:pPr>
            <w:r>
              <w:rPr>
                <w:rFonts w:ascii="Arial" w:cs="Arial" w:eastAsia="Arial" w:hAnsi="Arial"/>
                <w:sz w:val="12"/>
                <w:szCs w:val="12"/>
                <w:color w:val="auto"/>
              </w:rPr>
              <w:t>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2"/>
                <w:szCs w:val="12"/>
                <w:color w:val="auto"/>
              </w:rPr>
              <w:t>2.00 - 4.50</w:t>
            </w:r>
          </w:p>
        </w:tc>
      </w:tr>
      <w:tr>
        <w:trPr>
          <w:trHeight w:val="153"/>
        </w:trPr>
        <w:tc>
          <w:tcPr>
            <w:tcW w:w="7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0.71 %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0.15% - 0.27%</w:t>
            </w:r>
          </w:p>
        </w:tc>
      </w:tr>
      <w:tr>
        <w:trPr>
          <w:trHeight w:val="153"/>
        </w:trPr>
        <w:tc>
          <w:tcPr>
            <w:tcW w:w="7360" w:type="dxa"/>
            <w:vAlign w:val="bottom"/>
            <w:gridSpan w:val="2"/>
          </w:tcPr>
          <w:p>
            <w:pPr>
              <w:spacing w:after="0"/>
              <w:rPr>
                <w:sz w:val="20"/>
                <w:szCs w:val="20"/>
                <w:color w:val="auto"/>
              </w:rPr>
            </w:pPr>
            <w:r>
              <w:rPr>
                <w:rFonts w:ascii="Arial" w:cs="Arial" w:eastAsia="Arial" w:hAnsi="Arial"/>
                <w:sz w:val="12"/>
                <w:szCs w:val="12"/>
                <w:color w:val="auto"/>
              </w:rPr>
              <w:t>Dividend yield</w:t>
            </w:r>
          </w:p>
        </w:tc>
        <w:tc>
          <w:tcPr>
            <w:tcW w:w="1840" w:type="dxa"/>
            <w:vAlign w:val="bottom"/>
          </w:tcPr>
          <w:p>
            <w:pPr>
              <w:jc w:val="right"/>
              <w:spacing w:after="0"/>
              <w:rPr>
                <w:sz w:val="20"/>
                <w:szCs w:val="20"/>
                <w:color w:val="auto"/>
              </w:rPr>
            </w:pPr>
            <w:r>
              <w:rPr>
                <w:rFonts w:ascii="Arial" w:cs="Arial" w:eastAsia="Arial" w:hAnsi="Arial"/>
                <w:sz w:val="12"/>
                <w:szCs w:val="12"/>
                <w:color w:val="auto"/>
              </w:rPr>
              <w:t>0.00 %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2"/>
                <w:szCs w:val="12"/>
                <w:color w:val="auto"/>
              </w:rPr>
              <w:t>0.00 %</w:t>
            </w:r>
          </w:p>
        </w:tc>
      </w:tr>
      <w:tr>
        <w:trPr>
          <w:trHeight w:val="153"/>
        </w:trPr>
        <w:tc>
          <w:tcPr>
            <w:tcW w:w="7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Fair value of Class A common stock</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$0.89 - $1.85</w:t>
            </w:r>
          </w:p>
        </w:tc>
      </w:tr>
    </w:tbl>
    <w:p>
      <w:pPr>
        <w:spacing w:after="0" w:line="17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September 30, 2021, unrecognized stock-based compensation cost related to the unvested portion of the Company’s stock options was $25.5 million. The Company expects to recognize the unrecognized compensation cost on a graded-vesting basis over a weighted-average period of 1.5 years.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Appreciation Rights (SAR) Activity</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three months ended September 30, 2021. There were no outstanding SARs as of September 30, 2021.</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Stock-based compensation expense for all awards granted and outstanding is included within the condensed consolidated statements of operations and comprehensive loss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5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auto"/>
              </w:rPr>
              <w:t>Three months ended September 30,</w:t>
            </w:r>
          </w:p>
        </w:tc>
        <w:tc>
          <w:tcPr>
            <w:tcW w:w="520" w:type="dxa"/>
            <w:vAlign w:val="bottom"/>
            <w:tcBorders>
              <w:bottom w:val="single" w:sz="8" w:color="auto"/>
            </w:tcBorders>
          </w:tcPr>
          <w:p>
            <w:pPr>
              <w:spacing w:after="0"/>
              <w:rPr>
                <w:sz w:val="11"/>
                <w:szCs w:val="11"/>
                <w:color w:val="auto"/>
              </w:rPr>
            </w:pPr>
          </w:p>
        </w:tc>
      </w:tr>
      <w:tr>
        <w:trPr>
          <w:trHeight w:val="118"/>
        </w:trPr>
        <w:tc>
          <w:tcPr>
            <w:tcW w:w="3820" w:type="dxa"/>
            <w:vAlign w:val="bottom"/>
            <w:tcBorders>
              <w:bottom w:val="single" w:sz="8" w:color="CCEEFF"/>
            </w:tcBorders>
          </w:tcPr>
          <w:p>
            <w:pPr>
              <w:spacing w:after="0"/>
              <w:rPr>
                <w:sz w:val="10"/>
                <w:szCs w:val="10"/>
                <w:color w:val="auto"/>
              </w:rPr>
            </w:pPr>
          </w:p>
        </w:tc>
        <w:tc>
          <w:tcPr>
            <w:tcW w:w="44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r>
      <w:tr>
        <w:trPr>
          <w:trHeight w:val="143"/>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5400" w:type="dxa"/>
            <w:vAlign w:val="bottom"/>
            <w:gridSpan w:val="2"/>
            <w:shd w:val="clear" w:color="auto" w:fill="CCEEFF"/>
          </w:tcPr>
          <w:p>
            <w:pPr>
              <w:jc w:val="right"/>
              <w:ind w:right="8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3,506</w:t>
            </w: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3,160</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6,583</w:t>
            </w:r>
          </w:p>
        </w:tc>
      </w:tr>
      <w:tr>
        <w:trPr>
          <w:trHeight w:val="153"/>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4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2,758</w:t>
            </w:r>
          </w:p>
        </w:tc>
      </w:tr>
      <w:tr>
        <w:trPr>
          <w:trHeight w:val="153"/>
        </w:trPr>
        <w:tc>
          <w:tcPr>
            <w:tcW w:w="3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w:t>
            </w:r>
          </w:p>
        </w:tc>
        <w:tc>
          <w:tcPr>
            <w:tcW w:w="44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8,889</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16,606</w:t>
            </w:r>
          </w:p>
        </w:tc>
      </w:tr>
      <w:tr>
        <w:trPr>
          <w:trHeight w:val="162"/>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stock-based compensation expense</w:t>
            </w:r>
          </w:p>
        </w:tc>
        <w:tc>
          <w:tcPr>
            <w:tcW w:w="5400" w:type="dxa"/>
            <w:vAlign w:val="bottom"/>
            <w:gridSpan w:val="2"/>
            <w:shd w:val="clear" w:color="auto" w:fill="CCEEFF"/>
          </w:tcPr>
          <w:p>
            <w:pPr>
              <w:jc w:val="right"/>
              <w:ind w:right="8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18,011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29,453</w:t>
            </w:r>
          </w:p>
        </w:tc>
      </w:tr>
      <w:tr>
        <w:trPr>
          <w:trHeight w:val="482"/>
        </w:trPr>
        <w:tc>
          <w:tcPr>
            <w:tcW w:w="3820" w:type="dxa"/>
            <w:vAlign w:val="bottom"/>
            <w:tcBorders>
              <w:top w:val="single" w:sz="8" w:color="CCEEFF"/>
            </w:tcBorders>
          </w:tcPr>
          <w:p>
            <w:pPr>
              <w:spacing w:after="0"/>
              <w:rPr>
                <w:sz w:val="24"/>
                <w:szCs w:val="24"/>
                <w:color w:val="auto"/>
              </w:rPr>
            </w:pPr>
          </w:p>
        </w:tc>
        <w:tc>
          <w:tcPr>
            <w:tcW w:w="4420" w:type="dxa"/>
            <w:vAlign w:val="bottom"/>
            <w:tcBorders>
              <w:top w:val="single" w:sz="8" w:color="CCEEFF"/>
            </w:tcBorders>
          </w:tcPr>
          <w:p>
            <w:pPr>
              <w:jc w:val="right"/>
              <w:ind w:right="2480"/>
              <w:spacing w:after="0"/>
              <w:rPr>
                <w:sz w:val="20"/>
                <w:szCs w:val="20"/>
                <w:color w:val="auto"/>
              </w:rPr>
            </w:pPr>
            <w:r>
              <w:rPr>
                <w:rFonts w:ascii="Arial" w:cs="Arial" w:eastAsia="Arial" w:hAnsi="Arial"/>
                <w:sz w:val="12"/>
                <w:szCs w:val="12"/>
                <w:color w:val="auto"/>
              </w:rPr>
              <w:t>26</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80"/>
        </w:trPr>
        <w:tc>
          <w:tcPr>
            <w:tcW w:w="3820" w:type="dxa"/>
            <w:vAlign w:val="bottom"/>
            <w:tcBorders>
              <w:bottom w:val="single" w:sz="8" w:color="9A9A9A"/>
            </w:tcBorders>
          </w:tcPr>
          <w:p>
            <w:pPr>
              <w:spacing w:after="0"/>
              <w:rPr>
                <w:sz w:val="15"/>
                <w:szCs w:val="15"/>
                <w:color w:val="auto"/>
              </w:rPr>
            </w:pPr>
          </w:p>
        </w:tc>
        <w:tc>
          <w:tcPr>
            <w:tcW w:w="44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0"/>
                <w:szCs w:val="10"/>
                <w:b w:val="1"/>
                <w:bCs w:val="1"/>
                <w:color w:val="auto"/>
              </w:rPr>
              <w:t>Nine months ended September 30,</w:t>
            </w:r>
          </w:p>
        </w:tc>
        <w:tc>
          <w:tcPr>
            <w:tcW w:w="520" w:type="dxa"/>
            <w:vAlign w:val="bottom"/>
            <w:tcBorders>
              <w:bottom w:val="single" w:sz="8" w:color="auto"/>
            </w:tcBorders>
          </w:tcPr>
          <w:p>
            <w:pPr>
              <w:spacing w:after="0"/>
              <w:rPr>
                <w:sz w:val="11"/>
                <w:szCs w:val="11"/>
                <w:color w:val="auto"/>
              </w:rPr>
            </w:pPr>
          </w:p>
        </w:tc>
      </w:tr>
      <w:tr>
        <w:trPr>
          <w:trHeight w:val="118"/>
        </w:trPr>
        <w:tc>
          <w:tcPr>
            <w:tcW w:w="824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23,162</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40,977</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6,687</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20,722</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2,865</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97,593</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17,021</w:t>
            </w:r>
          </w:p>
        </w:tc>
      </w:tr>
      <w:tr>
        <w:trPr>
          <w:trHeight w:val="15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stock-based compensation expense</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182,454</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30,073</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Redeemable Convertible Preferred Stock</w:t>
      </w:r>
    </w:p>
    <w:p>
      <w:pPr>
        <w:spacing w:after="0" w:line="13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There were no shares of Redeemable Convertible Preferred Stock outstanding as of September 30, 2021. Redeemable Convertible Preferred Stock as of December 31, 2020 consisted of the following (in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Redeemable Convertible Preferred Stock</w:t>
            </w:r>
          </w:p>
        </w:tc>
        <w:tc>
          <w:tcPr>
            <w:tcW w:w="1560" w:type="dxa"/>
            <w:vAlign w:val="bottom"/>
            <w:tcBorders>
              <w:bottom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Shares Authorized</w:t>
            </w: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w w:val="95"/>
              </w:rPr>
              <w:t>Shares Issued and Outstanding</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Amount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7"/>
              </w:rPr>
              <w:t>Aggregate Liquidation Preference</w:t>
            </w: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Series A-1</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55,399,943</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55,399,943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51,811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55,000</w:t>
            </w: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Series A-2</w:t>
            </w:r>
          </w:p>
        </w:tc>
        <w:tc>
          <w:tcPr>
            <w:tcW w:w="1480" w:type="dxa"/>
            <w:vAlign w:val="bottom"/>
          </w:tcPr>
          <w:p>
            <w:pPr>
              <w:jc w:val="right"/>
              <w:spacing w:after="0"/>
              <w:rPr>
                <w:sz w:val="20"/>
                <w:szCs w:val="20"/>
                <w:color w:val="auto"/>
              </w:rPr>
            </w:pPr>
            <w:r>
              <w:rPr>
                <w:rFonts w:ascii="Arial" w:cs="Arial" w:eastAsia="Arial" w:hAnsi="Arial"/>
                <w:sz w:val="12"/>
                <w:szCs w:val="12"/>
                <w:color w:val="auto"/>
              </w:rPr>
              <w:t>64,718,940</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49,700,364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46,480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49,342</w:t>
            </w: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Series B</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41,937,960</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41,937,960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118,824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204,302</w:t>
            </w:r>
          </w:p>
        </w:tc>
      </w:tr>
      <w:tr>
        <w:trPr>
          <w:trHeight w:val="153"/>
        </w:trPr>
        <w:tc>
          <w:tcPr>
            <w:tcW w:w="5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Series C</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24,497,317</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24,496,946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117,324</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121,397</w:t>
            </w:r>
          </w:p>
        </w:tc>
      </w:tr>
      <w:tr>
        <w:trPr>
          <w:trHeight w:val="158"/>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Redeemable Convertible Preferred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186,554,160</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171,535,213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334,439</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430,041</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Common Stock</w:t>
      </w:r>
    </w:p>
    <w:p>
      <w:pPr>
        <w:spacing w:after="0" w:line="13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There were 240,190,402 shares of Sema4 Holdings Class A common stock and 124 shares of Legacy Sema4 Class A common stock issued and outstanding as of September 30, 2021 and December 31, 2020, respectively. There were 0 and 130,557 shares of Class B common stock issued and outstanding as of September 30, 2021 and December 31, 2020,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Income Taxes</w:t>
      </w:r>
    </w:p>
    <w:p>
      <w:pPr>
        <w:spacing w:after="0" w:line="12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Income taxes for the three and nine months ended September 30, 2021 and September 30, 2020 are recorded at the Company’s estimated annual effective income tax rate, subject to adjustments for discrete events, should they occur. The Company’s estimated annual effective tax rate was 0.0% for the three and nine months ended September 30, 2021 and September 30, 2020. The primary reconciling item between the federal statutory rate of 21.0% for these periods and the Company’s overall effective tax rate of 0.0% was related to the effects of the valuation allowance recorded against the full amount of its net deferred tax assets.</w:t>
      </w:r>
    </w:p>
    <w:p>
      <w:pPr>
        <w:spacing w:after="0" w:line="8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September 30, 2021 and September 30, 2020 since management believes that based on the earnings history of the Company, it is more likely than not that the benefits of these assets will not be realized.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Holdings Corp.</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Net Income (Loss) per Share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Basic and diluted loss per share attributable to common stockholders was calculated as follows (amounts in thousands, except for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20" w:type="dxa"/>
            <w:vAlign w:val="bottom"/>
          </w:tcPr>
          <w:p>
            <w:pPr>
              <w:spacing w:after="0"/>
              <w:rPr>
                <w:sz w:val="11"/>
                <w:szCs w:val="11"/>
                <w:color w:val="auto"/>
              </w:rPr>
            </w:pPr>
          </w:p>
        </w:tc>
        <w:tc>
          <w:tcPr>
            <w:tcW w:w="248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0"/>
                <w:szCs w:val="10"/>
                <w:b w:val="1"/>
                <w:bCs w:val="1"/>
                <w:color w:val="auto"/>
              </w:rPr>
              <w:t>Three months ended September 30,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51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2020</w:t>
            </w:r>
          </w:p>
        </w:tc>
      </w:tr>
      <w:tr>
        <w:trPr>
          <w:trHeight w:val="134"/>
        </w:trPr>
        <w:tc>
          <w:tcPr>
            <w:tcW w:w="51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Numerator:</w:t>
            </w: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Net income (loss) attributable to common stockholders</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31,392</w:t>
            </w:r>
          </w:p>
        </w:tc>
        <w:tc>
          <w:tcPr>
            <w:tcW w:w="80" w:type="dxa"/>
            <w:vAlign w:val="bottom"/>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(115,657)</w:t>
            </w: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Denominator:</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Denominator for basic earnings per share-weighted-average common shares</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86"/>
              </w:rPr>
              <w:t>185,680,394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63,121,738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124</w:t>
            </w: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Effect of dilutive securities:</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51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Employee stock options</w:t>
            </w:r>
          </w:p>
        </w:tc>
        <w:tc>
          <w:tcPr>
            <w:tcW w:w="8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24,650,552</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Denominator for diluted earnings per share-adjusted weighted-average common shares</w:t>
            </w: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210,330,946</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Basic earnings/(loss) per share</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0.17</w:t>
            </w:r>
          </w:p>
        </w:tc>
        <w:tc>
          <w:tcPr>
            <w:tcW w:w="80" w:type="dxa"/>
            <w:vAlign w:val="bottom"/>
          </w:tcPr>
          <w:p>
            <w:pPr>
              <w:spacing w:after="0"/>
              <w:rPr>
                <w:sz w:val="13"/>
                <w:szCs w:val="13"/>
                <w:color w:val="auto"/>
              </w:rPr>
            </w:pPr>
          </w:p>
        </w:tc>
        <w:tc>
          <w:tcPr>
            <w:tcW w:w="920" w:type="dxa"/>
            <w:vAlign w:val="bottom"/>
          </w:tcPr>
          <w:p>
            <w:pPr>
              <w:jc w:val="right"/>
              <w:ind w:right="78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(456,573)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(932,718)</w:t>
            </w: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earnings/(loss) per share</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(456,573)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(932,718)</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earnings/(loss) per share calculation on a prospective basis.</w:t>
      </w:r>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20" w:type="dxa"/>
            <w:vAlign w:val="bottom"/>
          </w:tcPr>
          <w:p>
            <w:pPr>
              <w:spacing w:after="0"/>
              <w:rPr>
                <w:sz w:val="11"/>
                <w:szCs w:val="11"/>
                <w:color w:val="auto"/>
              </w:rPr>
            </w:pPr>
          </w:p>
        </w:tc>
        <w:tc>
          <w:tcPr>
            <w:tcW w:w="24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0"/>
                <w:szCs w:val="10"/>
                <w:b w:val="1"/>
                <w:bCs w:val="1"/>
                <w:color w:val="auto"/>
              </w:rPr>
              <w:t>Three months ended September 30,</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5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58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2020</w:t>
            </w:r>
          </w:p>
        </w:tc>
      </w:tr>
      <w:tr>
        <w:trPr>
          <w:trHeight w:val="143"/>
        </w:trPr>
        <w:tc>
          <w:tcPr>
            <w:tcW w:w="5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options to purchase Class A common stock</w:t>
            </w:r>
          </w:p>
        </w:tc>
        <w:tc>
          <w:tcPr>
            <w:tcW w:w="1560" w:type="dxa"/>
            <w:vAlign w:val="bottom"/>
            <w:gridSpan w:val="3"/>
            <w:shd w:val="clear" w:color="auto" w:fill="CCEEFF"/>
          </w:tcPr>
          <w:p>
            <w:pPr>
              <w:jc w:val="right"/>
              <w:ind w:right="932"/>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12,796,144</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28,846,080</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12,769,144</w:t>
            </w:r>
          </w:p>
        </w:tc>
      </w:tr>
      <w:tr>
        <w:trPr>
          <w:trHeight w:val="162"/>
        </w:trPr>
        <w:tc>
          <w:tcPr>
            <w:tcW w:w="5980" w:type="dxa"/>
            <w:vAlign w:val="bottom"/>
            <w:gridSpan w:val="2"/>
          </w:tcPr>
          <w:p>
            <w:pPr>
              <w:spacing w:after="0"/>
              <w:rPr>
                <w:sz w:val="20"/>
                <w:szCs w:val="20"/>
                <w:color w:val="auto"/>
              </w:rPr>
            </w:pPr>
            <w:r>
              <w:rPr>
                <w:rFonts w:ascii="Arial" w:cs="Arial" w:eastAsia="Arial" w:hAnsi="Arial"/>
                <w:sz w:val="12"/>
                <w:szCs w:val="12"/>
                <w:color w:val="auto"/>
              </w:rPr>
              <w:t>Outstanding warrants</w:t>
            </w:r>
          </w:p>
        </w:tc>
        <w:tc>
          <w:tcPr>
            <w:tcW w:w="620" w:type="dxa"/>
            <w:vAlign w:val="bottom"/>
          </w:tcPr>
          <w:p>
            <w:pPr>
              <w:jc w:val="right"/>
              <w:spacing w:after="0"/>
              <w:rPr>
                <w:sz w:val="20"/>
                <w:szCs w:val="20"/>
                <w:color w:val="auto"/>
              </w:rPr>
            </w:pPr>
            <w:r>
              <w:rPr>
                <w:rFonts w:ascii="Arial" w:cs="Arial" w:eastAsia="Arial" w:hAnsi="Arial"/>
                <w:sz w:val="12"/>
                <w:szCs w:val="12"/>
                <w:color w:val="auto"/>
                <w:w w:val="93"/>
              </w:rPr>
              <w:t>21,994,972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21,994,972</w:t>
            </w:r>
          </w:p>
        </w:tc>
        <w:tc>
          <w:tcPr>
            <w:tcW w:w="100" w:type="dxa"/>
            <w:vAlign w:val="bottom"/>
          </w:tcPr>
          <w:p>
            <w:pPr>
              <w:spacing w:after="0"/>
              <w:rPr>
                <w:sz w:val="14"/>
                <w:szCs w:val="14"/>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Outstanding earn-out shares</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16,331,812</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16,331,812</w:t>
            </w:r>
          </w:p>
        </w:tc>
        <w:tc>
          <w:tcPr>
            <w:tcW w:w="10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5980" w:type="dxa"/>
            <w:vAlign w:val="bottom"/>
            <w:gridSpan w:val="2"/>
          </w:tcPr>
          <w:p>
            <w:pPr>
              <w:spacing w:after="0"/>
              <w:rPr>
                <w:sz w:val="20"/>
                <w:szCs w:val="20"/>
                <w:color w:val="auto"/>
              </w:rPr>
            </w:pPr>
            <w:r>
              <w:rPr>
                <w:rFonts w:ascii="Arial" w:cs="Arial" w:eastAsia="Arial" w:hAnsi="Arial"/>
                <w:sz w:val="12"/>
                <w:szCs w:val="12"/>
                <w:color w:val="auto"/>
              </w:rPr>
              <w:t>Total</w:t>
            </w:r>
          </w:p>
        </w:tc>
        <w:tc>
          <w:tcPr>
            <w:tcW w:w="620" w:type="dxa"/>
            <w:vAlign w:val="bottom"/>
          </w:tcPr>
          <w:p>
            <w:pPr>
              <w:jc w:val="right"/>
              <w:spacing w:after="0"/>
              <w:rPr>
                <w:sz w:val="20"/>
                <w:szCs w:val="20"/>
                <w:color w:val="auto"/>
              </w:rPr>
            </w:pPr>
            <w:r>
              <w:rPr>
                <w:rFonts w:ascii="Arial" w:cs="Arial" w:eastAsia="Arial" w:hAnsi="Arial"/>
                <w:sz w:val="12"/>
                <w:szCs w:val="12"/>
                <w:color w:val="auto"/>
                <w:w w:val="93"/>
              </w:rPr>
              <w:t>38,326,784</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3"/>
              </w:rPr>
              <w:t>12,796,144</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67,172,864</w:t>
            </w:r>
          </w:p>
        </w:tc>
        <w:tc>
          <w:tcPr>
            <w:tcW w:w="100" w:type="dxa"/>
            <w:vAlign w:val="bottom"/>
          </w:tcPr>
          <w:p>
            <w:pPr>
              <w:spacing w:after="0"/>
              <w:rPr>
                <w:sz w:val="12"/>
                <w:szCs w:val="12"/>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12,769,144</w:t>
            </w:r>
          </w:p>
        </w:tc>
      </w:tr>
      <w:tr>
        <w:trPr>
          <w:trHeight w:val="20"/>
        </w:trPr>
        <w:tc>
          <w:tcPr>
            <w:tcW w:w="5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Subsequent Events</w:t>
      </w:r>
    </w:p>
    <w:p>
      <w:pPr>
        <w:spacing w:after="0" w:line="1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1"/>
          <w:szCs w:val="11"/>
          <w:color w:val="auto"/>
        </w:rPr>
        <w:t>On November 15, 2021, the Company entered into a Loan and Security Agreement (the “SVB Agreement”) with Silicon Valley Bank (“SVB”), whereby SVB agreed to provide a $125,000,000 revolving credit facility (“Revolver”) with a maturity date of November 15, 2024. Any borrowings under the Revolver will bear interest at a floating rate that is the greater of either (a) Wall Street Journal Prime Rate (the “Prime Rate”) plus 0.75% (the “Prime Rate Margin”) or (b) 4.00%. The Revolver also requires an unused line fee of 0.25% per annum payable quarterly. The Revolver is secured by certain assets of the Company and its subsidiary, Sema4 Opco, Inc.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2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2020 and the related notes incorporated by reference in our audited financial statements appearing in the definitive proxy statement filed by CM Life Sciences, Inc. with the SEC on July 2, 2021 (the “Proxy Statement”).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1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i w:val="1"/>
          <w:iCs w:val="1"/>
          <w:color w:val="auto"/>
        </w:rPr>
        <w:t>Unless the context otherwise requires, references herein to the “Company,” “Sema4” or “we,” “us” or and “our” refers to Mount Sinai Genomics Inc. d/b/a Sema4 (“Legacy Sema4”), prior to the consummation of the Business Combination (the “Closing,” and such date of the consummation of the Business Combination, the “Closing Date”) and to Sema4 Holdings Corp. (“Sema4 Holdings”) and its subsidiary following the Business Combination.</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9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were established out of Icahn School of Medicine at Mount Sinai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11.9 million de-identified individual clinical records, many with genomic profiles. We also manage a data asset over 39.2 petabytes in size, expanding at 1.4 petabytes per month with an accelerating growth rate.</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Currently, we derive the majority of our revenue from our diagnostic test solutions. Our diagnostic business generates revenue and engages with patients primarily through our Women’s Health and Oncology solutions.</w:t>
      </w:r>
    </w:p>
    <w:p>
      <w:pPr>
        <w:spacing w:after="0" w:line="13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w:t>
      </w:r>
    </w:p>
    <w:p>
      <w:pPr>
        <w:spacing w:after="0" w:line="11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Performance</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for more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Number of accessioned and resulted tests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believe the number of accessioned and resulted tests in any period is an important indicator of the growth in our diagnostic testing services and correlates with long-term patient relationships and the size of our genomic database. A test is accessioned when we receive the test at our laboratory, enter the relevant information about the test into our computer</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system and the test sample is routed to the appropriate workflow. Once the appropriate workflow is completed, the test is resulted and details are provided to ordered patients or healthcare professionals for review.</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Success obtaining and maintaining reimbursement</w:t>
      </w:r>
    </w:p>
    <w:p>
      <w:pPr>
        <w:spacing w:after="0" w:line="123"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9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9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Ability to lower the costs associated with performing our tests</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Increasing adoption of our services by existing and new customers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 platform innovation to support commercial growth</w:t>
      </w:r>
    </w:p>
    <w:p>
      <w:pPr>
        <w:spacing w:after="0" w:line="13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9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Performance Indicators</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0" w:name="page31"/>
    <w:bookmarkEnd w:id="3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and financial condition together with our unaudited condensed consolidated financial statements and the related notes and other financial information included elsewhere in this Quarterly Report.</w:t>
      </w:r>
    </w:p>
    <w:p>
      <w:pPr>
        <w:spacing w:after="0" w:line="13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that we accession and result are key indicators that we use to assess the operational efficiency of our business. A test is accessioned when we receive the test at our laboratory, the relevant information about the test is entered into our computer system and the test sample is routed through the appropriate workflow. Once the appropriate workflow is completed, the test is resulted and details are provided to ordered patients or healthcare professionals for reviews.</w:t>
      </w:r>
    </w:p>
    <w:p>
      <w:pPr>
        <w:spacing w:after="0" w:line="8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During the nine months ended September 30, 2021, we accessioned approximately 480,291 tests in our laboratories, 271,354 tests of which were for COVID-19, compared to the period ended September 30, 2020, in which we accessioned approximately 197,593 tests in our laboratories, 47,578 of which were for COVID-19. We resulted approximately 481,896 tests in our laboratories, 272,973 tests of which were for COVID-19, compared to the period ended September 30, 2020, in which we resulted approximately 214,554 tests in our laboratories, 67,675 of which were for COVID-19. This 143% and 125% increase in accessioned and resulted volumes, respectively, from 2020 to 2021 largely resulted from newly entered service agreements for COVID-19 testing as well as an increase in non-COVID-19 institutional testing. The volume of resulted tests during the periods may include tests accessioned in prior periods that are completed and delivered during the period.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Impact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COVID-19 has had, and continues to have, an extensive impact on the global health and economic environments.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0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(“PRF”), distribution and $2.8 million received under the Employee Retention Credit (“ERC”), distribution. In 2021, we received an additional $5.6 million under the PRF distribution.</w:t>
      </w:r>
    </w:p>
    <w:p>
      <w:pPr>
        <w:spacing w:after="0" w:line="104"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derive the majority of our revenue from diagnostic testing services, which primarily relate to Women’s Health, Oncology, and COVID-19. We also recognize revenue from collaboration service agreements with biopharma companies and other third parties under which we provide diagnostic testing and related data aggregation reporting services.</w:t>
      </w:r>
    </w:p>
    <w:p>
      <w:pPr>
        <w:spacing w:after="0" w:line="8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 xml:space="preserve">In accordance with the Accounting Standards Codification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we recognize revenue when control of the promised goods or services is transferred to the customer in an amount that reflects the consideration which we expect to be entitled to in exchange for those goods or services.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Diagnostic Test Revenue</w:t>
      </w:r>
    </w:p>
    <w:p>
      <w:pPr>
        <w:spacing w:after="0" w:line="123"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several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accordance with the ASC 606, revenue is recognized at the point in time in which test results are delivered to customers in an amount that reflects what we expect to collect in exchange for our services.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Revenue</w:t>
      </w:r>
    </w:p>
    <w:p>
      <w:pPr>
        <w:spacing w:after="0" w:line="123"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accordance with the ASC 606, we recognize revenue for collaboration service agreements over time, based on costs incurred during the contract period.</w:t>
      </w:r>
    </w:p>
    <w:p>
      <w:pPr>
        <w:spacing w:after="0" w:line="132"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With respect to existing collaboration service agreements, our revenue may fluctuate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contracts with third-party partners.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cost of services reflect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The cost of services are recorded as the services are performed.</w:t>
      </w:r>
    </w:p>
    <w:p>
      <w:pPr>
        <w:spacing w:after="0" w:line="10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quarter to quarter.</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compensation,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04" w:lineRule="exact"/>
        <w:rPr>
          <w:sz w:val="20"/>
          <w:szCs w:val="20"/>
          <w:color w:val="auto"/>
        </w:rPr>
      </w:pPr>
    </w:p>
    <w:p>
      <w:pPr>
        <w:jc w:val="both"/>
        <w:ind w:firstLine="216"/>
        <w:spacing w:after="0" w:line="379" w:lineRule="auto"/>
        <w:rPr>
          <w:sz w:val="20"/>
          <w:szCs w:val="20"/>
          <w:color w:val="auto"/>
        </w:rPr>
      </w:pPr>
      <w:r>
        <w:rPr>
          <w:rFonts w:ascii="Arial" w:cs="Arial" w:eastAsia="Arial" w:hAnsi="Arial"/>
          <w:sz w:val="10"/>
          <w:szCs w:val="10"/>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and Marketing Expenses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9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generally expect our selling and marketing expenses to continue increasing in absolute dollars as we expand our commercial sales and marketing teams and increase marketing activities. However, we expect selling and marketing expenses to decrease as a percentage of revenue in the long term, subject to fluctuations due to the timing and magnitude of these expenses.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23" w:lineRule="exact"/>
        <w:rPr>
          <w:sz w:val="20"/>
          <w:szCs w:val="20"/>
          <w:color w:val="auto"/>
        </w:rPr>
      </w:pPr>
    </w:p>
    <w:p>
      <w:pPr>
        <w:jc w:val="both"/>
        <w:ind w:firstLine="216"/>
        <w:spacing w:after="0" w:line="379" w:lineRule="auto"/>
        <w:rPr>
          <w:sz w:val="20"/>
          <w:szCs w:val="20"/>
          <w:color w:val="auto"/>
        </w:rPr>
      </w:pPr>
      <w:r>
        <w:rPr>
          <w:rFonts w:ascii="Arial" w:cs="Arial" w:eastAsia="Arial" w:hAnsi="Arial"/>
          <w:sz w:val="10"/>
          <w:szCs w:val="10"/>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5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due to compensation-related charges.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Related Party Expenses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Related party expenses consist of amounts due to ISMMS for expenses under our TSA which expired at the end of the first quarter of 2021, and other service agreements. Additional information can be found in Legacy Sema4’s audited financial statements in Note 7,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 xml:space="preserve"> included within the Proxy Statement and our unaudited condensed consolidated financial statements in Note 7,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 xml:space="preserve"> included within this Quarterly Report.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expect related party expenses to decrease as we establish our own internal and external resources to fulfill the administrative and other services we have historically procured from ISMMS.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Interest income consists of interest earned on money market funds.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Interest expense consists of interest costs related to our capital leases and our long-term debt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32"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Other income (expense), net primarily consists of funding received under the CARES Act and, gains and losses on equipment disposals. We recognized $2.6 million of the $5.4 million of funding received under the CARES Act as other income, net on the statements of operations and comprehensive loss during the nine months ended September 30, 2020 and recognized $5.6 million of additional funding received under the CARES Act during the first quarter of 2021 and the amount is included in other income, net for the period ended nine months ended September 30, 2021. In addition, the loss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incurred due to early payment penalties recognized upon extinguishment of debt of $0.3 million is included in other income (expense), net.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three months ended September 30, 2021 and 2020</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our results of operations for the periods presented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0"/>
                <w:szCs w:val="10"/>
                <w:b w:val="1"/>
                <w:bCs w:val="1"/>
                <w:color w:val="auto"/>
              </w:rPr>
              <w:t>Three months ended September 30,</w:t>
            </w:r>
          </w:p>
        </w:tc>
        <w:tc>
          <w:tcPr>
            <w:tcW w:w="540" w:type="dxa"/>
            <w:vAlign w:val="bottom"/>
            <w:tcBorders>
              <w:bottom w:val="single" w:sz="8" w:color="auto"/>
            </w:tcBorders>
          </w:tcPr>
          <w:p>
            <w:pPr>
              <w:spacing w:after="0"/>
              <w:rPr>
                <w:sz w:val="11"/>
                <w:szCs w:val="11"/>
                <w:color w:val="auto"/>
              </w:rPr>
            </w:pPr>
          </w:p>
        </w:tc>
      </w:tr>
      <w:tr>
        <w:trPr>
          <w:trHeight w:val="196"/>
        </w:trPr>
        <w:tc>
          <w:tcPr>
            <w:tcW w:w="8240" w:type="dxa"/>
            <w:vAlign w:val="bottom"/>
          </w:tcPr>
          <w:p>
            <w:pPr>
              <w:spacing w:after="0"/>
              <w:rPr>
                <w:sz w:val="17"/>
                <w:szCs w:val="17"/>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7"/>
                <w:szCs w:val="17"/>
                <w:color w:val="auto"/>
              </w:rPr>
            </w:pPr>
          </w:p>
        </w:tc>
      </w:tr>
      <w:tr>
        <w:trPr>
          <w:trHeight w:val="196"/>
        </w:trPr>
        <w:tc>
          <w:tcPr>
            <w:tcW w:w="8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gridSpan w:val="3"/>
          </w:tcPr>
          <w:p>
            <w:pPr>
              <w:jc w:val="right"/>
              <w:ind w:right="652"/>
              <w:spacing w:after="0"/>
              <w:rPr>
                <w:sz w:val="20"/>
                <w:szCs w:val="20"/>
                <w:color w:val="auto"/>
              </w:rPr>
            </w:pPr>
            <w:r>
              <w:rPr>
                <w:rFonts w:ascii="Arial" w:cs="Arial" w:eastAsia="Arial" w:hAnsi="Arial"/>
                <w:sz w:val="10"/>
                <w:szCs w:val="10"/>
                <w:b w:val="1"/>
                <w:bCs w:val="1"/>
                <w:color w:val="auto"/>
              </w:rPr>
              <w:t>(in thousands)</w:t>
            </w:r>
          </w:p>
        </w:tc>
        <w:tc>
          <w:tcPr>
            <w:tcW w:w="540" w:type="dxa"/>
            <w:vAlign w:val="bottom"/>
          </w:tcPr>
          <w:p>
            <w:pPr>
              <w:spacing w:after="0"/>
              <w:rPr>
                <w:sz w:val="17"/>
                <w:szCs w:val="17"/>
                <w:color w:val="auto"/>
              </w:rPr>
            </w:pPr>
          </w:p>
        </w:tc>
      </w:tr>
      <w:tr>
        <w:trPr>
          <w:trHeight w:val="220"/>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153"/>
        </w:trPr>
        <w:tc>
          <w:tcPr>
            <w:tcW w:w="8240" w:type="dxa"/>
            <w:vAlign w:val="bottom"/>
          </w:tcPr>
          <w:p>
            <w:pPr>
              <w:ind w:left="80"/>
              <w:spacing w:after="0"/>
              <w:rPr>
                <w:sz w:val="20"/>
                <w:szCs w:val="20"/>
                <w:color w:val="auto"/>
              </w:rPr>
            </w:pPr>
            <w:r>
              <w:rPr>
                <w:rFonts w:ascii="Arial" w:cs="Arial" w:eastAsia="Arial" w:hAnsi="Arial"/>
                <w:sz w:val="12"/>
                <w:szCs w:val="12"/>
                <w:color w:val="auto"/>
              </w:rPr>
              <w:t>Diagnostic test revenue</w:t>
            </w:r>
          </w:p>
        </w:tc>
        <w:tc>
          <w:tcPr>
            <w:tcW w:w="940" w:type="dxa"/>
            <w:vAlign w:val="bottom"/>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41,410</w:t>
            </w:r>
          </w:p>
        </w:tc>
        <w:tc>
          <w:tcPr>
            <w:tcW w:w="100" w:type="dxa"/>
            <w:vAlign w:val="bottom"/>
          </w:tcPr>
          <w:p>
            <w:pPr>
              <w:spacing w:after="0"/>
              <w:rPr>
                <w:sz w:val="13"/>
                <w:szCs w:val="13"/>
                <w:color w:val="auto"/>
              </w:rPr>
            </w:pP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37,893</w:t>
            </w:r>
          </w:p>
        </w:tc>
      </w:tr>
      <w:tr>
        <w:trPr>
          <w:trHeight w:val="153"/>
        </w:trPr>
        <w:tc>
          <w:tcPr>
            <w:tcW w:w="8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revenue</w:t>
            </w: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1,768</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w:t>
            </w:r>
          </w:p>
        </w:tc>
      </w:tr>
      <w:tr>
        <w:trPr>
          <w:trHeight w:val="142"/>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Total revenue</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43,178</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38,608</w:t>
            </w:r>
          </w:p>
        </w:tc>
      </w:tr>
      <w:tr>
        <w:trPr>
          <w:trHeight w:val="142"/>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58,752</w:t>
            </w:r>
          </w:p>
        </w:tc>
        <w:tc>
          <w:tcPr>
            <w:tcW w:w="10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36,530</w:t>
            </w:r>
          </w:p>
        </w:tc>
      </w:tr>
      <w:tr>
        <w:trPr>
          <w:trHeight w:val="142"/>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Gross (loss) profit</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(15,574)</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2,078</w:t>
            </w:r>
          </w:p>
        </w:tc>
      </w:tr>
      <w:tr>
        <w:trPr>
          <w:trHeight w:val="142"/>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17,831</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19,083</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Selling and marketing</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22,121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12,735</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33,230</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24,342</w:t>
            </w:r>
          </w:p>
        </w:tc>
      </w:tr>
      <w:tr>
        <w:trPr>
          <w:trHeight w:val="153"/>
        </w:trPr>
        <w:tc>
          <w:tcPr>
            <w:tcW w:w="8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Related party expenses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847</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1,933</w:t>
            </w:r>
          </w:p>
        </w:tc>
      </w:tr>
      <w:tr>
        <w:trPr>
          <w:trHeight w:val="142"/>
        </w:trPr>
        <w:tc>
          <w:tcPr>
            <w:tcW w:w="8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Loss from operations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(89,603)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(56,015)</w:t>
            </w:r>
          </w:p>
        </w:tc>
      </w:tr>
      <w:tr>
        <w:trPr>
          <w:trHeight w:val="153"/>
        </w:trPr>
        <w:tc>
          <w:tcPr>
            <w:tcW w:w="8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3"/>
        </w:trPr>
        <w:tc>
          <w:tcPr>
            <w:tcW w:w="8240" w:type="dxa"/>
            <w:vAlign w:val="bottom"/>
          </w:tcPr>
          <w:p>
            <w:pPr>
              <w:ind w:left="80"/>
              <w:spacing w:after="0"/>
              <w:rPr>
                <w:sz w:val="20"/>
                <w:szCs w:val="20"/>
                <w:color w:val="auto"/>
              </w:rPr>
            </w:pPr>
            <w:r>
              <w:rPr>
                <w:rFonts w:ascii="Arial" w:cs="Arial" w:eastAsia="Arial" w:hAnsi="Arial"/>
                <w:sz w:val="12"/>
                <w:szCs w:val="12"/>
                <w:color w:val="auto"/>
              </w:rPr>
              <w:t>Change in fair market value of warrant and earn-out contingent liabilities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122,171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r>
      <w:tr>
        <w:trPr>
          <w:trHeight w:val="153"/>
        </w:trPr>
        <w:tc>
          <w:tcPr>
            <w:tcW w:w="82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(683)</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(637)</w:t>
            </w:r>
          </w:p>
        </w:tc>
      </w:tr>
      <w:tr>
        <w:trPr>
          <w:trHeight w:val="162"/>
        </w:trPr>
        <w:tc>
          <w:tcPr>
            <w:tcW w:w="8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(expense), net</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42"/>
        </w:trPr>
        <w:tc>
          <w:tcPr>
            <w:tcW w:w="824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Total other income (expense), net</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120,995</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w:t>
            </w:r>
          </w:p>
        </w:tc>
      </w:tr>
      <w:tr>
        <w:trPr>
          <w:trHeight w:val="142"/>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31,392</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(56,615)</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Income tax provision</w:t>
            </w:r>
          </w:p>
        </w:tc>
        <w:tc>
          <w:tcPr>
            <w:tcW w:w="9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 and comprehensive income (loss)</w:t>
            </w:r>
          </w:p>
        </w:tc>
        <w:tc>
          <w:tcPr>
            <w:tcW w:w="94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31,392</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(56,615)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left="65"/>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180" w:type="dxa"/>
            <w:vAlign w:val="bottom"/>
          </w:tcPr>
          <w:p>
            <w:pPr>
              <w:spacing w:after="0"/>
              <w:rPr>
                <w:sz w:val="11"/>
                <w:szCs w:val="11"/>
                <w:color w:val="auto"/>
              </w:rPr>
            </w:pPr>
          </w:p>
        </w:tc>
        <w:tc>
          <w:tcPr>
            <w:tcW w:w="244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left="65"/>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180" w:type="dxa"/>
            <w:vAlign w:val="bottom"/>
          </w:tcPr>
          <w:p>
            <w:pPr>
              <w:spacing w:after="0"/>
              <w:rPr>
                <w:sz w:val="11"/>
                <w:szCs w:val="11"/>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w:t>
            </w:r>
          </w:p>
        </w:tc>
      </w:tr>
      <w:tr>
        <w:trPr>
          <w:trHeight w:val="128"/>
        </w:trPr>
        <w:tc>
          <w:tcPr>
            <w:tcW w:w="5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gridSpan w:val="3"/>
          </w:tcPr>
          <w:p>
            <w:pPr>
              <w:jc w:val="right"/>
              <w:ind w:right="404"/>
              <w:spacing w:after="0"/>
              <w:rPr>
                <w:sz w:val="20"/>
                <w:szCs w:val="20"/>
                <w:color w:val="auto"/>
              </w:rPr>
            </w:pPr>
            <w:r>
              <w:rPr>
                <w:rFonts w:ascii="Arial" w:cs="Arial" w:eastAsia="Arial" w:hAnsi="Arial"/>
                <w:sz w:val="10"/>
                <w:szCs w:val="10"/>
                <w:b w:val="1"/>
                <w:bCs w:val="1"/>
                <w:color w:val="auto"/>
                <w:w w:val="97"/>
              </w:rPr>
              <w:t>(dollars in thousands)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Diagnostic test revenue</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41,410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37,893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3,517</w:t>
            </w: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53"/>
        </w:trPr>
        <w:tc>
          <w:tcPr>
            <w:tcW w:w="5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revenue</w:t>
            </w: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1,768</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1,053</w:t>
            </w:r>
          </w:p>
        </w:tc>
        <w:tc>
          <w:tcPr>
            <w:tcW w:w="56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147 %</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Total revenue</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43,178</w:t>
            </w: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38,608</w:t>
            </w: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4,570</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Total revenue increased by $4.6 million, or 12%, to $43.2 million for the three months ended September 30, 2021, from $38.6 million for the three months ended September 30, 2020.</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Diagnostic test revenue increased by $3.5 million, or 9%, to $41.4 million for the three months ended September 30, 2021, from $37.9 million for the three months ended September 30, 2020. The increase was primarily attributable to an increase in overall volumes, excluding COVID-19 tests of 36%, partially offset by the change in the mix of tests performed and corresponding reduced reimbursement rates. Oncology testing volume increased by 166%. Women’s health testing volume, including carrier screening and NIPT testing, increased by 33%, which was partially offset by a lower average selling price.</w:t>
      </w:r>
    </w:p>
    <w:p>
      <w:pPr>
        <w:spacing w:after="0" w:line="9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Other revenue increased by $1.1 million, or 147%, to $1.8 million for the three months ended September 30, 2021, from $0.7 million for the three months ended September 30, 2020. The increase was primarily attributable to fulfillment of performance obligations under a single arrangement for which there was no revenue in the third quarter of 2020 and has now generated $0.7 million in revenue in the third quarter of 2021.</w:t>
      </w: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2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20" w:type="dxa"/>
            <w:vAlign w:val="bottom"/>
          </w:tcPr>
          <w:p>
            <w:pPr>
              <w:spacing w:after="0"/>
              <w:rPr>
                <w:sz w:val="11"/>
                <w:szCs w:val="1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9"/>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w w:val="95"/>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40" w:type="dxa"/>
            <w:vAlign w:val="bottom"/>
            <w:shd w:val="clear" w:color="auto" w:fill="CCEEFF"/>
          </w:tcPr>
          <w:p>
            <w:pPr>
              <w:jc w:val="right"/>
              <w:ind w:right="80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58,752</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36,530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22,222</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61 %</w:t>
            </w:r>
          </w:p>
        </w:tc>
      </w:tr>
    </w:tbl>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Cost of services increased by $22.2 million, or 61%, to $58.8 million for the three months ended September 30, 2021, from $36.5 million for the three months ended September 30, 2020. The increase was primarily driven by the following components: a $13.3 million increase in reagents and laboratory supplies expense due primarily to the increase in accessioned volumes; a $4.8 million increase in overall personnel-related expenses driven by an increase in average headcount; a $2.3 million increase in occupancy and depreciation expenses in connection with our laboratory move at the end of 2020 and the Stamford laboratory facility commencing operations in the first quarter 2021; a $0.8 million increase in software expenses due to increased cloud storage and expanded computing capacity requirements for testing data; and a $0.7 million increase in expenses for logistical costs due to higher accessioned volumes. The cost of services are expected to scale over time as we undertake various strategic initiatives.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3"/>
          </w:tcPr>
          <w:p>
            <w:pPr>
              <w:jc w:val="right"/>
              <w:ind w:right="392"/>
              <w:spacing w:after="0"/>
              <w:rPr>
                <w:sz w:val="20"/>
                <w:szCs w:val="20"/>
                <w:color w:val="auto"/>
              </w:rPr>
            </w:pPr>
            <w:r>
              <w:rPr>
                <w:rFonts w:ascii="Arial" w:cs="Arial" w:eastAsia="Arial" w:hAnsi="Arial"/>
                <w:sz w:val="10"/>
                <w:szCs w:val="10"/>
                <w:b w:val="1"/>
                <w:bCs w:val="1"/>
                <w:color w:val="auto"/>
                <w:w w:val="97"/>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17,831</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19,083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(1,252)</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bl>
    <w:p>
      <w:pPr>
        <w:spacing w:after="0" w:line="171"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Research and development expense decreased by $1.3 million, or 7%, to $17.8 million for the three months ended September 30, 2021, from $19.1 million for the three months ended September 30, 2020. The decrease was primarily attributable to a $3.4 million decrease in stock-based compensation expense, offset by a $1.8 million increase in depreciation expenses; and a $0.4 million increase in software expenses.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and Marketing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2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20" w:type="dxa"/>
            <w:vAlign w:val="bottom"/>
          </w:tcPr>
          <w:p>
            <w:pPr>
              <w:spacing w:after="0"/>
              <w:rPr>
                <w:sz w:val="11"/>
                <w:szCs w:val="1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0"/>
                <w:szCs w:val="10"/>
                <w:b w:val="1"/>
                <w:bCs w:val="1"/>
                <w:color w:val="auto"/>
                <w:w w:val="95"/>
              </w:rPr>
              <w:t>(dollars in thousands)</w:t>
            </w: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940" w:type="dxa"/>
            <w:vAlign w:val="bottom"/>
            <w:shd w:val="clear" w:color="auto" w:fill="CCEEFF"/>
          </w:tcPr>
          <w:p>
            <w:pPr>
              <w:jc w:val="right"/>
              <w:ind w:right="80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22,121</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12,735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9,386</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74 %</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Selling and marketing expense increased by $9.4 million, or 74%, to $22.1 million for the three months ended September 30, 2021, from $12.7 million for the three months ended September 30, 2020. The increase was primarily attributable to the expansion of our commercial footprint and the following cost components: a $5.7 million increase in personnel-related expenses driven by increased headcount; a $1.5 million increase in information technology-related expenses; and a $2.1 million increase in consulting service expenses to support revenue cycle transformation initiatives.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w w:val="97"/>
              </w:rPr>
              <w:t>(dollars in thousands)</w:t>
            </w: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9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33,230</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24,342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8,888</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37 %</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General and administrative expense increased by $8.9 million, or 37%, to $33.2 million for the three months ended September 30, 2021, from $24.3 million for the three months ended September 30, 2020. The increase was primarily attributable to an increase in expenses of $8.7 million for professional services incurred in connection with the Business Combination; an increase in personnel-related costs of $5.6 million driven by an increase in headcount; a $1.7 million</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increase in insurance expenses driven by transitioning to obtaining standalone insurance policies separate from ISMMS; and a $0.7 million increase in software expenses due to increased cloud storage requirements. These increases were partially offset by a decrease in stock-based compensation expense of $7.7 million and a $0.5 million decrease in occupancy expenses due to our laboratory move from New York City to Stamford, Connecticut.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Related Party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3"/>
          </w:tcPr>
          <w:p>
            <w:pPr>
              <w:jc w:val="right"/>
              <w:ind w:right="392"/>
              <w:spacing w:after="0"/>
              <w:rPr>
                <w:sz w:val="20"/>
                <w:szCs w:val="20"/>
                <w:color w:val="auto"/>
              </w:rPr>
            </w:pPr>
            <w:r>
              <w:rPr>
                <w:rFonts w:ascii="Arial" w:cs="Arial" w:eastAsia="Arial" w:hAnsi="Arial"/>
                <w:sz w:val="10"/>
                <w:szCs w:val="10"/>
                <w:b w:val="1"/>
                <w:bCs w:val="1"/>
                <w:color w:val="auto"/>
                <w:w w:val="97"/>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Related party expenses</w:t>
            </w:r>
          </w:p>
        </w:tc>
        <w:tc>
          <w:tcPr>
            <w:tcW w:w="1000" w:type="dxa"/>
            <w:vAlign w:val="bottom"/>
            <w:shd w:val="clear" w:color="auto" w:fill="CCEEFF"/>
          </w:tcPr>
          <w:p>
            <w:pPr>
              <w:jc w:val="right"/>
              <w:ind w:right="868"/>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1,933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(1,086)</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Related party expenses decreased by $1.1 million, or 56%, to $0.8 million for the three months ended September 30, 2021, from $1.9 million for the three months ended September 30, 2020. The decrease was primarily attributable to the discontinued fees related to information technology support pursuant to the TSA with ISMMS as a result of the termination of the agreement in the first quarter of 2021 and a decrease in rent and facility expenses driven by a reduction of office and lab space leased from ISMMS pursuant to the TSA.</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0"/>
                <w:szCs w:val="10"/>
                <w:b w:val="1"/>
                <w:bCs w:val="1"/>
                <w:color w:val="auto"/>
              </w:rPr>
              <w:t>Three months ended September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40" w:type="dxa"/>
            <w:vAlign w:val="bottom"/>
            <w:gridSpan w:val="3"/>
          </w:tcPr>
          <w:p>
            <w:pPr>
              <w:jc w:val="right"/>
              <w:ind w:right="472"/>
              <w:spacing w:after="0"/>
              <w:rPr>
                <w:sz w:val="20"/>
                <w:szCs w:val="20"/>
                <w:color w:val="auto"/>
              </w:rPr>
            </w:pPr>
            <w:r>
              <w:rPr>
                <w:rFonts w:ascii="Arial" w:cs="Arial" w:eastAsia="Arial" w:hAnsi="Arial"/>
                <w:sz w:val="10"/>
                <w:szCs w:val="10"/>
                <w:b w:val="1"/>
                <w:bCs w:val="1"/>
                <w:color w:val="auto"/>
                <w:w w:val="95"/>
              </w:rPr>
              <w:t>(dollars in thousands)</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040" w:type="dxa"/>
            <w:vAlign w:val="bottom"/>
            <w:shd w:val="clear" w:color="auto" w:fill="CCEEFF"/>
          </w:tcPr>
          <w:p>
            <w:pPr>
              <w:jc w:val="right"/>
              <w:ind w:right="908"/>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63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(36)</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r>
    </w:tbl>
    <w:p>
      <w:pPr>
        <w:spacing w:after="0" w:line="17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Interest income decreased by $0.1 million, or 57%, to a nominal amount for the three months ended September 30, 2021, from $0.1 million for the three months ended September 30, 2020. The decrease was due to declines in interest rates on money market deposit accounts.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jc w:val="right"/>
              <w:ind w:right="472"/>
              <w:spacing w:after="0"/>
              <w:rPr>
                <w:sz w:val="20"/>
                <w:szCs w:val="20"/>
                <w:color w:val="auto"/>
              </w:rPr>
            </w:pPr>
            <w:r>
              <w:rPr>
                <w:rFonts w:ascii="Arial" w:cs="Arial" w:eastAsia="Arial" w:hAnsi="Arial"/>
                <w:sz w:val="10"/>
                <w:szCs w:val="10"/>
                <w:b w:val="1"/>
                <w:bCs w:val="1"/>
                <w:color w:val="auto"/>
                <w:w w:val="97"/>
              </w:rPr>
              <w:t>(dollars in thousands)</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980" w:type="dxa"/>
            <w:vAlign w:val="bottom"/>
            <w:shd w:val="clear" w:color="auto" w:fill="CCEEFF"/>
          </w:tcPr>
          <w:p>
            <w:pPr>
              <w:jc w:val="right"/>
              <w:ind w:right="848"/>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w:t>
            </w:r>
          </w:p>
        </w:tc>
        <w:tc>
          <w:tcPr>
            <w:tcW w:w="98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(46)</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r>
    </w:tbl>
    <w:p>
      <w:pPr>
        <w:spacing w:after="0" w:line="17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Interest expense increased by $0.1 million, or 7%, to $0.7 million for the three months ended September 30, 2021, from $0.6 million for the three months ended September 30, 2020. The increase was driven by new loans executed in the second half of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ind w:left="409"/>
              <w:spacing w:after="0"/>
              <w:rPr>
                <w:sz w:val="20"/>
                <w:szCs w:val="20"/>
                <w:color w:val="auto"/>
              </w:rPr>
            </w:pPr>
            <w:r>
              <w:rPr>
                <w:rFonts w:ascii="Arial" w:cs="Arial" w:eastAsia="Arial" w:hAnsi="Arial"/>
                <w:sz w:val="10"/>
                <w:szCs w:val="10"/>
                <w:b w:val="1"/>
                <w:bCs w:val="1"/>
                <w:color w:val="auto"/>
                <w:w w:val="87"/>
              </w:rPr>
              <w:t>Change</w:t>
            </w:r>
          </w:p>
        </w:tc>
        <w:tc>
          <w:tcPr>
            <w:tcW w:w="1000" w:type="dxa"/>
            <w:vAlign w:val="bottom"/>
            <w:tcBorders>
              <w:bottom w:val="single" w:sz="8" w:color="auto"/>
            </w:tcBorders>
          </w:tcPr>
          <w:p>
            <w:pPr>
              <w:spacing w:after="0"/>
              <w:rPr>
                <w:sz w:val="11"/>
                <w:szCs w:val="11"/>
                <w:color w:val="auto"/>
              </w:rPr>
            </w:pPr>
          </w:p>
        </w:tc>
      </w:tr>
      <w:tr>
        <w:trPr>
          <w:trHeight w:val="138"/>
        </w:trPr>
        <w:tc>
          <w:tcPr>
            <w:tcW w:w="530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0"/>
                <w:szCs w:val="10"/>
                <w:b w:val="1"/>
                <w:bCs w:val="1"/>
                <w:color w:val="auto"/>
              </w:rPr>
              <w:t>Three months ended 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ind w:left="409"/>
              <w:spacing w:after="0"/>
              <w:rPr>
                <w:sz w:val="20"/>
                <w:szCs w:val="20"/>
                <w:color w:val="auto"/>
              </w:rPr>
            </w:pPr>
            <w:r>
              <w:rPr>
                <w:rFonts w:ascii="Arial" w:cs="Arial" w:eastAsia="Arial" w:hAnsi="Arial"/>
                <w:sz w:val="10"/>
                <w:szCs w:val="10"/>
                <w:b w:val="1"/>
                <w:bCs w:val="1"/>
                <w:color w:val="auto"/>
                <w:w w:val="87"/>
              </w:rPr>
              <w:t>2020 to 2021</w:t>
            </w:r>
          </w:p>
        </w:tc>
        <w:tc>
          <w:tcPr>
            <w:tcW w:w="1000" w:type="dxa"/>
            <w:vAlign w:val="bottom"/>
            <w:tcBorders>
              <w:bottom w:val="single" w:sz="8" w:color="auto"/>
            </w:tcBorders>
          </w:tcPr>
          <w:p>
            <w:pPr>
              <w:spacing w:after="0"/>
              <w:rPr>
                <w:sz w:val="11"/>
                <w:szCs w:val="11"/>
                <w:color w:val="auto"/>
              </w:rPr>
            </w:pPr>
          </w:p>
        </w:tc>
      </w:tr>
      <w:tr>
        <w:trPr>
          <w:trHeight w:val="133"/>
        </w:trPr>
        <w:tc>
          <w:tcPr>
            <w:tcW w:w="5300" w:type="dxa"/>
            <w:vAlign w:val="bottom"/>
          </w:tcPr>
          <w:p>
            <w:pPr>
              <w:spacing w:after="0"/>
              <w:rPr>
                <w:sz w:val="11"/>
                <w:szCs w:val="11"/>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1169"/>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b w:val="1"/>
                <w:bCs w:val="1"/>
                <w:color w:val="auto"/>
              </w:rPr>
              <w:t>%</w:t>
            </w:r>
          </w:p>
        </w:tc>
      </w:tr>
      <w:tr>
        <w:trPr>
          <w:trHeight w:val="128"/>
        </w:trPr>
        <w:tc>
          <w:tcPr>
            <w:tcW w:w="5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w w:val="93"/>
              </w:rPr>
              <w:t>(dollars in thousands)</w:t>
            </w: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0"/>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89"/>
              <w:spacing w:after="0"/>
              <w:rPr>
                <w:sz w:val="20"/>
                <w:szCs w:val="20"/>
                <w:color w:val="auto"/>
              </w:rPr>
            </w:pPr>
            <w:r>
              <w:rPr>
                <w:rFonts w:ascii="Arial" w:cs="Arial" w:eastAsia="Arial" w:hAnsi="Arial"/>
                <w:sz w:val="12"/>
                <w:szCs w:val="12"/>
                <w:color w:val="auto"/>
              </w:rPr>
              <w:t>(494)</w:t>
            </w:r>
          </w:p>
        </w:tc>
        <w:tc>
          <w:tcPr>
            <w:tcW w:w="1000" w:type="dxa"/>
            <w:vAlign w:val="bottom"/>
            <w:shd w:val="clear" w:color="auto" w:fill="CCEEFF"/>
          </w:tcPr>
          <w:p>
            <w:pPr>
              <w:jc w:val="right"/>
              <w:spacing w:after="0" w:line="171" w:lineRule="exact"/>
              <w:rPr>
                <w:sz w:val="20"/>
                <w:szCs w:val="20"/>
                <w:color w:val="auto"/>
              </w:rPr>
            </w:pPr>
            <w:r>
              <w:rPr>
                <w:rFonts w:ascii="Arial" w:cs="Arial" w:eastAsia="Arial" w:hAnsi="Arial"/>
                <w:sz w:val="12"/>
                <w:szCs w:val="12"/>
                <w:color w:val="auto"/>
              </w:rPr>
              <w:t xml:space="preserve">NM% </w:t>
            </w:r>
            <w:r>
              <w:rPr>
                <w:rFonts w:ascii="Arial" w:cs="Arial" w:eastAsia="Arial" w:hAnsi="Arial"/>
                <w:sz w:val="15"/>
                <w:szCs w:val="15"/>
                <w:color w:val="auto"/>
                <w:vertAlign w:val="superscript"/>
              </w:rPr>
              <w:t>(1)</w:t>
            </w: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0"/>
          <w:szCs w:val="10"/>
          <w:color w:val="auto"/>
        </w:rPr>
        <w:t>__________________</w:t>
      </w:r>
    </w:p>
    <w:p>
      <w:pPr>
        <w:ind w:left="200"/>
        <w:spacing w:after="0"/>
        <w:rPr>
          <w:sz w:val="20"/>
          <w:szCs w:val="20"/>
          <w:color w:val="auto"/>
        </w:rPr>
      </w:pPr>
      <w:r>
        <w:rPr>
          <w:rFonts w:ascii="Arial" w:cs="Arial" w:eastAsia="Arial" w:hAnsi="Arial"/>
          <w:sz w:val="10"/>
          <w:szCs w:val="10"/>
          <w:color w:val="auto"/>
        </w:rPr>
        <w:t>(1) Not Meaningful (“NM”)</w:t>
      </w:r>
    </w:p>
    <w:p>
      <w:pPr>
        <w:spacing w:after="0" w:line="9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Other income (expense), net increased by $0.5 million, to $0.5 million for the three months ended September 30, 2021, from a nominal amount for the three months ended September 30, 2020. The increase in the expense was primarily attributable to penalty payments of $0.3 million related to debt that was repaid earlier than the maturity date during the three months ended September 30, 2020.</w:t>
      </w: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nine months ended September 30, 2021 and 2020</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our results of operations for the periods presented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0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196"/>
        </w:trPr>
        <w:tc>
          <w:tcPr>
            <w:tcW w:w="5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b w:val="1"/>
                <w:bCs w:val="1"/>
                <w:color w:val="auto"/>
              </w:rPr>
              <w:t>2020</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4"/>
          </w:tcPr>
          <w:p>
            <w:pPr>
              <w:jc w:val="right"/>
              <w:ind w:right="632"/>
              <w:spacing w:after="0"/>
              <w:rPr>
                <w:sz w:val="20"/>
                <w:szCs w:val="20"/>
                <w:color w:val="auto"/>
              </w:rPr>
            </w:pPr>
            <w:r>
              <w:rPr>
                <w:rFonts w:ascii="Arial" w:cs="Arial" w:eastAsia="Arial" w:hAnsi="Arial"/>
                <w:sz w:val="10"/>
                <w:szCs w:val="10"/>
                <w:b w:val="1"/>
                <w:bCs w:val="1"/>
                <w:color w:val="auto"/>
              </w:rPr>
              <w:t>(in thousands)</w:t>
            </w: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20"/>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53"/>
        </w:trPr>
        <w:tc>
          <w:tcPr>
            <w:tcW w:w="5180" w:type="dxa"/>
            <w:vAlign w:val="bottom"/>
          </w:tcPr>
          <w:p>
            <w:pPr>
              <w:ind w:left="80"/>
              <w:spacing w:after="0"/>
              <w:rPr>
                <w:sz w:val="20"/>
                <w:szCs w:val="20"/>
                <w:color w:val="auto"/>
              </w:rPr>
            </w:pPr>
            <w:r>
              <w:rPr>
                <w:rFonts w:ascii="Arial" w:cs="Arial" w:eastAsia="Arial" w:hAnsi="Arial"/>
                <w:sz w:val="12"/>
                <w:szCs w:val="12"/>
                <w:color w:val="auto"/>
              </w:rPr>
              <w:t>Diagnostic test revenue</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148,973</w:t>
            </w:r>
          </w:p>
        </w:tc>
        <w:tc>
          <w:tcPr>
            <w:tcW w:w="100" w:type="dxa"/>
            <w:vAlign w:val="bottom"/>
          </w:tcPr>
          <w:p>
            <w:pPr>
              <w:spacing w:after="0"/>
              <w:rPr>
                <w:sz w:val="13"/>
                <w:szCs w:val="13"/>
                <w:color w:val="auto"/>
              </w:rPr>
            </w:pP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113,759</w:t>
            </w:r>
          </w:p>
        </w:tc>
      </w:tr>
      <w:tr>
        <w:trPr>
          <w:trHeight w:val="153"/>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revenue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5,421</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1,606</w:t>
            </w:r>
          </w:p>
        </w:tc>
      </w:tr>
      <w:tr>
        <w:trPr>
          <w:trHeight w:val="142"/>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Total revenue</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154,394</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115,365</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180,195</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111,754</w:t>
            </w:r>
          </w:p>
        </w:tc>
      </w:tr>
      <w:tr>
        <w:trPr>
          <w:trHeight w:val="142"/>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Gross (loss) profit</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(25,801)</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3,611</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82,916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41,540</w:t>
            </w: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Selling and marketing</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69,937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33,154</w:t>
            </w:r>
          </w:p>
        </w:tc>
      </w:tr>
      <w:tr>
        <w:trPr>
          <w:trHeight w:val="153"/>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147,941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39,627</w:t>
            </w:r>
          </w:p>
        </w:tc>
      </w:tr>
      <w:tr>
        <w:trPr>
          <w:trHeight w:val="153"/>
        </w:trPr>
        <w:tc>
          <w:tcPr>
            <w:tcW w:w="5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Related party expenses</w:t>
            </w:r>
          </w:p>
        </w:tc>
        <w:tc>
          <w:tcPr>
            <w:tcW w:w="9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3,532</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6,239</w:t>
            </w:r>
          </w:p>
        </w:tc>
      </w:tr>
      <w:tr>
        <w:trPr>
          <w:trHeight w:val="142"/>
        </w:trPr>
        <w:tc>
          <w:tcPr>
            <w:tcW w:w="5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Loss from operations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(330,127)</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(116,949)</w:t>
            </w:r>
          </w:p>
        </w:tc>
      </w:tr>
      <w:tr>
        <w:trPr>
          <w:trHeight w:val="180"/>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3"/>
        </w:trPr>
        <w:tc>
          <w:tcPr>
            <w:tcW w:w="5180" w:type="dxa"/>
            <w:vAlign w:val="bottom"/>
          </w:tcPr>
          <w:p>
            <w:pPr>
              <w:ind w:left="80"/>
              <w:spacing w:after="0"/>
              <w:rPr>
                <w:sz w:val="20"/>
                <w:szCs w:val="20"/>
                <w:color w:val="auto"/>
              </w:rPr>
            </w:pPr>
            <w:r>
              <w:rPr>
                <w:rFonts w:ascii="Arial" w:cs="Arial" w:eastAsia="Arial" w:hAnsi="Arial"/>
                <w:sz w:val="12"/>
                <w:szCs w:val="12"/>
                <w:color w:val="auto"/>
              </w:rPr>
              <w:t>Change in fair market value of warrant and earn-out contingent liabilities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122,171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473</w:t>
            </w:r>
          </w:p>
        </w:tc>
      </w:tr>
      <w:tr>
        <w:trPr>
          <w:trHeight w:val="153"/>
        </w:trPr>
        <w:tc>
          <w:tcPr>
            <w:tcW w:w="518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(2,128)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(1,826)</w:t>
            </w:r>
          </w:p>
        </w:tc>
      </w:tr>
      <w:tr>
        <w:trPr>
          <w:trHeight w:val="162"/>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(expense), net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5,064</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2,645</w:t>
            </w:r>
          </w:p>
        </w:tc>
      </w:tr>
      <w:tr>
        <w:trPr>
          <w:trHeight w:val="142"/>
        </w:trPr>
        <w:tc>
          <w:tcPr>
            <w:tcW w:w="518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Total other income (expense), net</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125,164</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1,292</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(115,657)</w:t>
            </w:r>
          </w:p>
        </w:tc>
      </w:tr>
      <w:tr>
        <w:trPr>
          <w:trHeight w:val="153"/>
        </w:trPr>
        <w:tc>
          <w:tcPr>
            <w:tcW w:w="5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w:t>
            </w:r>
          </w:p>
        </w:tc>
        <w:tc>
          <w:tcPr>
            <w:tcW w:w="9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and comprehensive income (loss)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792"/>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(115,657)</w:t>
            </w:r>
          </w:p>
        </w:tc>
      </w:tr>
      <w:tr>
        <w:trPr>
          <w:trHeight w:val="313"/>
        </w:trPr>
        <w:tc>
          <w:tcPr>
            <w:tcW w:w="5180" w:type="dxa"/>
            <w:vAlign w:val="bottom"/>
          </w:tcPr>
          <w:p>
            <w:pPr>
              <w:spacing w:after="0"/>
              <w:rPr>
                <w:sz w:val="20"/>
                <w:szCs w:val="20"/>
                <w:color w:val="auto"/>
              </w:rPr>
            </w:pPr>
            <w:r>
              <w:rPr>
                <w:rFonts w:ascii="Arial" w:cs="Arial" w:eastAsia="Arial" w:hAnsi="Arial"/>
                <w:sz w:val="12"/>
                <w:szCs w:val="12"/>
                <w:b w:val="1"/>
                <w:bCs w:val="1"/>
                <w:i w:val="1"/>
                <w:iCs w:val="1"/>
                <w:color w:val="auto"/>
              </w:rPr>
              <w:t>Revenue</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70"/>
        </w:trPr>
        <w:tc>
          <w:tcPr>
            <w:tcW w:w="5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0"/>
                <w:szCs w:val="10"/>
                <w:b w:val="1"/>
                <w:bCs w:val="1"/>
                <w:color w:val="auto"/>
              </w:rPr>
              <w:t>Change</w:t>
            </w:r>
          </w:p>
        </w:tc>
        <w:tc>
          <w:tcPr>
            <w:tcW w:w="5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138"/>
        </w:trPr>
        <w:tc>
          <w:tcPr>
            <w:tcW w:w="5180" w:type="dxa"/>
            <w:vAlign w:val="bottom"/>
          </w:tcPr>
          <w:p>
            <w:pPr>
              <w:spacing w:after="0"/>
              <w:rPr>
                <w:sz w:val="11"/>
                <w:szCs w:val="11"/>
                <w:color w:val="auto"/>
              </w:rPr>
            </w:pPr>
          </w:p>
        </w:tc>
        <w:tc>
          <w:tcPr>
            <w:tcW w:w="24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rPr>
              <w:t>Nine months ended 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0"/>
                <w:szCs w:val="10"/>
                <w:b w:val="1"/>
                <w:bCs w:val="1"/>
                <w:color w:val="auto"/>
              </w:rPr>
              <w:t>2020 to 2021</w:t>
            </w: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5180" w:type="dxa"/>
            <w:vAlign w:val="bottom"/>
          </w:tcPr>
          <w:p>
            <w:pPr>
              <w:spacing w:after="0"/>
              <w:rPr>
                <w:sz w:val="11"/>
                <w:szCs w:val="11"/>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5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4"/>
          </w:tcPr>
          <w:p>
            <w:pPr>
              <w:jc w:val="right"/>
              <w:ind w:right="452"/>
              <w:spacing w:after="0"/>
              <w:rPr>
                <w:sz w:val="20"/>
                <w:szCs w:val="20"/>
                <w:color w:val="auto"/>
              </w:rPr>
            </w:pPr>
            <w:r>
              <w:rPr>
                <w:rFonts w:ascii="Arial" w:cs="Arial" w:eastAsia="Arial" w:hAnsi="Arial"/>
                <w:sz w:val="10"/>
                <w:szCs w:val="10"/>
                <w:b w:val="1"/>
                <w:bCs w:val="1"/>
                <w:color w:val="auto"/>
                <w:w w:val="99"/>
              </w:rPr>
              <w:t>(dollars in thousands)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Diagnostic test revenue</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148,973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113,759</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3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31 %</w:t>
            </w:r>
          </w:p>
        </w:tc>
        <w:tc>
          <w:tcPr>
            <w:tcW w:w="60" w:type="dxa"/>
            <w:vAlign w:val="bottom"/>
          </w:tcPr>
          <w:p>
            <w:pPr>
              <w:spacing w:after="0"/>
              <w:rPr>
                <w:sz w:val="14"/>
                <w:szCs w:val="14"/>
                <w:color w:val="auto"/>
              </w:rPr>
            </w:pPr>
          </w:p>
        </w:tc>
      </w:tr>
      <w:tr>
        <w:trPr>
          <w:trHeight w:val="153"/>
        </w:trPr>
        <w:tc>
          <w:tcPr>
            <w:tcW w:w="5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revenue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5,421</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1,606</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238 %</w:t>
            </w:r>
          </w:p>
        </w:tc>
        <w:tc>
          <w:tcPr>
            <w:tcW w:w="60" w:type="dxa"/>
            <w:vAlign w:val="bottom"/>
          </w:tcPr>
          <w:p>
            <w:pPr>
              <w:spacing w:after="0"/>
              <w:rPr>
                <w:sz w:val="13"/>
                <w:szCs w:val="13"/>
                <w:color w:val="auto"/>
              </w:rPr>
            </w:pP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Total revenue</w:t>
            </w: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154,394</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115,365</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83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39,029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34 %</w:t>
            </w:r>
          </w:p>
        </w:tc>
        <w:tc>
          <w:tcPr>
            <w:tcW w:w="60" w:type="dxa"/>
            <w:vAlign w:val="bottom"/>
          </w:tcPr>
          <w:p>
            <w:pPr>
              <w:spacing w:after="0"/>
              <w:rPr>
                <w:sz w:val="12"/>
                <w:szCs w:val="12"/>
                <w:color w:val="auto"/>
              </w:rPr>
            </w:pP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Total revenue increased by $39.0 million, or 34%, to $154.4 million for the nine months ended September 30, 2021, from $115.4 million for the nine months ended September 30, 2020.</w:t>
      </w:r>
    </w:p>
    <w:p>
      <w:pPr>
        <w:spacing w:after="0" w:line="13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Diagnostic test revenue increased by $35.2 million, or 31%, to $149.0 million for the nine months ended September 30, 2021, from $113.8 million for the nine months ended September 30, 2020. The increase was primarily attributable to a 303% increase in COVID-19 test volumes and overall increase in volumes of 125%, partially offset by the change in the mix of tests performed and reduced reimbursement rates. COVID-19 testing was introduced in May of 2020 which had a minor impact on volume during the nine months ended September 30, 2020, compared to approximately 272,973 tests in the nine months ended September 30, 2021. There was also an increase in large carrier screening tests performed during the nine months ended September 30, 2020.</w:t>
      </w:r>
    </w:p>
    <w:p>
      <w:pPr>
        <w:spacing w:after="0" w:line="97"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Other revenue increased by $3.8 million, or 238%, to $5.4 million for the nine months ended September 30, 2021, from $1.6 million for the nine months ended September 30, 2020. The increase was primarily attributable to growth in collaboration service activities due to the execution of a third-party contracts which generated $2.9 million in revenues in 2021 compared to $0.7 million in 2020, partially offset by reduced revenues recognized related to an existing third-party contract.</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20" w:type="dxa"/>
            <w:vAlign w:val="bottom"/>
          </w:tcPr>
          <w:p>
            <w:pPr>
              <w:spacing w:after="0"/>
              <w:rPr>
                <w:sz w:val="11"/>
                <w:szCs w:val="11"/>
                <w:color w:val="auto"/>
              </w:rPr>
            </w:pPr>
          </w:p>
        </w:tc>
        <w:tc>
          <w:tcPr>
            <w:tcW w:w="242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0"/>
                <w:szCs w:val="10"/>
                <w:b w:val="1"/>
                <w:bCs w:val="1"/>
                <w:color w:val="auto"/>
              </w:rPr>
              <w:t>Nine months ended 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20" w:type="dxa"/>
            <w:vAlign w:val="bottom"/>
          </w:tcPr>
          <w:p>
            <w:pPr>
              <w:spacing w:after="0"/>
              <w:rPr>
                <w:sz w:val="11"/>
                <w:szCs w:val="1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9"/>
        </w:trPr>
        <w:tc>
          <w:tcPr>
            <w:tcW w:w="5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w w:val="99"/>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9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180,195</w:t>
            </w:r>
          </w:p>
        </w:tc>
        <w:tc>
          <w:tcPr>
            <w:tcW w:w="96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111,754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68,441</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61 %</w:t>
            </w:r>
          </w:p>
        </w:tc>
      </w:tr>
    </w:tbl>
    <w:p>
      <w:pPr>
        <w:spacing w:after="0" w:line="171"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Cost of services increased by $68.4 million, or 61%, to $180.2 million for the nine months ended September 30, 2021, from $111.8 million for the nine months ended September 30, 2020. The increase was primarily driven by the following cost components: a $19.7 million increase in stock-based compensation expense primarily driven by the increase in fair value of the liability-classified awards until the Closing Date; a $12.8 million increase in personnel-related expenses driven by an increase in average headcount; a $4.6 million increase in costs driven by temporary hires contracted to perform COVID-19 testing activities; a $3.6 million increase in logistical expenses as a result of an increase in operations; a $16.6 million increase in reagents and laboratory supplies expense due primarily to the 125% increase in volumes; a $2.8 million increase in software expenses due to increased cloud storage and expanded computing capacity requirements from New York City to Stamford, Connecticut for testing data; a $1.2 million increase in the inventory obsolescence reserve for expiring COVID-19 testing kits; a $2.9 million increase in occupancy expenses and a $4.0 million increase in depreciation expenses in connection with our laboratory move at the end of 2020, with production activities commencing at the Stamford facility in the first quarter of 2021.</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3"/>
          </w:tcPr>
          <w:p>
            <w:pPr>
              <w:jc w:val="right"/>
              <w:ind w:right="392"/>
              <w:spacing w:after="0"/>
              <w:rPr>
                <w:sz w:val="20"/>
                <w:szCs w:val="20"/>
                <w:color w:val="auto"/>
              </w:rPr>
            </w:pPr>
            <w:r>
              <w:rPr>
                <w:rFonts w:ascii="Arial" w:cs="Arial" w:eastAsia="Arial" w:hAnsi="Arial"/>
                <w:sz w:val="10"/>
                <w:szCs w:val="10"/>
                <w:b w:val="1"/>
                <w:bCs w:val="1"/>
                <w:color w:val="auto"/>
                <w:w w:val="97"/>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82,916</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41,540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41,376</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r>
    </w:tbl>
    <w:p>
      <w:pPr>
        <w:spacing w:after="0" w:line="17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Research and development expenses increased by $41.4 million, or 100%, to $82.9 million for the nine months ended September 30, 2021, from $41.5 million for the nine months ended September 30, 2020. The increase was primarily attributable to the following cost components: a $34.3 million increase in stock-based compensation expense driven by the increase in fair value of the liability-classified awards until the Closing Date; a $4.0 million increase in depreciation expenses; a $2.1 million increase in expenses for reagents, laboratory supplies and laboratory software for research and development; a $0.6 million increase in other personnel-related expenses driven by an increase in headcount.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and Marketing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2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20" w:type="dxa"/>
            <w:vAlign w:val="bottom"/>
          </w:tcPr>
          <w:p>
            <w:pPr>
              <w:spacing w:after="0"/>
              <w:rPr>
                <w:sz w:val="11"/>
                <w:szCs w:val="1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w w:val="95"/>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940" w:type="dxa"/>
            <w:vAlign w:val="bottom"/>
            <w:shd w:val="clear" w:color="auto" w:fill="CCEEFF"/>
          </w:tcPr>
          <w:p>
            <w:pPr>
              <w:jc w:val="right"/>
              <w:ind w:right="80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69,937</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33,154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36,783</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111 %</w:t>
            </w:r>
          </w:p>
        </w:tc>
      </w:tr>
    </w:tbl>
    <w:p>
      <w:pPr>
        <w:spacing w:after="0" w:line="17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Selling and marketing expenses increased by $36.7 million, or 111%, to $69.9 million for the nine months ended September 30, 2021, from $33.2 million for the nine months ended September 30, 2020. The increase was primarily attributable to the following cost components: an $17.9 million increase in stock-based compensation expense driven by the increase in fair value of the liability-classified awards until the Closing Date; a $11.9 million increase in personnel-related expenses driven by increased headcount; a $2.8 million increase in consulting service expenses to support revenue cycle transformation initiatives; a $2.0 million increase in information technology-related expenses; a $0.8 million increase in other administrative expenses; and a $1.0 million increase in travel and business expenses.</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left="12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2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left="12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20" w:type="dxa"/>
            <w:vAlign w:val="bottom"/>
          </w:tcPr>
          <w:p>
            <w:pPr>
              <w:spacing w:after="0"/>
              <w:rPr>
                <w:sz w:val="11"/>
                <w:szCs w:val="1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9"/>
        </w:trPr>
        <w:tc>
          <w:tcPr>
            <w:tcW w:w="5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40" w:type="dxa"/>
            <w:vAlign w:val="bottom"/>
            <w:gridSpan w:val="3"/>
          </w:tcPr>
          <w:p>
            <w:pPr>
              <w:jc w:val="right"/>
              <w:ind w:right="372"/>
              <w:spacing w:after="0"/>
              <w:rPr>
                <w:sz w:val="20"/>
                <w:szCs w:val="20"/>
                <w:color w:val="auto"/>
              </w:rPr>
            </w:pPr>
            <w:r>
              <w:rPr>
                <w:rFonts w:ascii="Arial" w:cs="Arial" w:eastAsia="Arial" w:hAnsi="Arial"/>
                <w:sz w:val="10"/>
                <w:szCs w:val="10"/>
                <w:b w:val="1"/>
                <w:bCs w:val="1"/>
                <w:color w:val="auto"/>
                <w:w w:val="95"/>
              </w:rPr>
              <w:t>(dollars in thousands)</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9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147,941</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39,627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108,314</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273 %</w:t>
            </w:r>
          </w:p>
        </w:tc>
      </w:tr>
    </w:tbl>
    <w:p>
      <w:pPr>
        <w:spacing w:after="0" w:line="171"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General and administrative expenses increased by $108.3 million, or 273%, to $147.9 million for the nine months ended September 30, 2021, from $39.6 million for the nine months ended September 30, 2020. The increase was primarily attributable to the following cost components: an $80.6 million increase in stock-based compensation expense driven by the increase in fair value of the liability-classified awards until the Closing Date; a $13.9 million increase in professional services incurred in connection with the Business Combination transaction; a $9.8 million increase in personnel-related expenses driven by an increase in average headcount including executive headcount; a $1.3 million increase in software expenses due to increased cloud storage requirements; and a $3.5 million increase in insurance expenses driven by transitioning to obtaining standalone insurance policies separate from ISMMS. These increases were partially offset by a $1.2 million decrease in occupancy expenses in connection with our laboratory move from New York City to Stamford, Connecticut.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Related Party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3"/>
          </w:tcPr>
          <w:p>
            <w:pPr>
              <w:jc w:val="right"/>
              <w:ind w:right="392"/>
              <w:spacing w:after="0"/>
              <w:rPr>
                <w:sz w:val="20"/>
                <w:szCs w:val="20"/>
                <w:color w:val="auto"/>
              </w:rPr>
            </w:pPr>
            <w:r>
              <w:rPr>
                <w:rFonts w:ascii="Arial" w:cs="Arial" w:eastAsia="Arial" w:hAnsi="Arial"/>
                <w:sz w:val="10"/>
                <w:szCs w:val="10"/>
                <w:b w:val="1"/>
                <w:bCs w:val="1"/>
                <w:color w:val="auto"/>
                <w:w w:val="97"/>
              </w:rPr>
              <w:t>(dollars in thousands)</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Related party expenses</w:t>
            </w:r>
          </w:p>
        </w:tc>
        <w:tc>
          <w:tcPr>
            <w:tcW w:w="960" w:type="dxa"/>
            <w:vAlign w:val="bottom"/>
            <w:shd w:val="clear" w:color="auto" w:fill="CCEEFF"/>
          </w:tcPr>
          <w:p>
            <w:pPr>
              <w:jc w:val="right"/>
              <w:ind w:right="828"/>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3,532</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6,239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(2,707)</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r>
    </w:tbl>
    <w:p>
      <w:pPr>
        <w:spacing w:after="0" w:line="171"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Related party expenses decreased by $2.7 million, or 43%, to $3.5 million for the nine months ended September 30, 2021, from $6.2 million for the nine months ended September 30, 2020. The decrease was primarily attributable to the following cost components: a $1.5 million decrease in rent and facility expenses driven by a reduction of office and lab space leased from ISMMS pursuant to the transition services agreement which ended in the first quarter of 2021; and a $0.9 million decrease in fees associated with information technology support pursuant to the TSA with ISMMS.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7"/>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9"/>
        </w:trPr>
        <w:tc>
          <w:tcPr>
            <w:tcW w:w="5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20" w:type="dxa"/>
            <w:vAlign w:val="bottom"/>
            <w:gridSpan w:val="3"/>
          </w:tcPr>
          <w:p>
            <w:pPr>
              <w:jc w:val="right"/>
              <w:ind w:right="432"/>
              <w:spacing w:after="0"/>
              <w:rPr>
                <w:sz w:val="20"/>
                <w:szCs w:val="20"/>
                <w:color w:val="auto"/>
              </w:rPr>
            </w:pPr>
            <w:r>
              <w:rPr>
                <w:rFonts w:ascii="Arial" w:cs="Arial" w:eastAsia="Arial" w:hAnsi="Arial"/>
                <w:sz w:val="10"/>
                <w:szCs w:val="10"/>
                <w:b w:val="1"/>
                <w:bCs w:val="1"/>
                <w:color w:val="auto"/>
                <w:w w:val="97"/>
              </w:rPr>
              <w:t>(dollars in thousands)</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020" w:type="dxa"/>
            <w:vAlign w:val="bottom"/>
            <w:shd w:val="clear" w:color="auto" w:fill="CCEEFF"/>
          </w:tcPr>
          <w:p>
            <w:pPr>
              <w:jc w:val="right"/>
              <w:ind w:right="888"/>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473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(416)</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r>
    </w:tbl>
    <w:p>
      <w:pPr>
        <w:spacing w:after="0" w:line="17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Interest income decreased by $0.4 million, or 88%, to $0.1 million for the nine months ended September 30, 2021, from $0.5 million for the nine months ended September 30, 2020. The decrease was due to declines in interest rates on money market deposit.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2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20" w:type="dxa"/>
            <w:vAlign w:val="bottom"/>
          </w:tcPr>
          <w:p>
            <w:pPr>
              <w:spacing w:after="0"/>
              <w:rPr>
                <w:sz w:val="11"/>
                <w:szCs w:val="1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gridSpan w:val="3"/>
          </w:tcPr>
          <w:p>
            <w:pPr>
              <w:ind w:left="140"/>
              <w:spacing w:after="0"/>
              <w:rPr>
                <w:sz w:val="20"/>
                <w:szCs w:val="20"/>
                <w:color w:val="auto"/>
              </w:rPr>
            </w:pPr>
            <w:r>
              <w:rPr>
                <w:rFonts w:ascii="Arial" w:cs="Arial" w:eastAsia="Arial" w:hAnsi="Arial"/>
                <w:sz w:val="10"/>
                <w:szCs w:val="10"/>
                <w:b w:val="1"/>
                <w:bCs w:val="1"/>
                <w:color w:val="auto"/>
              </w:rPr>
              <w:t>(dollars in thousands)</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940" w:type="dxa"/>
            <w:vAlign w:val="bottom"/>
            <w:shd w:val="clear" w:color="auto" w:fill="CCEEFF"/>
          </w:tcPr>
          <w:p>
            <w:pPr>
              <w:jc w:val="right"/>
              <w:ind w:right="808"/>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(2,128)</w:t>
            </w:r>
          </w:p>
        </w:tc>
        <w:tc>
          <w:tcPr>
            <w:tcW w:w="98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(1,826)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548"/>
              <w:spacing w:after="0"/>
              <w:rPr>
                <w:sz w:val="20"/>
                <w:szCs w:val="20"/>
                <w:color w:val="auto"/>
              </w:rPr>
            </w:pPr>
            <w:r>
              <w:rPr>
                <w:rFonts w:ascii="Arial" w:cs="Arial" w:eastAsia="Arial" w:hAnsi="Arial"/>
                <w:sz w:val="12"/>
                <w:szCs w:val="12"/>
                <w:color w:val="auto"/>
              </w:rPr>
              <w:t>(302)</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r>
    </w:tbl>
    <w:p>
      <w:pPr>
        <w:spacing w:after="0" w:line="17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Interest expense increased by $0.3 million, or 17%, to $2.1 million for the nine months ended September 30, 2021, from $1.8 million for the nine months ended September 30, 2020. The increase was driven by new capital lease obligations for our Stamford laboratory facility which commenced operations in 2021.</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Net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87"/>
              </w:rPr>
              <w:t>Change</w:t>
            </w:r>
          </w:p>
        </w:tc>
        <w:tc>
          <w:tcPr>
            <w:tcW w:w="1040" w:type="dxa"/>
            <w:vAlign w:val="bottom"/>
            <w:tcBorders>
              <w:bottom w:val="single" w:sz="8" w:color="auto"/>
            </w:tcBorders>
          </w:tcPr>
          <w:p>
            <w:pPr>
              <w:spacing w:after="0"/>
              <w:rPr>
                <w:sz w:val="11"/>
                <w:szCs w:val="11"/>
                <w:color w:val="auto"/>
              </w:rPr>
            </w:pPr>
          </w:p>
        </w:tc>
      </w:tr>
      <w:tr>
        <w:trPr>
          <w:trHeight w:val="138"/>
        </w:trPr>
        <w:tc>
          <w:tcPr>
            <w:tcW w:w="5240" w:type="dxa"/>
            <w:vAlign w:val="bottom"/>
          </w:tcPr>
          <w:p>
            <w:pPr>
              <w:spacing w:after="0"/>
              <w:rPr>
                <w:sz w:val="11"/>
                <w:szCs w:val="11"/>
                <w:color w:val="auto"/>
              </w:rPr>
            </w:pPr>
          </w:p>
        </w:tc>
        <w:tc>
          <w:tcPr>
            <w:tcW w:w="244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0"/>
                <w:szCs w:val="10"/>
                <w:b w:val="1"/>
                <w:bCs w:val="1"/>
                <w:color w:val="auto"/>
              </w:rPr>
              <w:t>Nine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w w:val="87"/>
              </w:rPr>
              <w:t>2020 to 2021</w:t>
            </w:r>
          </w:p>
        </w:tc>
        <w:tc>
          <w:tcPr>
            <w:tcW w:w="1040" w:type="dxa"/>
            <w:vAlign w:val="bottom"/>
            <w:tcBorders>
              <w:bottom w:val="single" w:sz="8" w:color="auto"/>
            </w:tcBorders>
          </w:tcPr>
          <w:p>
            <w:pPr>
              <w:spacing w:after="0"/>
              <w:rPr>
                <w:sz w:val="11"/>
                <w:szCs w:val="11"/>
                <w:color w:val="auto"/>
              </w:rPr>
            </w:pPr>
          </w:p>
        </w:tc>
      </w:tr>
      <w:tr>
        <w:trPr>
          <w:trHeight w:val="133"/>
        </w:trPr>
        <w:tc>
          <w:tcPr>
            <w:tcW w:w="5240" w:type="dxa"/>
            <w:vAlign w:val="bottom"/>
          </w:tcPr>
          <w:p>
            <w:pPr>
              <w:spacing w:after="0"/>
              <w:rPr>
                <w:sz w:val="11"/>
                <w:szCs w:val="11"/>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w:t>
            </w:r>
          </w:p>
        </w:tc>
      </w:tr>
      <w:tr>
        <w:trPr>
          <w:trHeight w:val="128"/>
        </w:trPr>
        <w:tc>
          <w:tcPr>
            <w:tcW w:w="5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w w:val="97"/>
              </w:rPr>
              <w:t>(dollars in thousands)</w:t>
            </w: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960" w:type="dxa"/>
            <w:vAlign w:val="bottom"/>
            <w:shd w:val="clear" w:color="auto" w:fill="CCEEFF"/>
          </w:tcPr>
          <w:p>
            <w:pPr>
              <w:jc w:val="right"/>
              <w:ind w:right="828"/>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5,064</w:t>
            </w:r>
          </w:p>
        </w:tc>
        <w:tc>
          <w:tcPr>
            <w:tcW w:w="100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2,645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68"/>
              <w:spacing w:after="0"/>
              <w:rPr>
                <w:sz w:val="20"/>
                <w:szCs w:val="20"/>
                <w:color w:val="auto"/>
              </w:rPr>
            </w:pPr>
            <w:r>
              <w:rPr>
                <w:rFonts w:ascii="Arial" w:cs="Arial" w:eastAsia="Arial" w:hAnsi="Arial"/>
                <w:sz w:val="12"/>
                <w:szCs w:val="12"/>
                <w:color w:val="auto"/>
              </w:rPr>
              <w:t>2,419</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91 %</w:t>
            </w:r>
          </w:p>
        </w:tc>
      </w:tr>
    </w:tbl>
    <w:p>
      <w:pPr>
        <w:spacing w:after="0" w:line="17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Other income, net increased by $2.5 million or 91% to $5.1 million for the nine months ended September 30, 2021, from $2.6 million for the nine months ended September 30,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Non-GAAP Financial Measures</w:t>
      </w:r>
    </w:p>
    <w:p>
      <w:pPr>
        <w:spacing w:after="0" w:line="127"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88"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 expenditures or future requirements for capital expenditures or contractual commitments;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changes in our working capital needs;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provision for income taxes, which may be a necessary element of our costs and ability to operate;</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costs of replacing the assets being depreciated, which will often have to be replaced in the future;</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non-cash component of employee compensation expense;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impact of earnings or charges resulting from matters we consider not to be reflective, on a recurring basis, of our ongoing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Gross Profit and Adjusted Gross Margin</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Adjusted Gross Profit is a non-GAAP financial measure that we define as revenue less cost of services, excluding stock-based compensation expense,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0" w:name="page41"/>
    <w:bookmarkEnd w:id="40"/>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208"/>
        <w:spacing w:after="0"/>
        <w:rPr>
          <w:sz w:val="20"/>
          <w:szCs w:val="20"/>
          <w:color w:val="auto"/>
        </w:rPr>
      </w:pPr>
      <w:r>
        <w:rPr>
          <w:rFonts w:ascii="Arial" w:cs="Arial" w:eastAsia="Arial" w:hAnsi="Arial"/>
          <w:sz w:val="10"/>
          <w:szCs w:val="10"/>
          <w:color w:val="auto"/>
        </w:rPr>
        <w:t>The following is a reconciliation of revenue to our Adjusted Gross Profit and Adjusted Gross Margin for the three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178040" cy="97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8"/>
        <w:spacing w:after="0"/>
        <w:rPr>
          <w:sz w:val="20"/>
          <w:szCs w:val="20"/>
          <w:color w:val="auto"/>
        </w:rPr>
      </w:pPr>
      <w:r>
        <w:rPr>
          <w:rFonts w:ascii="Arial" w:cs="Arial" w:eastAsia="Arial" w:hAnsi="Arial"/>
          <w:sz w:val="12"/>
          <w:szCs w:val="12"/>
          <w:color w:val="auto"/>
        </w:rPr>
        <w:t>Revenue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148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Gross (Loss) Profit</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120765"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0765" cy="114300"/>
                    </a:xfrm>
                    <a:prstGeom prst="rect">
                      <a:avLst/>
                    </a:prstGeom>
                    <a:noFill/>
                  </pic:spPr>
                </pic:pic>
              </a:graphicData>
            </a:graphic>
          </wp:anchor>
        </w:drawing>
      </w:r>
    </w:p>
    <w:p>
      <w:pPr>
        <w:spacing w:after="0" w:line="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Add:</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2"/>
          <w:szCs w:val="12"/>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148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Gross (Loss) Profit</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Gross Margin</w:t>
      </w:r>
    </w:p>
    <w:p>
      <w:pPr>
        <w:spacing w:after="0" w:line="235" w:lineRule="exact"/>
        <w:rPr>
          <w:sz w:val="20"/>
          <w:szCs w:val="20"/>
          <w:color w:val="auto"/>
        </w:rPr>
      </w:pPr>
    </w:p>
    <w:p>
      <w:pPr>
        <w:jc w:val="center"/>
        <w:ind w:left="188"/>
        <w:spacing w:after="0"/>
        <w:rPr>
          <w:sz w:val="20"/>
          <w:szCs w:val="20"/>
          <w:color w:val="auto"/>
        </w:rPr>
      </w:pPr>
      <w:r>
        <w:rPr>
          <w:rFonts w:ascii="Arial" w:cs="Arial" w:eastAsia="Arial" w:hAnsi="Arial"/>
          <w:sz w:val="11"/>
          <w:szCs w:val="11"/>
          <w:color w:val="auto"/>
        </w:rPr>
        <w:t>The following is a reconciliation of revenue to our Adjusted Gross Profit and Adjusted Gross Margin for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78040" cy="97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Revenue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148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Gross (Loss) Profit</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120765"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20765" cy="114300"/>
                    </a:xfrm>
                    <a:prstGeom prst="rect">
                      <a:avLst/>
                    </a:prstGeom>
                    <a:noFill/>
                  </pic:spPr>
                </pic:pic>
              </a:graphicData>
            </a:graphic>
          </wp:anchor>
        </w:drawing>
      </w:r>
    </w:p>
    <w:p>
      <w:pPr>
        <w:spacing w:after="0" w:line="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Add:</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2"/>
          <w:szCs w:val="12"/>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182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8288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 xml:space="preserve">COVID Costs </w:t>
      </w:r>
      <w:r>
        <w:rPr>
          <w:rFonts w:ascii="Arial" w:cs="Arial" w:eastAsia="Arial" w:hAnsi="Arial"/>
          <w:sz w:val="15"/>
          <w:szCs w:val="15"/>
          <w:color w:val="auto"/>
          <w:vertAlign w:val="superscript"/>
        </w:rPr>
        <w:t>(1)</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Gross (Loss)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48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shd w:val="clear" w:color="auto" w:fill="CCEEFF"/>
        </w:rPr>
        <w:t>Adjusted Gross Margin</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00"/>
        <w:spacing w:after="0"/>
        <w:rPr>
          <w:sz w:val="20"/>
          <w:szCs w:val="20"/>
          <w:color w:val="auto"/>
        </w:rPr>
      </w:pPr>
      <w:r>
        <w:rPr>
          <w:rFonts w:ascii="Arial" w:cs="Arial" w:eastAsia="Arial" w:hAnsi="Arial"/>
          <w:sz w:val="10"/>
          <w:szCs w:val="10"/>
          <w:b w:val="1"/>
          <w:bCs w:val="1"/>
          <w:color w:val="auto"/>
        </w:rPr>
        <w:t>Three months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0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w w:val="89"/>
              </w:rPr>
              <w:t>2020</w:t>
            </w:r>
          </w:p>
        </w:tc>
        <w:tc>
          <w:tcPr>
            <w:tcW w:w="0" w:type="dxa"/>
            <w:vAlign w:val="bottom"/>
          </w:tcPr>
          <w:p>
            <w:pPr>
              <w:spacing w:after="0"/>
              <w:rPr>
                <w:sz w:val="1"/>
                <w:szCs w:val="1"/>
                <w:color w:val="auto"/>
              </w:rPr>
            </w:pPr>
          </w:p>
        </w:tc>
      </w:tr>
      <w:tr>
        <w:trPr>
          <w:trHeight w:val="112"/>
        </w:trPr>
        <w:tc>
          <w:tcPr>
            <w:tcW w:w="400" w:type="dxa"/>
            <w:vAlign w:val="bottom"/>
          </w:tcPr>
          <w:p>
            <w:pPr>
              <w:spacing w:after="0"/>
              <w:rPr>
                <w:sz w:val="9"/>
                <w:szCs w:val="9"/>
                <w:color w:val="auto"/>
              </w:rPr>
            </w:pPr>
          </w:p>
        </w:tc>
        <w:tc>
          <w:tcPr>
            <w:tcW w:w="1940" w:type="dxa"/>
            <w:vAlign w:val="bottom"/>
            <w:gridSpan w:val="3"/>
          </w:tcPr>
          <w:p>
            <w:pPr>
              <w:jc w:val="center"/>
              <w:ind w:left="463"/>
              <w:spacing w:after="0" w:line="113" w:lineRule="exact"/>
              <w:rPr>
                <w:sz w:val="20"/>
                <w:szCs w:val="20"/>
                <w:color w:val="auto"/>
              </w:rPr>
            </w:pPr>
            <w:r>
              <w:rPr>
                <w:rFonts w:ascii="Arial" w:cs="Arial" w:eastAsia="Arial" w:hAnsi="Arial"/>
                <w:sz w:val="10"/>
                <w:szCs w:val="10"/>
                <w:b w:val="1"/>
                <w:bCs w:val="1"/>
                <w:color w:val="auto"/>
                <w:w w:val="84"/>
              </w:rPr>
              <w:t>(in thousands)</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23"/>
              <w:spacing w:after="0"/>
              <w:rPr>
                <w:sz w:val="20"/>
                <w:szCs w:val="20"/>
                <w:color w:val="auto"/>
              </w:rPr>
            </w:pPr>
            <w:r>
              <w:rPr>
                <w:rFonts w:ascii="Arial" w:cs="Arial" w:eastAsia="Arial" w:hAnsi="Arial"/>
                <w:sz w:val="12"/>
                <w:szCs w:val="12"/>
                <w:color w:val="auto"/>
              </w:rPr>
              <w:t>43,178</w:t>
            </w:r>
          </w:p>
        </w:tc>
        <w:tc>
          <w:tcPr>
            <w:tcW w:w="80" w:type="dxa"/>
            <w:vAlign w:val="bottom"/>
          </w:tcPr>
          <w:p>
            <w:pPr>
              <w:spacing w:after="0"/>
              <w:rPr>
                <w:sz w:val="13"/>
                <w:szCs w:val="13"/>
                <w:color w:val="auto"/>
              </w:rPr>
            </w:pP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38,608</w:t>
            </w:r>
          </w:p>
        </w:tc>
        <w:tc>
          <w:tcPr>
            <w:tcW w:w="0" w:type="dxa"/>
            <w:vAlign w:val="bottom"/>
          </w:tcPr>
          <w:p>
            <w:pPr>
              <w:spacing w:after="0"/>
              <w:rPr>
                <w:sz w:val="1"/>
                <w:szCs w:val="1"/>
                <w:color w:val="auto"/>
              </w:rPr>
            </w:pPr>
          </w:p>
        </w:tc>
      </w:tr>
      <w:tr>
        <w:trPr>
          <w:trHeight w:val="153"/>
        </w:trPr>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color w:val="auto"/>
              </w:rPr>
              <w:t>58,752</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36,530</w:t>
            </w:r>
          </w:p>
        </w:tc>
        <w:tc>
          <w:tcPr>
            <w:tcW w:w="0" w:type="dxa"/>
            <w:vAlign w:val="bottom"/>
          </w:tcPr>
          <w:p>
            <w:pPr>
              <w:spacing w:after="0"/>
              <w:rPr>
                <w:sz w:val="1"/>
                <w:szCs w:val="1"/>
                <w:color w:val="auto"/>
              </w:rPr>
            </w:pPr>
          </w:p>
        </w:tc>
      </w:tr>
      <w:tr>
        <w:trPr>
          <w:trHeight w:val="214"/>
        </w:trPr>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(15,574)</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2,078</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(36)%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5 %</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00" w:type="dxa"/>
            <w:vAlign w:val="bottom"/>
            <w:vMerge w:val="restart"/>
          </w:tcPr>
          <w:p>
            <w:pPr>
              <w:jc w:val="right"/>
              <w:ind w:right="123"/>
              <w:spacing w:after="0"/>
              <w:rPr>
                <w:sz w:val="20"/>
                <w:szCs w:val="20"/>
                <w:color w:val="auto"/>
              </w:rPr>
            </w:pPr>
            <w:r>
              <w:rPr>
                <w:rFonts w:ascii="Arial" w:cs="Arial" w:eastAsia="Arial" w:hAnsi="Arial"/>
                <w:sz w:val="12"/>
                <w:szCs w:val="12"/>
                <w:color w:val="auto"/>
              </w:rPr>
              <w:t>3,699</w:t>
            </w:r>
          </w:p>
        </w:tc>
        <w:tc>
          <w:tcPr>
            <w:tcW w:w="8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3,506</w:t>
            </w:r>
          </w:p>
        </w:tc>
        <w:tc>
          <w:tcPr>
            <w:tcW w:w="0" w:type="dxa"/>
            <w:vAlign w:val="bottom"/>
          </w:tcPr>
          <w:p>
            <w:pPr>
              <w:spacing w:after="0"/>
              <w:rPr>
                <w:sz w:val="1"/>
                <w:szCs w:val="1"/>
                <w:color w:val="auto"/>
              </w:rPr>
            </w:pPr>
          </w:p>
        </w:tc>
      </w:tr>
      <w:tr>
        <w:trPr>
          <w:trHeight w:val="214"/>
        </w:trPr>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(11,875)</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5,584</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(28)%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14 %</w:t>
            </w:r>
          </w:p>
        </w:tc>
        <w:tc>
          <w:tcPr>
            <w:tcW w:w="0" w:type="dxa"/>
            <w:vAlign w:val="bottom"/>
          </w:tcPr>
          <w:p>
            <w:pPr>
              <w:spacing w:after="0"/>
              <w:rPr>
                <w:sz w:val="1"/>
                <w:szCs w:val="1"/>
                <w:color w:val="auto"/>
              </w:rPr>
            </w:pPr>
          </w:p>
        </w:tc>
      </w:tr>
      <w:tr>
        <w:trPr>
          <w:trHeight w:val="581"/>
        </w:trPr>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483"/>
              <w:spacing w:after="0"/>
              <w:rPr>
                <w:sz w:val="20"/>
                <w:szCs w:val="20"/>
                <w:color w:val="auto"/>
              </w:rPr>
            </w:pPr>
            <w:r>
              <w:rPr>
                <w:rFonts w:ascii="Arial" w:cs="Arial" w:eastAsia="Arial" w:hAnsi="Arial"/>
                <w:sz w:val="10"/>
                <w:szCs w:val="10"/>
                <w:b w:val="1"/>
                <w:bCs w:val="1"/>
                <w:color w:val="auto"/>
                <w:w w:val="85"/>
              </w:rPr>
              <w:t>Nine months ended September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w w:val="89"/>
              </w:rPr>
              <w:t>2020</w:t>
            </w:r>
          </w:p>
        </w:tc>
        <w:tc>
          <w:tcPr>
            <w:tcW w:w="0" w:type="dxa"/>
            <w:vAlign w:val="bottom"/>
          </w:tcPr>
          <w:p>
            <w:pPr>
              <w:spacing w:after="0"/>
              <w:rPr>
                <w:sz w:val="1"/>
                <w:szCs w:val="1"/>
                <w:color w:val="auto"/>
              </w:rPr>
            </w:pPr>
          </w:p>
        </w:tc>
      </w:tr>
      <w:tr>
        <w:trPr>
          <w:trHeight w:val="114"/>
        </w:trPr>
        <w:tc>
          <w:tcPr>
            <w:tcW w:w="400" w:type="dxa"/>
            <w:vAlign w:val="bottom"/>
          </w:tcPr>
          <w:p>
            <w:pPr>
              <w:spacing w:after="0"/>
              <w:rPr>
                <w:sz w:val="9"/>
                <w:szCs w:val="9"/>
                <w:color w:val="auto"/>
              </w:rPr>
            </w:pPr>
          </w:p>
        </w:tc>
        <w:tc>
          <w:tcPr>
            <w:tcW w:w="1940" w:type="dxa"/>
            <w:vAlign w:val="bottom"/>
            <w:gridSpan w:val="3"/>
          </w:tcPr>
          <w:p>
            <w:pPr>
              <w:jc w:val="center"/>
              <w:ind w:left="463"/>
              <w:spacing w:after="0" w:line="114" w:lineRule="exact"/>
              <w:rPr>
                <w:sz w:val="20"/>
                <w:szCs w:val="20"/>
                <w:color w:val="auto"/>
              </w:rPr>
            </w:pPr>
            <w:r>
              <w:rPr>
                <w:rFonts w:ascii="Arial" w:cs="Arial" w:eastAsia="Arial" w:hAnsi="Arial"/>
                <w:sz w:val="10"/>
                <w:szCs w:val="10"/>
                <w:b w:val="1"/>
                <w:bCs w:val="1"/>
                <w:color w:val="auto"/>
                <w:w w:val="84"/>
              </w:rPr>
              <w:t>(in thousands)</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200" w:type="dxa"/>
            <w:vAlign w:val="bottom"/>
          </w:tcPr>
          <w:p>
            <w:pPr>
              <w:jc w:val="right"/>
              <w:ind w:right="123"/>
              <w:spacing w:after="0"/>
              <w:rPr>
                <w:sz w:val="20"/>
                <w:szCs w:val="20"/>
                <w:color w:val="auto"/>
              </w:rPr>
            </w:pPr>
            <w:r>
              <w:rPr>
                <w:rFonts w:ascii="Arial" w:cs="Arial" w:eastAsia="Arial" w:hAnsi="Arial"/>
                <w:sz w:val="12"/>
                <w:szCs w:val="12"/>
                <w:color w:val="auto"/>
              </w:rPr>
              <w:t>154,394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115,365</w:t>
            </w:r>
          </w:p>
        </w:tc>
        <w:tc>
          <w:tcPr>
            <w:tcW w:w="0" w:type="dxa"/>
            <w:vAlign w:val="bottom"/>
          </w:tcPr>
          <w:p>
            <w:pPr>
              <w:spacing w:after="0"/>
              <w:rPr>
                <w:sz w:val="1"/>
                <w:szCs w:val="1"/>
                <w:color w:val="auto"/>
              </w:rPr>
            </w:pPr>
          </w:p>
        </w:tc>
      </w:tr>
      <w:tr>
        <w:trPr>
          <w:trHeight w:val="153"/>
        </w:trPr>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color w:val="auto"/>
              </w:rPr>
              <w:t>180,195</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111,754</w:t>
            </w:r>
          </w:p>
        </w:tc>
        <w:tc>
          <w:tcPr>
            <w:tcW w:w="0" w:type="dxa"/>
            <w:vAlign w:val="bottom"/>
          </w:tcPr>
          <w:p>
            <w:pPr>
              <w:spacing w:after="0"/>
              <w:rPr>
                <w:sz w:val="1"/>
                <w:szCs w:val="1"/>
                <w:color w:val="auto"/>
              </w:rPr>
            </w:pPr>
          </w:p>
        </w:tc>
      </w:tr>
      <w:tr>
        <w:trPr>
          <w:trHeight w:val="214"/>
        </w:trPr>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(25,801)</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3,611</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3 %</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00" w:type="dxa"/>
            <w:vAlign w:val="bottom"/>
            <w:vMerge w:val="restart"/>
          </w:tcPr>
          <w:p>
            <w:pPr>
              <w:jc w:val="right"/>
              <w:ind w:right="123"/>
              <w:spacing w:after="0"/>
              <w:rPr>
                <w:sz w:val="20"/>
                <w:szCs w:val="20"/>
                <w:color w:val="auto"/>
              </w:rPr>
            </w:pPr>
            <w:r>
              <w:rPr>
                <w:rFonts w:ascii="Arial" w:cs="Arial" w:eastAsia="Arial" w:hAnsi="Arial"/>
                <w:sz w:val="12"/>
                <w:szCs w:val="12"/>
                <w:color w:val="auto"/>
              </w:rPr>
              <w:t>23,162</w:t>
            </w:r>
          </w:p>
        </w:tc>
        <w:tc>
          <w:tcPr>
            <w:tcW w:w="8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spacing w:after="0"/>
              <w:rPr>
                <w:sz w:val="24"/>
                <w:szCs w:val="24"/>
                <w:color w:val="auto"/>
              </w:rPr>
            </w:pP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3,179</w:t>
            </w:r>
          </w:p>
        </w:tc>
        <w:tc>
          <w:tcPr>
            <w:tcW w:w="0" w:type="dxa"/>
            <w:vAlign w:val="bottom"/>
          </w:tcPr>
          <w:p>
            <w:pPr>
              <w:spacing w:after="0"/>
              <w:rPr>
                <w:sz w:val="1"/>
                <w:szCs w:val="1"/>
                <w:color w:val="auto"/>
              </w:rPr>
            </w:pPr>
          </w:p>
        </w:tc>
      </w:tr>
      <w:tr>
        <w:trPr>
          <w:trHeight w:val="214"/>
        </w:trPr>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(2,639)</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10,290</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9 %</w:t>
            </w:r>
          </w:p>
        </w:tc>
        <w:tc>
          <w:tcPr>
            <w:tcW w:w="0" w:type="dxa"/>
            <w:vAlign w:val="bottom"/>
          </w:tcPr>
          <w:p>
            <w:pPr>
              <w:spacing w:after="0"/>
              <w:rPr>
                <w:sz w:val="1"/>
                <w:szCs w:val="1"/>
                <w:color w:val="auto"/>
              </w:rPr>
            </w:pPr>
          </w:p>
        </w:tc>
      </w:tr>
    </w:tbl>
    <w:p>
      <w:pPr>
        <w:spacing w:after="0" w:line="266" w:lineRule="exact"/>
        <w:rPr>
          <w:sz w:val="20"/>
          <w:szCs w:val="20"/>
          <w:color w:val="auto"/>
        </w:rPr>
      </w:pPr>
    </w:p>
    <w:p>
      <w:pPr>
        <w:sectPr>
          <w:pgSz w:w="11900" w:h="16838" w:orient="portrait"/>
          <w:cols w:equalWidth="0" w:num="2">
            <w:col w:w="7888" w:space="160"/>
            <w:col w:w="3260"/>
          </w:cols>
          <w:pgMar w:left="292" w:top="140" w:right="299" w:bottom="1440" w:gutter="0" w:footer="0" w:header="0"/>
        </w:sectPr>
      </w:pPr>
    </w:p>
    <w:p>
      <w:pPr>
        <w:ind w:left="208" w:right="340" w:hanging="208"/>
        <w:spacing w:after="0" w:line="358" w:lineRule="auto"/>
        <w:tabs>
          <w:tab w:leader="none" w:pos="203" w:val="left"/>
        </w:tabs>
        <w:numPr>
          <w:ilvl w:val="0"/>
          <w:numId w:val="9"/>
        </w:numPr>
        <w:rPr>
          <w:rFonts w:ascii="Arial" w:cs="Arial" w:eastAsia="Arial" w:hAnsi="Arial"/>
          <w:sz w:val="8"/>
          <w:szCs w:val="8"/>
          <w:b w:val="1"/>
          <w:bCs w:val="1"/>
          <w:i w:val="1"/>
          <w:iCs w:val="1"/>
          <w:color w:val="auto"/>
        </w:rPr>
      </w:pPr>
      <w:r>
        <w:rPr>
          <w:rFonts w:ascii="Arial" w:cs="Arial" w:eastAsia="Arial" w:hAnsi="Arial"/>
          <w:sz w:val="8"/>
          <w:szCs w:val="8"/>
          <w:color w:val="auto"/>
        </w:rPr>
        <w:t>Represents labor costs with respect to laboratory employees’ downtime. During the second quarter of 2020, we did not reduce the workforce in our laboratory from COVID-19. However, we were adversely affected by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Adjusted EBITDA</w:t>
      </w:r>
    </w:p>
    <w:p>
      <w:pPr>
        <w:spacing w:after="0" w:line="123"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Adjusted EBITDA is a non-GAAP financial measure that we define as net loss adjusted for interest expense, net, depreciation and amortization, stock-based compensation expenses, transaction costs, other income (expense), net, change in fair market value of warrant and earn-out contingent liabilities and COVID-19 costs.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66" w:lineRule="exact"/>
        <w:rPr>
          <w:sz w:val="20"/>
          <w:szCs w:val="20"/>
          <w:color w:val="auto"/>
        </w:rPr>
      </w:pPr>
    </w:p>
    <w:p>
      <w:pPr>
        <w:jc w:val="center"/>
        <w:ind w:right="-22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0" w:right="299" w:bottom="1440" w:gutter="0" w:footer="0" w:header="0"/>
          <w:type w:val="continuous"/>
        </w:sectPr>
      </w:pPr>
    </w:p>
    <w:bookmarkStart w:id="41" w:name="page42"/>
    <w:bookmarkEnd w:id="41"/>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is a reconciliation of our net loss to Adjusted EBITDA for the three months ended September 30, 2021 and 2020:</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0"/>
                <w:szCs w:val="10"/>
                <w:b w:val="1"/>
                <w:bCs w:val="1"/>
                <w:color w:val="auto"/>
              </w:rPr>
              <w:t>Three months ended September 30,</w:t>
            </w:r>
          </w:p>
        </w:tc>
        <w:tc>
          <w:tcPr>
            <w:tcW w:w="540" w:type="dxa"/>
            <w:vAlign w:val="bottom"/>
            <w:tcBorders>
              <w:bottom w:val="single" w:sz="8" w:color="auto"/>
            </w:tcBorders>
          </w:tcPr>
          <w:p>
            <w:pPr>
              <w:spacing w:after="0"/>
              <w:rPr>
                <w:sz w:val="11"/>
                <w:szCs w:val="11"/>
                <w:color w:val="auto"/>
              </w:rPr>
            </w:pPr>
          </w:p>
        </w:tc>
      </w:tr>
      <w:tr>
        <w:trPr>
          <w:trHeight w:val="118"/>
        </w:trPr>
        <w:tc>
          <w:tcPr>
            <w:tcW w:w="8240" w:type="dxa"/>
            <w:vAlign w:val="bottom"/>
          </w:tcPr>
          <w:p>
            <w:pPr>
              <w:spacing w:after="0"/>
              <w:rPr>
                <w:sz w:val="10"/>
                <w:szCs w:val="10"/>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r>
      <w:tr>
        <w:trPr>
          <w:trHeight w:val="115"/>
        </w:trPr>
        <w:tc>
          <w:tcPr>
            <w:tcW w:w="8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0" w:type="dxa"/>
            <w:vAlign w:val="bottom"/>
            <w:gridSpan w:val="3"/>
          </w:tcPr>
          <w:p>
            <w:pPr>
              <w:jc w:val="right"/>
              <w:ind w:right="652"/>
              <w:spacing w:after="0"/>
              <w:rPr>
                <w:sz w:val="20"/>
                <w:szCs w:val="20"/>
                <w:color w:val="auto"/>
              </w:rPr>
            </w:pPr>
            <w:r>
              <w:rPr>
                <w:rFonts w:ascii="Arial" w:cs="Arial" w:eastAsia="Arial" w:hAnsi="Arial"/>
                <w:sz w:val="10"/>
                <w:szCs w:val="10"/>
                <w:b w:val="1"/>
                <w:bCs w:val="1"/>
                <w:color w:val="auto"/>
              </w:rPr>
              <w:t>(in thousands)</w:t>
            </w:r>
          </w:p>
        </w:tc>
        <w:tc>
          <w:tcPr>
            <w:tcW w:w="540" w:type="dxa"/>
            <w:vAlign w:val="bottom"/>
          </w:tcPr>
          <w:p>
            <w:pPr>
              <w:spacing w:after="0"/>
              <w:rPr>
                <w:sz w:val="10"/>
                <w:szCs w:val="10"/>
                <w:color w:val="auto"/>
              </w:rPr>
            </w:pPr>
          </w:p>
        </w:tc>
      </w:tr>
      <w:tr>
        <w:trPr>
          <w:trHeight w:val="154"/>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31,392</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(56,615)</w:t>
            </w:r>
          </w:p>
        </w:tc>
      </w:tr>
      <w:tr>
        <w:trPr>
          <w:trHeight w:val="153"/>
        </w:trPr>
        <w:tc>
          <w:tcPr>
            <w:tcW w:w="8240" w:type="dxa"/>
            <w:vAlign w:val="bottom"/>
          </w:tcPr>
          <w:p>
            <w:pPr>
              <w:spacing w:after="0" w:line="153" w:lineRule="exact"/>
              <w:rPr>
                <w:sz w:val="20"/>
                <w:szCs w:val="20"/>
                <w:color w:val="auto"/>
              </w:rPr>
            </w:pPr>
            <w:r>
              <w:rPr>
                <w:rFonts w:ascii="Arial" w:cs="Arial" w:eastAsia="Arial" w:hAnsi="Arial"/>
                <w:sz w:val="12"/>
                <w:szCs w:val="12"/>
                <w:color w:val="auto"/>
              </w:rPr>
              <w:t xml:space="preserve">Interest expense, net </w:t>
            </w:r>
            <w:r>
              <w:rPr>
                <w:rFonts w:ascii="Arial" w:cs="Arial" w:eastAsia="Arial" w:hAnsi="Arial"/>
                <w:sz w:val="15"/>
                <w:szCs w:val="15"/>
                <w:color w:val="auto"/>
                <w:vertAlign w:val="superscript"/>
              </w:rPr>
              <w:t>(1)</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656</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574</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5,491</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3,067</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18,011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29,453</w:t>
            </w:r>
          </w:p>
        </w:tc>
      </w:tr>
      <w:tr>
        <w:trPr>
          <w:trHeight w:val="153"/>
        </w:trPr>
        <w:tc>
          <w:tcPr>
            <w:tcW w:w="82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Transaction costs </w:t>
            </w:r>
            <w:r>
              <w:rPr>
                <w:rFonts w:ascii="Arial" w:cs="Arial" w:eastAsia="Arial" w:hAnsi="Arial"/>
                <w:sz w:val="15"/>
                <w:szCs w:val="15"/>
                <w:color w:val="auto"/>
                <w:vertAlign w:val="superscript"/>
              </w:rPr>
              <w:t>(2)</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tcPr>
          <w:p>
            <w:pPr>
              <w:spacing w:after="0" w:line="153" w:lineRule="exact"/>
              <w:rPr>
                <w:sz w:val="20"/>
                <w:szCs w:val="20"/>
                <w:color w:val="auto"/>
              </w:rPr>
            </w:pPr>
            <w:r>
              <w:rPr>
                <w:rFonts w:ascii="Arial" w:cs="Arial" w:eastAsia="Arial" w:hAnsi="Arial"/>
                <w:sz w:val="12"/>
                <w:szCs w:val="12"/>
                <w:color w:val="auto"/>
              </w:rPr>
              <w:t xml:space="preserve">Change in fair market value of warrant and earn-out contingent liabilities </w:t>
            </w:r>
            <w:r>
              <w:rPr>
                <w:rFonts w:ascii="Arial" w:cs="Arial" w:eastAsia="Arial" w:hAnsi="Arial"/>
                <w:sz w:val="15"/>
                <w:szCs w:val="15"/>
                <w:color w:val="auto"/>
                <w:vertAlign w:val="superscript"/>
              </w:rPr>
              <w:t>(3)</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(122,171)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Other (income) expense, net </w:t>
            </w:r>
            <w:r>
              <w:rPr>
                <w:rFonts w:ascii="Arial" w:cs="Arial" w:eastAsia="Arial" w:hAnsi="Arial"/>
                <w:sz w:val="15"/>
                <w:szCs w:val="15"/>
                <w:color w:val="auto"/>
                <w:vertAlign w:val="superscript"/>
              </w:rPr>
              <w:t>(4)</w:t>
            </w: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42"/>
        </w:trPr>
        <w:tc>
          <w:tcPr>
            <w:tcW w:w="8240" w:type="dxa"/>
            <w:vAlign w:val="bottom"/>
          </w:tcPr>
          <w:p>
            <w:pPr>
              <w:ind w:left="360"/>
              <w:spacing w:after="0"/>
              <w:rPr>
                <w:sz w:val="20"/>
                <w:szCs w:val="20"/>
                <w:color w:val="auto"/>
              </w:rPr>
            </w:pPr>
            <w:r>
              <w:rPr>
                <w:rFonts w:ascii="Arial" w:cs="Arial" w:eastAsia="Arial" w:hAnsi="Arial"/>
                <w:sz w:val="12"/>
                <w:szCs w:val="12"/>
                <w:color w:val="auto"/>
              </w:rPr>
              <w:t>Adjusted EBITDA</w:t>
            </w:r>
          </w:p>
        </w:tc>
        <w:tc>
          <w:tcPr>
            <w:tcW w:w="920" w:type="dxa"/>
            <w:vAlign w:val="bottom"/>
            <w:tcBorders>
              <w:bottom w:val="single" w:sz="8" w:color="auto"/>
            </w:tcBorders>
          </w:tcPr>
          <w:p>
            <w:pPr>
              <w:jc w:val="right"/>
              <w:ind w:right="786"/>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(65,887)</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(23,495)</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w:t>
      </w:r>
    </w:p>
    <w:p>
      <w:pPr>
        <w:ind w:left="208" w:hanging="208"/>
        <w:spacing w:after="0" w:line="227" w:lineRule="auto"/>
        <w:tabs>
          <w:tab w:leader="none" w:pos="208" w:val="left"/>
        </w:tabs>
        <w:numPr>
          <w:ilvl w:val="0"/>
          <w:numId w:val="10"/>
        </w:numPr>
        <w:rPr>
          <w:rFonts w:ascii="Arial" w:cs="Arial" w:eastAsia="Arial" w:hAnsi="Arial"/>
          <w:sz w:val="10"/>
          <w:szCs w:val="10"/>
          <w:b w:val="1"/>
          <w:bCs w:val="1"/>
          <w:color w:val="auto"/>
        </w:rPr>
      </w:pPr>
      <w:r>
        <w:rPr>
          <w:rFonts w:ascii="Arial" w:cs="Arial" w:eastAsia="Arial" w:hAnsi="Arial"/>
          <w:sz w:val="10"/>
          <w:szCs w:val="10"/>
          <w:color w:val="auto"/>
        </w:rPr>
        <w:t>Represents the total of Interest Expense related to our capital leases and interest-bearing loans and Interest Income on money market funds.</w:t>
      </w:r>
    </w:p>
    <w:p>
      <w:pPr>
        <w:ind w:left="208" w:hanging="208"/>
        <w:spacing w:after="0" w:line="225" w:lineRule="auto"/>
        <w:tabs>
          <w:tab w:leader="none" w:pos="208" w:val="left"/>
        </w:tabs>
        <w:numPr>
          <w:ilvl w:val="0"/>
          <w:numId w:val="10"/>
        </w:numPr>
        <w:rPr>
          <w:rFonts w:ascii="Arial" w:cs="Arial" w:eastAsia="Arial" w:hAnsi="Arial"/>
          <w:sz w:val="10"/>
          <w:szCs w:val="10"/>
          <w:b w:val="1"/>
          <w:bCs w:val="1"/>
          <w:color w:val="auto"/>
        </w:rPr>
      </w:pPr>
      <w:r>
        <w:rPr>
          <w:rFonts w:ascii="Arial" w:cs="Arial" w:eastAsia="Arial" w:hAnsi="Arial"/>
          <w:sz w:val="10"/>
          <w:szCs w:val="10"/>
          <w:color w:val="auto"/>
        </w:rPr>
        <w:t>Represents professional service costs incurred in connection with pursuing the Business Combination transaction that did not meet the requirement for capitalization.</w:t>
      </w:r>
    </w:p>
    <w:p>
      <w:pPr>
        <w:ind w:left="208" w:hanging="208"/>
        <w:spacing w:after="0"/>
        <w:tabs>
          <w:tab w:leader="none" w:pos="208" w:val="left"/>
        </w:tabs>
        <w:numPr>
          <w:ilvl w:val="0"/>
          <w:numId w:val="10"/>
        </w:numPr>
        <w:rPr>
          <w:rFonts w:ascii="Arial" w:cs="Arial" w:eastAsia="Arial" w:hAnsi="Arial"/>
          <w:sz w:val="8"/>
          <w:szCs w:val="8"/>
          <w:b w:val="1"/>
          <w:bCs w:val="1"/>
          <w:color w:val="auto"/>
        </w:rPr>
      </w:pPr>
      <w:r>
        <w:rPr>
          <w:rFonts w:ascii="Arial" w:cs="Arial" w:eastAsia="Arial" w:hAnsi="Arial"/>
          <w:sz w:val="8"/>
          <w:szCs w:val="8"/>
          <w:color w:val="auto"/>
        </w:rPr>
        <w:t>For the three months ended September 30, 2021, represents the change in fair market value of the liabilities associated with our public warrants and private placement warrants and the earn-out shares issuable under the terms of the Merger Agreement.</w:t>
      </w:r>
    </w:p>
    <w:p>
      <w:pPr>
        <w:spacing w:after="0" w:line="16" w:lineRule="exact"/>
        <w:rPr>
          <w:rFonts w:ascii="Arial" w:cs="Arial" w:eastAsia="Arial" w:hAnsi="Arial"/>
          <w:sz w:val="8"/>
          <w:szCs w:val="8"/>
          <w:b w:val="1"/>
          <w:bCs w:val="1"/>
          <w:color w:val="auto"/>
        </w:rPr>
      </w:pPr>
    </w:p>
    <w:p>
      <w:pPr>
        <w:ind w:left="208" w:hanging="208"/>
        <w:spacing w:after="0" w:line="236" w:lineRule="auto"/>
        <w:tabs>
          <w:tab w:leader="none" w:pos="208" w:val="left"/>
        </w:tabs>
        <w:numPr>
          <w:ilvl w:val="0"/>
          <w:numId w:val="10"/>
        </w:numPr>
        <w:rPr>
          <w:rFonts w:ascii="Arial" w:cs="Arial" w:eastAsia="Arial" w:hAnsi="Arial"/>
          <w:sz w:val="10"/>
          <w:szCs w:val="10"/>
          <w:b w:val="1"/>
          <w:bCs w:val="1"/>
          <w:color w:val="auto"/>
        </w:rPr>
      </w:pPr>
      <w:r>
        <w:rPr>
          <w:rFonts w:ascii="Arial" w:cs="Arial" w:eastAsia="Arial" w:hAnsi="Arial"/>
          <w:sz w:val="10"/>
          <w:szCs w:val="10"/>
          <w:color w:val="auto"/>
        </w:rPr>
        <w:t>For the three months ended September 30, 2021, consists primarily of penalties related to early extinguishment of debt.</w:t>
      </w:r>
    </w:p>
    <w:p>
      <w:pPr>
        <w:spacing w:after="0" w:line="117"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is a reconciliation of our net loss to Adjusted EBITDA for the nine months ended September 30, 2021 and 2020:</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auto"/>
              </w:rPr>
              <w:t>Nine months ended September 30,</w:t>
            </w:r>
          </w:p>
        </w:tc>
        <w:tc>
          <w:tcPr>
            <w:tcW w:w="560" w:type="dxa"/>
            <w:vAlign w:val="bottom"/>
            <w:tcBorders>
              <w:bottom w:val="single" w:sz="8" w:color="auto"/>
            </w:tcBorders>
          </w:tcPr>
          <w:p>
            <w:pPr>
              <w:spacing w:after="0"/>
              <w:rPr>
                <w:sz w:val="11"/>
                <w:szCs w:val="11"/>
                <w:color w:val="auto"/>
              </w:rPr>
            </w:pPr>
          </w:p>
        </w:tc>
      </w:tr>
      <w:tr>
        <w:trPr>
          <w:trHeight w:val="118"/>
        </w:trPr>
        <w:tc>
          <w:tcPr>
            <w:tcW w:w="8240" w:type="dxa"/>
            <w:vAlign w:val="bottom"/>
          </w:tcPr>
          <w:p>
            <w:pPr>
              <w:spacing w:after="0"/>
              <w:rPr>
                <w:sz w:val="10"/>
                <w:szCs w:val="10"/>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r>
      <w:tr>
        <w:trPr>
          <w:trHeight w:val="115"/>
        </w:trPr>
        <w:tc>
          <w:tcPr>
            <w:tcW w:w="8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80" w:type="dxa"/>
            <w:vAlign w:val="bottom"/>
            <w:gridSpan w:val="3"/>
          </w:tcPr>
          <w:p>
            <w:pPr>
              <w:jc w:val="right"/>
              <w:ind w:right="632"/>
              <w:spacing w:after="0"/>
              <w:rPr>
                <w:sz w:val="20"/>
                <w:szCs w:val="20"/>
                <w:color w:val="auto"/>
              </w:rPr>
            </w:pPr>
            <w:r>
              <w:rPr>
                <w:rFonts w:ascii="Arial" w:cs="Arial" w:eastAsia="Arial" w:hAnsi="Arial"/>
                <w:sz w:val="10"/>
                <w:szCs w:val="10"/>
                <w:b w:val="1"/>
                <w:bCs w:val="1"/>
                <w:color w:val="auto"/>
              </w:rPr>
              <w:t>(in thousands)</w:t>
            </w:r>
          </w:p>
        </w:tc>
        <w:tc>
          <w:tcPr>
            <w:tcW w:w="560" w:type="dxa"/>
            <w:vAlign w:val="bottom"/>
          </w:tcPr>
          <w:p>
            <w:pPr>
              <w:spacing w:after="0"/>
              <w:rPr>
                <w:sz w:val="10"/>
                <w:szCs w:val="10"/>
                <w:color w:val="auto"/>
              </w:rPr>
            </w:pPr>
          </w:p>
        </w:tc>
      </w:tr>
      <w:tr>
        <w:trPr>
          <w:trHeight w:val="154"/>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(204,963)</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(115,657)</w:t>
            </w:r>
          </w:p>
        </w:tc>
      </w:tr>
      <w:tr>
        <w:trPr>
          <w:trHeight w:val="153"/>
        </w:trPr>
        <w:tc>
          <w:tcPr>
            <w:tcW w:w="8240" w:type="dxa"/>
            <w:vAlign w:val="bottom"/>
          </w:tcPr>
          <w:p>
            <w:pPr>
              <w:spacing w:after="0" w:line="153" w:lineRule="exact"/>
              <w:rPr>
                <w:sz w:val="20"/>
                <w:szCs w:val="20"/>
                <w:color w:val="auto"/>
              </w:rPr>
            </w:pPr>
            <w:r>
              <w:rPr>
                <w:rFonts w:ascii="Arial" w:cs="Arial" w:eastAsia="Arial" w:hAnsi="Arial"/>
                <w:sz w:val="12"/>
                <w:szCs w:val="12"/>
                <w:color w:val="auto"/>
              </w:rPr>
              <w:t xml:space="preserve">Interest expense, net </w:t>
            </w:r>
            <w:r>
              <w:rPr>
                <w:rFonts w:ascii="Arial" w:cs="Arial" w:eastAsia="Arial" w:hAnsi="Arial"/>
                <w:sz w:val="15"/>
                <w:szCs w:val="15"/>
                <w:color w:val="auto"/>
                <w:vertAlign w:val="superscript"/>
              </w:rPr>
              <w:t>(1)</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2,071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1,353</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16,012</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8,147</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182,454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30,073</w:t>
            </w:r>
          </w:p>
        </w:tc>
      </w:tr>
      <w:tr>
        <w:trPr>
          <w:trHeight w:val="153"/>
        </w:trPr>
        <w:tc>
          <w:tcPr>
            <w:tcW w:w="82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Transaction costs </w:t>
            </w:r>
            <w:r>
              <w:rPr>
                <w:rFonts w:ascii="Arial" w:cs="Arial" w:eastAsia="Arial" w:hAnsi="Arial"/>
                <w:sz w:val="15"/>
                <w:szCs w:val="15"/>
                <w:color w:val="auto"/>
                <w:vertAlign w:val="superscript"/>
              </w:rPr>
              <w:t>(2)</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5,496</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tcPr>
          <w:p>
            <w:pPr>
              <w:spacing w:after="0" w:line="153" w:lineRule="exact"/>
              <w:rPr>
                <w:sz w:val="20"/>
                <w:szCs w:val="20"/>
                <w:color w:val="auto"/>
              </w:rPr>
            </w:pPr>
            <w:r>
              <w:rPr>
                <w:rFonts w:ascii="Arial" w:cs="Arial" w:eastAsia="Arial" w:hAnsi="Arial"/>
                <w:sz w:val="12"/>
                <w:szCs w:val="12"/>
                <w:color w:val="auto"/>
              </w:rPr>
              <w:t xml:space="preserve">Change in fair market value of warrant and earn-out contingent liabilities </w:t>
            </w:r>
            <w:r>
              <w:rPr>
                <w:rFonts w:ascii="Arial" w:cs="Arial" w:eastAsia="Arial" w:hAnsi="Arial"/>
                <w:sz w:val="15"/>
                <w:szCs w:val="15"/>
                <w:color w:val="auto"/>
                <w:vertAlign w:val="superscript"/>
              </w:rPr>
              <w:t>(3)</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(122,171)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Other (income) expense, net </w:t>
            </w:r>
            <w:r>
              <w:rPr>
                <w:rFonts w:ascii="Arial" w:cs="Arial" w:eastAsia="Arial" w:hAnsi="Arial"/>
                <w:sz w:val="15"/>
                <w:szCs w:val="15"/>
                <w:color w:val="auto"/>
                <w:vertAlign w:val="superscript"/>
              </w:rPr>
              <w:t>(4)</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(2,645)</w:t>
            </w:r>
          </w:p>
        </w:tc>
      </w:tr>
      <w:tr>
        <w:trPr>
          <w:trHeight w:val="153"/>
        </w:trPr>
        <w:tc>
          <w:tcPr>
            <w:tcW w:w="8240" w:type="dxa"/>
            <w:vAlign w:val="bottom"/>
          </w:tcPr>
          <w:p>
            <w:pPr>
              <w:spacing w:after="0" w:line="153" w:lineRule="exact"/>
              <w:rPr>
                <w:sz w:val="20"/>
                <w:szCs w:val="20"/>
                <w:color w:val="auto"/>
              </w:rPr>
            </w:pPr>
            <w:r>
              <w:rPr>
                <w:rFonts w:ascii="Arial" w:cs="Arial" w:eastAsia="Arial" w:hAnsi="Arial"/>
                <w:sz w:val="12"/>
                <w:szCs w:val="12"/>
                <w:color w:val="auto"/>
              </w:rPr>
              <w:t xml:space="preserve">COVID-19 costs </w:t>
            </w:r>
            <w:r>
              <w:rPr>
                <w:rFonts w:ascii="Arial" w:cs="Arial" w:eastAsia="Arial" w:hAnsi="Arial"/>
                <w:sz w:val="15"/>
                <w:szCs w:val="15"/>
                <w:color w:val="auto"/>
                <w:vertAlign w:val="superscript"/>
              </w:rPr>
              <w:t>(5)</w:t>
            </w:r>
          </w:p>
        </w:tc>
        <w:tc>
          <w:tcPr>
            <w:tcW w:w="9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3,179</w:t>
            </w:r>
          </w:p>
        </w:tc>
      </w:tr>
      <w:tr>
        <w:trPr>
          <w:trHeight w:val="158"/>
        </w:trPr>
        <w:tc>
          <w:tcPr>
            <w:tcW w:w="8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Adjusted EBITDA</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(126,342)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(75,550)</w:t>
            </w: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w:t>
      </w:r>
    </w:p>
    <w:p>
      <w:pPr>
        <w:ind w:left="208" w:hanging="208"/>
        <w:spacing w:after="0" w:line="227" w:lineRule="auto"/>
        <w:tabs>
          <w:tab w:leader="none" w:pos="208" w:val="left"/>
        </w:tabs>
        <w:numPr>
          <w:ilvl w:val="0"/>
          <w:numId w:val="11"/>
        </w:numPr>
        <w:rPr>
          <w:rFonts w:ascii="Arial" w:cs="Arial" w:eastAsia="Arial" w:hAnsi="Arial"/>
          <w:sz w:val="10"/>
          <w:szCs w:val="10"/>
          <w:b w:val="1"/>
          <w:bCs w:val="1"/>
          <w:color w:val="auto"/>
        </w:rPr>
      </w:pPr>
      <w:r>
        <w:rPr>
          <w:rFonts w:ascii="Arial" w:cs="Arial" w:eastAsia="Arial" w:hAnsi="Arial"/>
          <w:sz w:val="10"/>
          <w:szCs w:val="10"/>
          <w:color w:val="auto"/>
        </w:rPr>
        <w:t>Represents the total of Interest Expense related to our capital leases and interest-bearing loans and Interest Income on money market funds.</w:t>
      </w:r>
    </w:p>
    <w:p>
      <w:pPr>
        <w:ind w:left="208" w:hanging="208"/>
        <w:spacing w:after="0" w:line="225" w:lineRule="auto"/>
        <w:tabs>
          <w:tab w:leader="none" w:pos="208" w:val="left"/>
        </w:tabs>
        <w:numPr>
          <w:ilvl w:val="0"/>
          <w:numId w:val="11"/>
        </w:numPr>
        <w:rPr>
          <w:rFonts w:ascii="Arial" w:cs="Arial" w:eastAsia="Arial" w:hAnsi="Arial"/>
          <w:sz w:val="10"/>
          <w:szCs w:val="10"/>
          <w:b w:val="1"/>
          <w:bCs w:val="1"/>
          <w:color w:val="auto"/>
        </w:rPr>
      </w:pPr>
      <w:r>
        <w:rPr>
          <w:rFonts w:ascii="Arial" w:cs="Arial" w:eastAsia="Arial" w:hAnsi="Arial"/>
          <w:sz w:val="10"/>
          <w:szCs w:val="10"/>
          <w:color w:val="auto"/>
        </w:rPr>
        <w:t>Represents professional service costs incurred in connection with pursuing the Business Combination transaction that did not meet the requirement for capitalization.</w:t>
      </w:r>
    </w:p>
    <w:p>
      <w:pPr>
        <w:ind w:left="208" w:hanging="208"/>
        <w:spacing w:after="0"/>
        <w:tabs>
          <w:tab w:leader="none" w:pos="208" w:val="left"/>
        </w:tabs>
        <w:numPr>
          <w:ilvl w:val="0"/>
          <w:numId w:val="11"/>
        </w:numPr>
        <w:rPr>
          <w:rFonts w:ascii="Arial" w:cs="Arial" w:eastAsia="Arial" w:hAnsi="Arial"/>
          <w:sz w:val="8"/>
          <w:szCs w:val="8"/>
          <w:b w:val="1"/>
          <w:bCs w:val="1"/>
          <w:color w:val="auto"/>
        </w:rPr>
      </w:pPr>
      <w:r>
        <w:rPr>
          <w:rFonts w:ascii="Arial" w:cs="Arial" w:eastAsia="Arial" w:hAnsi="Arial"/>
          <w:sz w:val="8"/>
          <w:szCs w:val="8"/>
          <w:color w:val="auto"/>
        </w:rPr>
        <w:t>For the nine months ended September 30, 2021, represents the change in fair market value of the liabilities associated with our public warrants and private placement warrants and the earn-out shares issuable under the terms of the Merger Agreement.</w:t>
      </w:r>
    </w:p>
    <w:p>
      <w:pPr>
        <w:spacing w:after="0" w:line="16" w:lineRule="exact"/>
        <w:rPr>
          <w:rFonts w:ascii="Arial" w:cs="Arial" w:eastAsia="Arial" w:hAnsi="Arial"/>
          <w:sz w:val="8"/>
          <w:szCs w:val="8"/>
          <w:b w:val="1"/>
          <w:bCs w:val="1"/>
          <w:color w:val="auto"/>
        </w:rPr>
      </w:pPr>
    </w:p>
    <w:p>
      <w:pPr>
        <w:ind w:left="208" w:hanging="208"/>
        <w:spacing w:after="0"/>
        <w:tabs>
          <w:tab w:leader="none" w:pos="208" w:val="left"/>
        </w:tabs>
        <w:numPr>
          <w:ilvl w:val="0"/>
          <w:numId w:val="11"/>
        </w:numPr>
        <w:rPr>
          <w:rFonts w:ascii="Arial" w:cs="Arial" w:eastAsia="Arial" w:hAnsi="Arial"/>
          <w:sz w:val="8"/>
          <w:szCs w:val="8"/>
          <w:b w:val="1"/>
          <w:bCs w:val="1"/>
          <w:color w:val="auto"/>
        </w:rPr>
      </w:pPr>
      <w:r>
        <w:rPr>
          <w:rFonts w:ascii="Arial" w:cs="Arial" w:eastAsia="Arial" w:hAnsi="Arial"/>
          <w:sz w:val="8"/>
          <w:szCs w:val="8"/>
          <w:color w:val="auto"/>
        </w:rPr>
        <w:t>For the nine months ended September 30, 2021 and 2020, consists primarily of funding received under the CARES Act Provider Relief Fund, offset by penalties related to early extinguishment of debt occurred in three months ended September 30, 2021.</w:t>
      </w:r>
    </w:p>
    <w:p>
      <w:pPr>
        <w:spacing w:after="0" w:line="16" w:lineRule="exact"/>
        <w:rPr>
          <w:rFonts w:ascii="Arial" w:cs="Arial" w:eastAsia="Arial" w:hAnsi="Arial"/>
          <w:sz w:val="8"/>
          <w:szCs w:val="8"/>
          <w:b w:val="1"/>
          <w:bCs w:val="1"/>
          <w:color w:val="auto"/>
        </w:rPr>
      </w:pPr>
    </w:p>
    <w:p>
      <w:pPr>
        <w:ind w:left="208" w:right="300" w:hanging="208"/>
        <w:spacing w:after="0" w:line="231" w:lineRule="auto"/>
        <w:tabs>
          <w:tab w:leader="none" w:pos="203" w:val="left"/>
        </w:tabs>
        <w:numPr>
          <w:ilvl w:val="0"/>
          <w:numId w:val="11"/>
        </w:numPr>
        <w:rPr>
          <w:rFonts w:ascii="Arial" w:cs="Arial" w:eastAsia="Arial" w:hAnsi="Arial"/>
          <w:sz w:val="10"/>
          <w:szCs w:val="10"/>
          <w:b w:val="1"/>
          <w:bCs w:val="1"/>
          <w:color w:val="auto"/>
        </w:rPr>
      </w:pPr>
      <w:r>
        <w:rPr>
          <w:rFonts w:ascii="Arial" w:cs="Arial" w:eastAsia="Arial" w:hAnsi="Arial"/>
          <w:sz w:val="10"/>
          <w:szCs w:val="10"/>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3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Going Concern, Liquidity and Capital Resources</w:t>
      </w:r>
    </w:p>
    <w:p>
      <w:pPr>
        <w:spacing w:after="0" w:line="136"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On July 22, 2021, we completed the Business Combination with CMLS and received net cash proceeds of $510 million. Management determined that the cash proceeds received from the Business Combination provides us with sufficient liquidity to meet our obligations for at least twelve months from the date of this Quarterly Report.</w:t>
      </w:r>
    </w:p>
    <w:p>
      <w:pPr>
        <w:spacing w:after="0" w:line="259" w:lineRule="exact"/>
        <w:rPr>
          <w:sz w:val="20"/>
          <w:szCs w:val="20"/>
          <w:color w:val="auto"/>
        </w:rPr>
      </w:pPr>
    </w:p>
    <w:p>
      <w:pPr>
        <w:jc w:val="center"/>
        <w:ind w:right="-20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0" w:right="29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Accordingly, the unaudited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Cash Requirements for Known Contractual Obligations and Commitments</w:t>
      </w:r>
    </w:p>
    <w:p>
      <w:pPr>
        <w:spacing w:after="0" w:line="12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The following is a description of commitments for known and reasonably likely cash requirements as of September 30, 2021 and December 31, 2020. We anticipate fulfilling such commitments with our existing cash and cash equivalents, which amounted to $461.3 million and $108.1 million as of September 30, 2021 and December 31, 2020, respectively, or through additional capital raised to finance our operations; see </w:t>
      </w:r>
      <w:r>
        <w:rPr>
          <w:rFonts w:ascii="Arial" w:cs="Arial" w:eastAsia="Arial" w:hAnsi="Arial"/>
          <w:sz w:val="12"/>
          <w:szCs w:val="12"/>
          <w:i w:val="1"/>
          <w:iCs w:val="1"/>
          <w:color w:val="auto"/>
        </w:rPr>
        <w:t>"—Going Concern, Liquidity and</w:t>
      </w:r>
      <w:r>
        <w:rPr>
          <w:rFonts w:ascii="Arial" w:cs="Arial" w:eastAsia="Arial" w:hAnsi="Arial"/>
          <w:sz w:val="12"/>
          <w:szCs w:val="12"/>
          <w:color w:val="auto"/>
        </w:rPr>
        <w:t xml:space="preserve"> </w:t>
      </w:r>
      <w:r>
        <w:rPr>
          <w:rFonts w:ascii="Arial" w:cs="Arial" w:eastAsia="Arial" w:hAnsi="Arial"/>
          <w:sz w:val="12"/>
          <w:szCs w:val="12"/>
          <w:i w:val="1"/>
          <w:iCs w:val="1"/>
          <w:color w:val="auto"/>
        </w:rPr>
        <w:t>Capital Resources"</w:t>
      </w:r>
      <w:r>
        <w:rPr>
          <w:rFonts w:ascii="Arial" w:cs="Arial" w:eastAsia="Arial" w:hAnsi="Arial"/>
          <w:sz w:val="12"/>
          <w:szCs w:val="12"/>
          <w:color w:val="auto"/>
        </w:rPr>
        <w:t>.</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Our future minimum payments under non-cancellable operating lease agreements were $69.4 million as of September 30, 2021 and $73.3 million as of December 31, 2020. The timing of these future payments, by year, can be found in Legacy Sema4’s audited financial statements in Note 9,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included within the Proxy Statement and our unaudited condensed consolidated financial statements in Note 9, </w:t>
      </w:r>
      <w:r>
        <w:rPr>
          <w:rFonts w:ascii="Arial" w:cs="Arial" w:eastAsia="Arial" w:hAnsi="Arial"/>
          <w:sz w:val="12"/>
          <w:szCs w:val="12"/>
          <w:i w:val="1"/>
          <w:iCs w:val="1"/>
          <w:color w:val="auto"/>
        </w:rPr>
        <w:t>“Commitments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Contingencies,” </w:t>
      </w:r>
      <w:r>
        <w:rPr>
          <w:rFonts w:ascii="Arial" w:cs="Arial" w:eastAsia="Arial" w:hAnsi="Arial"/>
          <w:sz w:val="12"/>
          <w:szCs w:val="12"/>
          <w:color w:val="auto"/>
        </w:rPr>
        <w:t>included within the Quarterly Report respectively.</w:t>
      </w:r>
    </w:p>
    <w:p>
      <w:pPr>
        <w:spacing w:after="0" w:line="10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 xml:space="preserve">Our future payments under capital leases were $66.7 million as of September 30, 2021. The timing of these future payments, by year, can be found in Legacy Sema4’s audited financial statements in Note 9, </w:t>
      </w:r>
      <w:r>
        <w:rPr>
          <w:rFonts w:ascii="Arial" w:cs="Arial" w:eastAsia="Arial" w:hAnsi="Arial"/>
          <w:sz w:val="11"/>
          <w:szCs w:val="11"/>
          <w:i w:val="1"/>
          <w:iCs w:val="1"/>
          <w:color w:val="auto"/>
        </w:rPr>
        <w:t>“Commitments and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Contingencies” </w:t>
      </w:r>
      <w:r>
        <w:rPr>
          <w:rFonts w:ascii="Arial" w:cs="Arial" w:eastAsia="Arial" w:hAnsi="Arial"/>
          <w:sz w:val="11"/>
          <w:szCs w:val="11"/>
          <w:color w:val="auto"/>
        </w:rPr>
        <w:t>included within the Proxy Statement and our unaudited condensed consolidated financial statements in Note 9,</w:t>
      </w:r>
      <w:r>
        <w:rPr>
          <w:rFonts w:ascii="Arial" w:cs="Arial" w:eastAsia="Arial" w:hAnsi="Arial"/>
          <w:sz w:val="11"/>
          <w:szCs w:val="11"/>
          <w:i w:val="1"/>
          <w:iCs w:val="1"/>
          <w:color w:val="auto"/>
        </w:rPr>
        <w:t xml:space="preserve"> “Commitments and Contingencies,” </w:t>
      </w:r>
      <w:r>
        <w:rPr>
          <w:rFonts w:ascii="Arial" w:cs="Arial" w:eastAsia="Arial" w:hAnsi="Arial"/>
          <w:sz w:val="11"/>
          <w:szCs w:val="11"/>
          <w:color w:val="auto"/>
        </w:rPr>
        <w:t>included within this Quarterly Report,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40" w:type="dxa"/>
            <w:vAlign w:val="bottom"/>
          </w:tcPr>
          <w:p>
            <w:pPr>
              <w:spacing w:after="0"/>
              <w:rPr>
                <w:sz w:val="11"/>
                <w:szCs w:val="11"/>
                <w:color w:val="auto"/>
              </w:rPr>
            </w:pPr>
          </w:p>
        </w:tc>
        <w:tc>
          <w:tcPr>
            <w:tcW w:w="25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0"/>
                <w:szCs w:val="10"/>
                <w:b w:val="1"/>
                <w:bCs w:val="1"/>
                <w:color w:val="auto"/>
                <w:w w:val="84"/>
              </w:rPr>
              <w:t>Nine months ended September 30,</w:t>
            </w:r>
          </w:p>
        </w:tc>
        <w:tc>
          <w:tcPr>
            <w:tcW w:w="540" w:type="dxa"/>
            <w:vAlign w:val="bottom"/>
            <w:tcBorders>
              <w:bottom w:val="single" w:sz="8" w:color="auto"/>
            </w:tcBorders>
          </w:tcPr>
          <w:p>
            <w:pPr>
              <w:spacing w:after="0"/>
              <w:rPr>
                <w:sz w:val="11"/>
                <w:szCs w:val="11"/>
                <w:color w:val="auto"/>
              </w:rPr>
            </w:pPr>
          </w:p>
        </w:tc>
      </w:tr>
      <w:tr>
        <w:trPr>
          <w:trHeight w:val="118"/>
        </w:trPr>
        <w:tc>
          <w:tcPr>
            <w:tcW w:w="8240" w:type="dxa"/>
            <w:vAlign w:val="bottom"/>
          </w:tcPr>
          <w:p>
            <w:pPr>
              <w:spacing w:after="0"/>
              <w:rPr>
                <w:sz w:val="10"/>
                <w:szCs w:val="10"/>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r>
      <w:tr>
        <w:trPr>
          <w:trHeight w:val="115"/>
        </w:trPr>
        <w:tc>
          <w:tcPr>
            <w:tcW w:w="8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0" w:type="dxa"/>
            <w:vAlign w:val="bottom"/>
            <w:gridSpan w:val="2"/>
          </w:tcPr>
          <w:p>
            <w:pPr>
              <w:jc w:val="center"/>
              <w:ind w:right="326"/>
              <w:spacing w:after="0"/>
              <w:rPr>
                <w:sz w:val="20"/>
                <w:szCs w:val="20"/>
                <w:color w:val="auto"/>
              </w:rPr>
            </w:pPr>
            <w:r>
              <w:rPr>
                <w:rFonts w:ascii="Arial" w:cs="Arial" w:eastAsia="Arial" w:hAnsi="Arial"/>
                <w:sz w:val="10"/>
                <w:szCs w:val="10"/>
                <w:b w:val="1"/>
                <w:bCs w:val="1"/>
                <w:color w:val="auto"/>
                <w:w w:val="84"/>
              </w:rPr>
              <w:t>(in thousands)</w:t>
            </w:r>
          </w:p>
        </w:tc>
        <w:tc>
          <w:tcPr>
            <w:tcW w:w="540" w:type="dxa"/>
            <w:vAlign w:val="bottom"/>
          </w:tcPr>
          <w:p>
            <w:pPr>
              <w:spacing w:after="0"/>
              <w:rPr>
                <w:sz w:val="10"/>
                <w:szCs w:val="10"/>
                <w:color w:val="auto"/>
              </w:rPr>
            </w:pPr>
          </w:p>
        </w:tc>
      </w:tr>
      <w:tr>
        <w:trPr>
          <w:trHeight w:val="154"/>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920" w:type="dxa"/>
            <w:vAlign w:val="bottom"/>
            <w:shd w:val="clear" w:color="auto" w:fill="CCEEFF"/>
          </w:tcPr>
          <w:p>
            <w:pPr>
              <w:jc w:val="right"/>
              <w:ind w:right="788"/>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(138,449)</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(74,795)</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(13,093)</w:t>
            </w:r>
          </w:p>
        </w:tc>
        <w:tc>
          <w:tcPr>
            <w:tcW w:w="100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w w:val="93"/>
              </w:rPr>
              <w:t>(20,475)</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494,758</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6"/>
              </w:rPr>
              <w:t>119,942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3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Net cash used in operating activities during the nine months ended September 30, 2021 was $138.4 million, which was primarily attributable to a net loss of $205.0 million and a change in fair value of the warrant and earn-out liabilities of $122.2 million, partially offset by non-cash depreciation and amortization of $16.0 million and non-cash stock-based compensation expense of $182.5 million. The net change in our operating assets and liabilities primarily reflected a $10.8 million decrease in accounts receivable due to a decrease in COVID-19 test volume performed during the second and third quarter of 2021, a $7.3 million increase in inventories driven by a higher volume of purchases to support increasing testing volumes, a $15.7 million increase in prepaid expenses and other current assets mainly driven by new insurance policy premiums paid during the nine months period, a $4.7 million increase in accounts payable and accrued expenses due to the timing of vendor payments of large vendors, and a $3.4 million decrease in other current liabilities mainly driven by the repayment of capital leases and decrease in compensation related accruals.</w:t>
      </w:r>
    </w:p>
    <w:p>
      <w:pPr>
        <w:spacing w:after="0" w:line="10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Net cash used in operating activities during the nine months ended September 30, 2020 was $74.8 million, which was primarily attributable to a net loss of $115.7 million, partially offset by non-cash depreciation and amortization of $8.1 million and non-cash stock-based compensation expense of $30.1 million. The net change in our operating assets and liabilities primarily reflected an increase in inventory of $8.1 million and an increase in other current liabilities of $10.1 million.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3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cash used in investing activities during the nine months ended September 30, 2021 was $13.1 million, which was attributable to $4.3 million in purchases of property and equipment and $8.7 million of costs related to development of internal-use software assets.</w:t>
      </w:r>
    </w:p>
    <w:p>
      <w:pPr>
        <w:spacing w:after="0" w:line="8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Net cash used in investing activities during the nine months ended September 30, 2020 was $20.5 million, which was attributable to $17.3 million in purchases of property and equipment and $3.2 million of costs related to development of internal-use software assets.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Net cash provided by financing activities during the nine months ended September 30, 2021 was $494.8 million, which was attributable to the consummation of the Merger including: $350.0 million from PIPE investment proceeds; $442.7 million from an equity infusion from the Merger, net of redemptions; offset by $230.7 million in the cash payments to certain Legacy Sema4 stockholders; payment of transaction costs of $51.8 million; and $3.8 million of stock appreciate rights pay-outs. These amounts were further offset by an $8.7 million repayment of long-term debt and $3.0 million of capital lease principal payments.</w:t>
      </w:r>
    </w:p>
    <w:p>
      <w:pPr>
        <w:spacing w:after="0" w:line="9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cash provided by financing activities during the nine months ended September 30, 2020 was $120.0 million, which was attributable to $117.3 million in proceeds, net of issuance costs from the issuance of Series C redeemable convertible preferred stock, and $6.0 million in cash proceeds from the issuance of long-term debt, partially offset by $3.4 million in principal payments on our capital lease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did not have during the periods presented, and we do not currently have, any off-balance sheet arrangements, as defined in the rules and regulations of the SEC.</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1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Except as described in Note 2, </w:t>
      </w:r>
      <w:r>
        <w:rPr>
          <w:rFonts w:ascii="Arial" w:cs="Arial" w:eastAsia="Arial" w:hAnsi="Arial"/>
          <w:sz w:val="12"/>
          <w:szCs w:val="12"/>
          <w:i w:val="1"/>
          <w:iCs w:val="1"/>
          <w:color w:val="auto"/>
        </w:rPr>
        <w:t>“Summary of Significant Accounting Policies – Recent Accounting Pronouncement Issued but Not Yet Adopted,”</w:t>
      </w:r>
      <w:r>
        <w:rPr>
          <w:rFonts w:ascii="Arial" w:cs="Arial" w:eastAsia="Arial" w:hAnsi="Arial"/>
          <w:sz w:val="12"/>
          <w:szCs w:val="12"/>
          <w:color w:val="auto"/>
        </w:rPr>
        <w:t xml:space="preserve"> to our unaudited condensed consolidated financial statements included in this Quarterly Report, there have been no material changes to our critical accounting policies and estimates as compared to the critical accounting policies and estimates disclosed in Legacy Sema4’s audited consolidated financial statements and notes thereto included within the Proxy Statement.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2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06"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 xml:space="preserve">Additional information on recent accounting pronouncements can be found in Legacy Sema4’s audited financial statements in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included within the Proxy Statement and our unaudited condensed consolidated financial statements in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Included within the Quarterly Report.</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Controls</w:t>
      </w:r>
    </w:p>
    <w:p>
      <w:pPr>
        <w:spacing w:after="0" w:line="136"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In connection with the preparation of Legacy Sema4's audited financial statements included in the Proxy Statement, we identified material weaknesses in our controls,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65" w:lineRule="exact"/>
        <w:rPr>
          <w:sz w:val="20"/>
          <w:szCs w:val="20"/>
          <w:color w:val="auto"/>
        </w:rPr>
      </w:pPr>
    </w:p>
    <w:p>
      <w:pPr>
        <w:ind w:left="420" w:right="20" w:hanging="212"/>
        <w:spacing w:after="0" w:line="276"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87" w:lineRule="exact"/>
        <w:rPr>
          <w:rFonts w:ascii="Arial" w:cs="Arial" w:eastAsia="Arial" w:hAnsi="Arial"/>
          <w:sz w:val="12"/>
          <w:szCs w:val="12"/>
          <w:color w:val="auto"/>
        </w:rPr>
      </w:pPr>
    </w:p>
    <w:p>
      <w:pPr>
        <w:jc w:val="both"/>
        <w:ind w:left="420" w:hanging="212"/>
        <w:spacing w:after="0" w:line="289" w:lineRule="auto"/>
        <w:tabs>
          <w:tab w:leader="none" w:pos="417" w:val="left"/>
        </w:tabs>
        <w:numPr>
          <w:ilvl w:val="0"/>
          <w:numId w:val="12"/>
        </w:numPr>
        <w:rPr>
          <w:rFonts w:ascii="Arial" w:cs="Arial" w:eastAsia="Arial" w:hAnsi="Arial"/>
          <w:sz w:val="11"/>
          <w:szCs w:val="11"/>
          <w:color w:val="auto"/>
        </w:rPr>
      </w:pPr>
      <w:r>
        <w:rPr>
          <w:rFonts w:ascii="Arial" w:cs="Arial" w:eastAsia="Arial" w:hAnsi="Arial"/>
          <w:sz w:val="11"/>
          <w:szCs w:val="11"/>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92" w:lineRule="exact"/>
        <w:rPr>
          <w:rFonts w:ascii="Arial" w:cs="Arial" w:eastAsia="Arial" w:hAnsi="Arial"/>
          <w:sz w:val="11"/>
          <w:szCs w:val="11"/>
          <w:color w:val="auto"/>
        </w:rPr>
      </w:pPr>
    </w:p>
    <w:p>
      <w:pPr>
        <w:ind w:left="420" w:hanging="212"/>
        <w:spacing w:after="0" w:line="276"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87"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engaged outside consultants to assist us in the evaluation of our Enterprise Resource Planning (“ERP”) system in order to mitigate the internal control gaps and limitations with the current configuration, and to enhance the information technology general controls environment.</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remediation activities are continuing during 2021. In addition to the above actions, we expect to engage in additional activities, including, but not limited to:</w:t>
      </w:r>
    </w:p>
    <w:p>
      <w:pPr>
        <w:spacing w:after="0" w:line="132"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Hiring more technical accounting resources to enhance our control environment;</w:t>
      </w:r>
    </w:p>
    <w:p>
      <w:pPr>
        <w:spacing w:after="0" w:line="123"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87"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96"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3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$462.2 million as of September 30, 2021. Such interest-bearing instruments carry a degree of risk; however, because our investments are primarily high-quality credit instruments with short-term durations with high-quality institutions, we have not been exposed to, nor do we anticipate</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being exposed to, material risks due to changes in interest rates. A 100 basis point change in interest rates would not have a material effect on the fair market value of our cash, cash equivalents and restricted cash.</w:t>
      </w:r>
    </w:p>
    <w:p>
      <w:pPr>
        <w:spacing w:after="0" w:line="14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8,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and Sema4’s unaudited condensed consolidated financial statements in Note 8, </w:t>
      </w:r>
      <w:r>
        <w:rPr>
          <w:rFonts w:ascii="Arial" w:cs="Arial" w:eastAsia="Arial" w:hAnsi="Arial"/>
          <w:sz w:val="12"/>
          <w:szCs w:val="12"/>
          <w:i w:val="1"/>
          <w:iCs w:val="1"/>
          <w:color w:val="auto"/>
        </w:rPr>
        <w:t>“Long-Term Debt.”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2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on that evaluation, our Chief Executive Officer and Chief Financial Officer concluded that our disclosure controls and procedures were not effective as of September 30, 2021 because of the material weaknesses in internal control over financial reporting discussed below.</w:t>
      </w:r>
    </w:p>
    <w:p>
      <w:pPr>
        <w:spacing w:after="0" w:line="131" w:lineRule="exact"/>
        <w:rPr>
          <w:sz w:val="20"/>
          <w:szCs w:val="20"/>
          <w:color w:val="auto"/>
        </w:rPr>
      </w:pPr>
    </w:p>
    <w:p>
      <w:pPr>
        <w:ind w:right="180" w:firstLine="216"/>
        <w:spacing w:after="0" w:line="245" w:lineRule="auto"/>
        <w:rPr>
          <w:sz w:val="20"/>
          <w:szCs w:val="20"/>
          <w:color w:val="auto"/>
        </w:rPr>
      </w:pPr>
      <w:r>
        <w:rPr>
          <w:rFonts w:ascii="Arial" w:cs="Arial" w:eastAsia="Arial" w:hAnsi="Arial"/>
          <w:sz w:val="12"/>
          <w:szCs w:val="12"/>
          <w:color w:val="auto"/>
        </w:rPr>
        <w:t>Notwithstanding the material weakness in internal control over financial reporting described below,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Material Weaknesses</w:t>
      </w:r>
    </w:p>
    <w:p>
      <w:pPr>
        <w:spacing w:after="0" w:line="114"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disclosed in the Proxy Statement, we have identified material weaknesses in our internal control over the financial statement close process related to deficiencies in information technology general controls and process level controls. These control deficiencies could result in a misstatement of our accounts or disclosures that would result in a material misstatement of our financial results that would not be prevented or detected, and accordingly, we determined that these control deficiencies result in material weaknesses.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Remediation Plan</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are in the process of developing a detailed plan for remediation of the material weaknesses, as well as compliance with Section 404 of the Sarbanes-Oxley Act. Management has continued to implement remediation steps to address the material weaknesses and to improve our internal control over financial reporting. Specifically, we have hired key personnel in order to enhance the level of communication and understanding of controls within our financial accounting and reporting group. We also engaged external consultants to perform a gap analysis and assessment of design and implementation of internal controls that address relevant risks, as well as assist with remediation actions. As of September 30, 2021, the material weaknesses have not yet been fully remediated.</w:t>
      </w:r>
    </w:p>
    <w:p>
      <w:pPr>
        <w:spacing w:after="0" w:line="9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76" w:lineRule="auto"/>
        <w:rPr>
          <w:rFonts w:ascii="Arial" w:cs="Arial" w:eastAsia="Arial" w:hAnsi="Arial"/>
          <w:sz w:val="12"/>
          <w:szCs w:val="12"/>
          <w:color w:val="0000FF"/>
        </w:rPr>
      </w:pPr>
      <w:hyperlink w:anchor="page44">
        <w:r>
          <w:rPr>
            <w:rFonts w:ascii="Arial" w:cs="Arial" w:eastAsia="Arial" w:hAnsi="Arial"/>
            <w:sz w:val="12"/>
            <w:szCs w:val="12"/>
            <w:color w:val="auto"/>
          </w:rPr>
          <w:t>design of our plan and take such other actions that we deem appropriate given the circumstances. For more information, see “</w:t>
        </w:r>
        <w:r>
          <w:rPr>
            <w:rFonts w:ascii="Arial" w:cs="Arial" w:eastAsia="Arial" w:hAnsi="Arial"/>
            <w:sz w:val="12"/>
            <w:szCs w:val="12"/>
            <w:u w:val="single" w:color="auto"/>
            <w:color w:val="0000FF"/>
          </w:rPr>
          <w:t>Item 2. Management's Discussion and Analysis of Financial Condition and Results of Operations—Internal</w:t>
        </w:r>
      </w:hyperlink>
      <w:r>
        <w:rPr>
          <w:rFonts w:ascii="Arial" w:cs="Arial" w:eastAsia="Arial" w:hAnsi="Arial"/>
          <w:sz w:val="12"/>
          <w:szCs w:val="12"/>
          <w:color w:val="auto"/>
        </w:rPr>
        <w:t xml:space="preserve"> </w:t>
      </w:r>
      <w:hyperlink w:anchor="page44">
        <w:r>
          <w:rPr>
            <w:rFonts w:ascii="Arial" w:cs="Arial" w:eastAsia="Arial" w:hAnsi="Arial"/>
            <w:sz w:val="12"/>
            <w:szCs w:val="12"/>
            <w:u w:val="single" w:color="auto"/>
            <w:color w:val="0000FF"/>
          </w:rPr>
          <w:t>Control</w:t>
        </w:r>
        <w:r>
          <w:rPr>
            <w:rFonts w:ascii="Arial" w:cs="Arial" w:eastAsia="Arial" w:hAnsi="Arial"/>
            <w:sz w:val="12"/>
            <w:szCs w:val="12"/>
            <w:color w:val="0000FF"/>
          </w:rPr>
          <w:t>s</w:t>
        </w:r>
        <w:r>
          <w:rPr>
            <w:rFonts w:ascii="Arial" w:cs="Arial" w:eastAsia="Arial" w:hAnsi="Arial"/>
            <w:sz w:val="12"/>
            <w:szCs w:val="12"/>
            <w:color w:val="000000"/>
          </w:rPr>
          <w:t>” above.</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other than as described herein. We are continuing to take steps to remediate the material weakness in our internal control over financial reporting, as discussed above.</w:t>
      </w:r>
    </w:p>
    <w:p>
      <w:pPr>
        <w:spacing w:after="0" w:line="95"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During the fiscal quarter ended September 30, 2021, we completed the Business Combination and the internal controls of CMLS became our internal controls. We are engaged in the process of design and implementation of our internal control over financial reporting in a manner commensurate with the scale of our operations subsequent to the Business Combination, including the enhancement of our internal and external technical accounting resources.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Inherent Limitation on the Effectiveness of Internal Control</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18" w:lineRule="exact"/>
        <w:rPr>
          <w:sz w:val="20"/>
          <w:szCs w:val="20"/>
          <w:color w:val="auto"/>
        </w:rPr>
      </w:pPr>
    </w:p>
    <w:p>
      <w:pPr>
        <w:ind w:right="320" w:firstLine="216"/>
        <w:spacing w:after="0" w:line="245" w:lineRule="auto"/>
        <w:rPr>
          <w:sz w:val="20"/>
          <w:szCs w:val="20"/>
          <w:color w:val="auto"/>
        </w:rPr>
      </w:pPr>
      <w:r>
        <w:rPr>
          <w:rFonts w:ascii="Arial" w:cs="Arial" w:eastAsia="Arial" w:hAnsi="Arial"/>
          <w:sz w:val="12"/>
          <w:szCs w:val="12"/>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36"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i w:val="1"/>
          <w:iCs w:val="1"/>
          <w:color w:val="auto"/>
        </w:rPr>
        <w:t>You should carefully review and consider the following risk factors and the other information contained in this Quarterly Report on Form 10-Qbefore deciding whether to invest in our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 Summary</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business is subject to a number of risks and uncertainties, including those risks discussed at length below. These risks include, among others, the following:</w:t>
      </w:r>
    </w:p>
    <w:p>
      <w:pPr>
        <w:spacing w:after="0" w:line="123"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COVID-19 pandemic has affected and may further materially and adversely affect our business and financial results.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face intense competition. If we do not continue to innovate and provide products and services that are useful to users, we may not remain competitive, which could harm our business and operating results.</w:t>
      </w:r>
    </w:p>
    <w:p>
      <w:pPr>
        <w:spacing w:after="0" w:line="134" w:lineRule="exact"/>
        <w:rPr>
          <w:rFonts w:ascii="Arial" w:cs="Arial" w:eastAsia="Arial" w:hAnsi="Arial"/>
          <w:sz w:val="11"/>
          <w:szCs w:val="11"/>
          <w:color w:val="auto"/>
        </w:rPr>
      </w:pPr>
    </w:p>
    <w:p>
      <w:pPr>
        <w:ind w:left="42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have limited experience with the development and commercialization of our databases and our health information and genomic platforms.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If we fail to comply with federal and state laboratory licensing requirements or standards, we could lose the ability to perform our tests or experience disruptions to our business.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9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7"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87"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hanging="212"/>
        <w:spacing w:after="0" w:line="276"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Uncertainty in the development and commercialization of our enhanced or new tests or services could materially adversely affect our business, financial condition and results of operations.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operating results could be subject to significant fluctuation, which could increase the volatility of our stock and warrant prices and cause losses to our stockholders.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may need to raise additional capital to fund our existing operations, develop additional products and services, commercialize new products and services or expand our operations.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expect to make significant investments in our continued research and development of new products and services, which may not be successful.</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rely on third-party laboratories to perform certain elements of our service offerings.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Future changes in FDA enforcement discretion for LDTs could subject our operations to much more significant regulatory requirements.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Compliance with the HIPAA security, privacy and breach notification regulations may increase our costs.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face uncertainty related to healthcare reform, pricing, coverage and reimbursement, which could reduce our revenue.</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inability to effectively protect our proprietary products, processes, and technologies, including the confidentiality of our trade secrets, could harm our competitive position.</w:t>
      </w:r>
    </w:p>
    <w:p>
      <w:pPr>
        <w:spacing w:after="0" w:line="132"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will incur increased costs and demands on management as a result of compliance with laws and regulations applicable to public companies, which could harm our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Industry and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COVID-19 pandemic has affected and may further materially and adversely affect our business and financial results.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COVID-19 pandemic, together with related precautionary measures, began to materially disrupt our business in April 2020 and may continue to disrupt our business for an unknown period of time. The territories in which we market, sell, distribute and perform our tests and performs our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and the emergence of new variant strains of COVID-19. Even in areas where “stay-at-home” restrictions have been lifted and the number of cases of</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49" w:name="page50"/>
    <w:bookmarkEnd w:id="4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and the emergence of new variant strains of COVID-19 in regions that have reopened has necessitated, and may in the future necessitate, renewed government restrictions. As a result, we experienced a significant impact to our 2020 operating results, including our order volumes, revenues, margins, and cash utilization, among other measures.</w:t>
      </w:r>
    </w:p>
    <w:p>
      <w:pPr>
        <w:spacing w:after="0" w:line="106"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Beginning in March 2020, we undertook temporary precautionary measures intended to help minimize the risk of the virus to our employees, including requiring most employees to work remotely; suspending field-based, face-to-face interactions by our sales force; requiring on-site employees to undergo COVID-19 testing, wear personal protective equipment (including face masks or shields) and maintain social distancing; pausing all non-essential travel for our employees; and limiting employee attendance at industry events and in-person work-related meetings, to the extent those events and meetings are continuing. Our current partners also took similar precautions, including suspending face-to-face interactions between sales representatives and healthcare providers.</w:t>
      </w:r>
    </w:p>
    <w:p>
      <w:pPr>
        <w:spacing w:after="0" w:line="97" w:lineRule="exact"/>
        <w:rPr>
          <w:sz w:val="20"/>
          <w:szCs w:val="20"/>
          <w:color w:val="auto"/>
        </w:rPr>
      </w:pPr>
    </w:p>
    <w:p>
      <w:pPr>
        <w:jc w:val="both"/>
        <w:ind w:firstLine="216"/>
        <w:spacing w:after="0" w:line="379" w:lineRule="auto"/>
        <w:rPr>
          <w:sz w:val="20"/>
          <w:szCs w:val="20"/>
          <w:color w:val="auto"/>
        </w:rPr>
      </w:pPr>
      <w:r>
        <w:rPr>
          <w:rFonts w:ascii="Arial" w:cs="Arial" w:eastAsia="Arial" w:hAnsi="Arial"/>
          <w:sz w:val="10"/>
          <w:szCs w:val="10"/>
          <w:color w:val="auto"/>
        </w:rPr>
        <w:t>We expect to adjust our precautionary measures at our various locations based on local recovery levels and applicable governmental regulations. For example, a portion of our sales force has recommenced field-based interactions, although access to healthcare providers remains limited and the resumption of normal activities is expected to be gradual. Our business could be negatively affected if it takes excessive, ineffective or inadequate precautions.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COVID-19 pandemic has materially impacted our business, and may continue to impact our business for an unknown period of time. Such impacts may include the following:</w:t>
      </w:r>
    </w:p>
    <w:p>
      <w:pPr>
        <w:spacing w:after="0" w:line="132" w:lineRule="exact"/>
        <w:rPr>
          <w:sz w:val="20"/>
          <w:szCs w:val="20"/>
          <w:color w:val="auto"/>
        </w:rPr>
      </w:pPr>
    </w:p>
    <w:p>
      <w:pPr>
        <w:ind w:left="42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Restrictions on travel, commerce and shipping may prevent patients and pathologists from shipping samples to our clinical laboratories;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Illnesses, quarantines, financial hardships, restrictions on travel, commerce and shipping, or other consequences of the pandemic, may disrupt our supply chain or other business relationships, and it or other parties may assert rights under force majeure clauses to excuse performance;</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have experienced, and for an extended period of time may continue to experience, reduced volumes at our clinical laboratories and it may need to suspend operations at some or all of our clinical laboratories;</w:t>
      </w:r>
    </w:p>
    <w:p>
      <w:pPr>
        <w:spacing w:after="0" w:line="134" w:lineRule="exact"/>
        <w:rPr>
          <w:rFonts w:ascii="Arial" w:cs="Arial" w:eastAsia="Arial" w:hAnsi="Arial"/>
          <w:sz w:val="11"/>
          <w:szCs w:val="11"/>
          <w:color w:val="auto"/>
        </w:rPr>
      </w:pPr>
    </w:p>
    <w:p>
      <w:pPr>
        <w:ind w:left="420" w:hanging="212"/>
        <w:spacing w:after="0" w:line="27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taken, and may take additional, cost cutting measures, which may hinder our efforts to commercialize our products or delay the development of future products and services. Further, we might not realize all of the cost savings it expects to achieve as a result of those efforts;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and our partners have postponed or cancelled clinical studies, which may delay or prevent our launch of future products and services;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workforce, much of which has been asked to work remotely in an effort to reduce the spread of COVID-19, may be infected by the virus or otherwise distracted;</w:t>
      </w:r>
    </w:p>
    <w:p>
      <w:pPr>
        <w:spacing w:after="0" w:line="123"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combination of factors, including infection from the virus, supply shortfalls, and inability to obtain or maintain equipment, could adversely affect our lab capacity and our ability to meet the demand for our testing services. In addition, in April of 2020 we began offering a COVID-19 test and by devoting lab capacity and supplies to that test, we may experience capacity limitations and supply shortfalls that adversely affect our ability to provide women’s health and oncology testing, and other tests that may generate more revenue and higher profits; and</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may inaccurately estimate the duration or severity of the COVID-19 pandemic, which could cause us to misalign our staffing, spending, activities and precautionary measures with current or future market conditions.</w:t>
      </w:r>
    </w:p>
    <w:p>
      <w:pPr>
        <w:spacing w:after="0" w:line="14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Despite our efforts, the ultimate impact of COVID-19, or the impact of the emergence of new strains of the virus and any future resurgences of COVID-19 or variant strains, depends on factors beyond our knowledge or control, including the</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duration and severity of the pandemic, third-party actions taken to contain its spread and mitigate its public health effects and short- and long-term changes in the behaviors of medical professionals and patients resulting from the pandemic.</w:t>
      </w:r>
    </w:p>
    <w:p>
      <w:pPr>
        <w:spacing w:after="0" w:line="97"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8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95"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In 2020, we received $5.4 million as part of the stimulus, comprised of $2.6 million received under the Provider Relief Fund, or PRF, distribution and $2.8 million received under the Employee Retention Credit, or ERC, distribution. During the three months ended March 31,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its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2020 and September 30, 2021.</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companies or institutions may develop and market novel or improved technologies, which may make our technologies less competitive or obsolete.</w:t>
      </w:r>
    </w:p>
    <w:p>
      <w:pPr>
        <w:spacing w:after="0" w:line="13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it does.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01" w:lineRule="exact"/>
        <w:rPr>
          <w:sz w:val="20"/>
          <w:szCs w:val="20"/>
          <w:color w:val="auto"/>
        </w:rPr>
      </w:pPr>
    </w:p>
    <w:p>
      <w:pPr>
        <w:ind w:left="420" w:right="20" w:hanging="212"/>
        <w:spacing w:after="0" w:line="276"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academic and scientific institutions;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governmental agencies; and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and private research organizations.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it expands into. Even if we do develop new marketable products or services, our current and future competitors may develop products and services that are more commercially attractive than ours, and they may bring those products and services to market earlier or more effectively than it.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35"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8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aggressively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1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it in developing compelling products and services for or in attracting and retaining customers or partners in the market for health information and data science products and services, our operating results could be harmed.</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as managed care organizations and government payers (e.g., Medicare and Medicaid).</w:t>
      </w:r>
    </w:p>
    <w:p>
      <w:pPr>
        <w:spacing w:after="0" w:line="7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0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0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it does not adequately comply with these requirements. Our third-party payors have also requested, and in the future may request, audits of the amounts paid to it.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0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limited experience with the development and commercialization of our databases and our health information and genomic platforms.</w:t>
      </w:r>
    </w:p>
    <w:p>
      <w:pPr>
        <w:spacing w:after="0" w:line="132"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We have limited experience with the development or commercialization of clinical or research products in connection with the databases it manages and to which it has access, and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3" w:name="page54"/>
    <w:bookmarkEnd w:id="5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Ethical, legal and social concerns related to the use of genomic medicine and health information analysis could reduce demand for our tests.</w:t>
      </w:r>
    </w:p>
    <w:p>
      <w:pPr>
        <w:spacing w:after="0" w:line="12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3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would also be required to maintain in-state licenses if we were to conduct testing in other states. Several states require the licensure of out-of-state laboratories that accept specimens from certain states.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1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8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4" w:name="page55"/>
    <w:bookmarkEnd w:id="5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samples taken from their citizens. We have CAP accreditations for our laboratories. Failure to maintain CAP accreditation could have a material adverse effect on the sales of our tests and the results of our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Model</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88"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any member or change in structure of our senior management team could adversely affect our business.</w:t>
      </w:r>
    </w:p>
    <w:p>
      <w:pPr>
        <w:spacing w:after="0" w:line="12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founder and CEO, Eric Schadt, and certain other of our employees have performed, and will continue to perform, duties for or on behalf of Mount Sinai.</w:t>
      </w:r>
    </w:p>
    <w:p>
      <w:pPr>
        <w:spacing w:after="0" w:line="13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manage our future growth effectively, which could make it difficult to execute our business strategy.</w:t>
      </w:r>
    </w:p>
    <w:p>
      <w:pPr>
        <w:spacing w:after="0" w:line="12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it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w:t>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5" w:name="page56"/>
    <w:bookmarkEnd w:id="5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8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8"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95" w:lineRule="exact"/>
        <w:rPr>
          <w:sz w:val="20"/>
          <w:szCs w:val="20"/>
          <w:color w:val="auto"/>
        </w:rPr>
      </w:pPr>
    </w:p>
    <w:p>
      <w:pPr>
        <w:ind w:left="420" w:hanging="212"/>
        <w:spacing w:after="0" w:line="27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approvals, permits and licenses;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failure by us, our collaborators or our distributors to obtain regulatory clearance, authorization or approval for the use of our products and services in various countries;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additional potentially relevant third-party patent rights;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complexities and difficulties in obtaining intellectual property protection and enforcing our intellectual property;</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difficulties in staffing and managing foreign operations;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complexities associated with managing multiple payer reimbursement regimes, government payers or patient self-pay systems;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difficulties in negotiating favorable reimbursement negotiations with governmental authorities;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logistics and regulations associated with shipping samples, including infrastructure conditions and transportation delays;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limits in our ability to penetrate international markets if we are not able to conduct our clinical diagnostic services locally;</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natural disasters, political and economic instability, including wars, terrorism and political unrest, and outbreak of disease;</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boycotts, curtailment of trade and other business restrictions; and</w:t>
      </w:r>
    </w:p>
    <w:p>
      <w:pPr>
        <w:spacing w:after="0" w:line="123"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Any of these factors could significantly harm our future international expansion and operations and, consequently, our revenue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U.S. or global economic conditions could adversely affect our business, financial condition or results of operations.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financial markets.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9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8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0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7" w:name="page58"/>
    <w:bookmarkEnd w:id="5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0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6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8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01"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current and future products and services may never achieve significant commercial market acceptance.</w:t>
      </w:r>
    </w:p>
    <w:p>
      <w:pPr>
        <w:spacing w:after="0" w:line="132"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0"/>
          <w:szCs w:val="10"/>
          <w:color w:val="auto"/>
        </w:rPr>
        <w:t>results and our reputation. We believe patients, health systems, clinicians, academic institutions and Biopharma companies are likely to be particularly sensitive to defects, errors, inaccuracies and delays with our products and services.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Furthermore, inadequate performance of these products or services may result in lower confidence in our Centrellis platform in general.</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and our collaborators may not succeed in achieving significant commercial market acceptance for our current or future products and services due to a number of factors, including:</w:t>
      </w:r>
    </w:p>
    <w:p>
      <w:pPr>
        <w:spacing w:after="0" w:line="123" w:lineRule="exact"/>
        <w:rPr>
          <w:sz w:val="20"/>
          <w:szCs w:val="20"/>
          <w:color w:val="auto"/>
        </w:rPr>
      </w:pPr>
    </w:p>
    <w:p>
      <w:pPr>
        <w:ind w:left="420" w:hanging="212"/>
        <w:spacing w:after="0" w:line="27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87"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96"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rate of adoption of our platforms and related products and services by academic institutions, clinicians, patients, key opinion leaders, advocacy groups and Biopharma companies; and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impact of our investments in product and services, and technological innovation and commercial growth.</w:t>
      </w:r>
    </w:p>
    <w:p>
      <w:pPr>
        <w:spacing w:after="0" w:line="13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9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8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estimated the sizes of the markets for our current and future products and services, and these markets may be smaller than we estimate.</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2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86"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01"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0" w:name="page61"/>
    <w:bookmarkEnd w:id="6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favorable exposure in peer-reviewed publications, the rate of clinician adoption of our diagnostic solutions and positive reimbursement coverage determinations for our diagnostic solutions could be negatively affected.</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0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9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9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97" w:lineRule="exact"/>
        <w:rPr>
          <w:sz w:val="20"/>
          <w:szCs w:val="20"/>
          <w:color w:val="auto"/>
        </w:rPr>
      </w:pPr>
    </w:p>
    <w:p>
      <w:pPr>
        <w:jc w:val="both"/>
        <w:ind w:firstLine="216"/>
        <w:spacing w:after="0" w:line="309" w:lineRule="auto"/>
        <w:rPr>
          <w:sz w:val="20"/>
          <w:szCs w:val="20"/>
          <w:color w:val="auto"/>
        </w:rPr>
      </w:pPr>
      <w:r>
        <w:rPr>
          <w:rFonts w:ascii="Arial" w:cs="Arial" w:eastAsia="Arial" w:hAnsi="Arial"/>
          <w:sz w:val="10"/>
          <w:szCs w:val="10"/>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products and services do not perform as expected, we may not realize the expected benefits of such products and services.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1" w:name="page62"/>
    <w:bookmarkEnd w:id="6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7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8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10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2" w:name="page63"/>
    <w:bookmarkEnd w:id="6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never become profitable.</w:t>
      </w:r>
    </w:p>
    <w:p>
      <w:pPr>
        <w:spacing w:after="0" w:line="12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Sema4 has incurred losses since Sema4 was formed and we expect to continue to generate significant operating losses for the foreseeable future. As of December 31, 2020 and September 30, 2021, we have an accumulated deficit of approximately $330.1 million and $535.0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results could be subject to significant fluctuation, which could increase the volatility of our stock and warrant prices and cause losses to our stockholders.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revenues and results of operations may fluctuate significantly, depending on a variety of factors, including the following:</w:t>
      </w:r>
    </w:p>
    <w:p>
      <w:pPr>
        <w:spacing w:after="0" w:line="123"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success in marketing and selling, and changes in demand for, our tests, and the level of reimbursement and collection obtained for such tests;</w:t>
      </w:r>
    </w:p>
    <w:p>
      <w:pPr>
        <w:spacing w:after="0" w:line="123"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success in collecting payments from third-party payors, patients and collaborative partners, variation in the timing of these payments and recognition of these payments as revenues;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pricing of our tests, including potential changes in CMS or other reimbursement rates;</w:t>
      </w:r>
    </w:p>
    <w:p>
      <w:pPr>
        <w:spacing w:after="0" w:line="123"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9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fluctuations in the amount and timing of our selling and marketing costs and our ability to manage costs and expenses and effectively implement our business;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research and development activities, including the timing of clinical trials;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ability to collect, use, and commercialize data in a changing regulatory environment at a time when the public is growing increasingly concerned about privacy.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 growth rate could decline over time, and it may experience downward pressure on our operating margins in the future.</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0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3" w:name="page64"/>
    <w:bookmarkEnd w:id="6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0"/>
          <w:szCs w:val="10"/>
          <w:color w:val="auto"/>
        </w:rPr>
        <w:t>competition and increased costs for many aspects of our business. We may also pay increased fees to our partners as well as increased acquisition costs. We may also face an increase in infrastructure costs, supporting other businesses.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Additionally, our expenditures to promote new products and services or to distribute certain products and services or increased investment in our innovation efforts across our Centrellis platform may affect our operating margins.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Due to these factors and the evolving nature of our business, our historical projected revenue growth rate and historical gross operating margins may not be indicative of our future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Sema4 has incurred net losses and negative cash flows from operations since its inception, including net losses of $241.3 million, $29.7 million and $23.9 million for the years ended December 31, 2020, 2019 and 2018, respectively, and net losses of $205.0 million and $115.7 million for the nine months ended September 30, 2021 and 2020, respectively. As of September 30, 2021, we had an accumulated deficit of $535.0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may also consider raising additional capital in the future to expand our business, to pursue strategic investments, to take advantage of financing opportunities or for other reasons, including to:</w:t>
      </w:r>
    </w:p>
    <w:p>
      <w:pPr>
        <w:spacing w:after="0" w:line="123"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 our sales and marketing efforts to drive market adoption of our current and future products and services;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fund development efforts for our current and future products and services;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expand our products and services into other disease indications and clinical applications;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acquire, license or invest in technologies;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acquire or invest in complementary businesses or assets;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finance capital expenditures and general and administrative expenses.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present and future funding requirements will depend on many factors, including:</w:t>
      </w:r>
    </w:p>
    <w:p>
      <w:pPr>
        <w:spacing w:after="0" w:line="123"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achieve revenue growth;</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rate of progress in establishing payer coverage and reimbursement arrangements with commercial third-party payors and government payers;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cost of expanding our laboratory operations and offerings, including our sales and marketing efforts;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rate of progress in, and cost of the sales and marketing activities associated with, establishing adoption of our Centrellis solution;</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rate of progress in, and cost of research and development activities associated with, products and services in research and early development;</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effect of competing technological, product and market developments;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costs related to international expansion;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potential cost of and delays in product development as a result of any regulatory oversight applicable to our products and services.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4" w:name="page65"/>
    <w:bookmarkEnd w:id="6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to make significant investments in our continued research and development of new products and services, which may not be successful.</w:t>
      </w:r>
    </w:p>
    <w:p>
      <w:pPr>
        <w:spacing w:after="0" w:line="13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97"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failure to remedy these matters could result in a material misstatement of our financial statements.</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the course of preparing Legacy Sema4’s financial statements for 2020, 2019 and 2018, we identified material weaknesses in our internal control over financial reporting which could, if not remediated, result in material misstatements in our financial statements.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97" w:lineRule="exact"/>
        <w:rPr>
          <w:sz w:val="20"/>
          <w:szCs w:val="20"/>
          <w:color w:val="auto"/>
        </w:rPr>
      </w:pPr>
    </w:p>
    <w:p>
      <w:pPr>
        <w:ind w:left="420" w:hanging="212"/>
        <w:spacing w:after="0" w:line="276"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96"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95"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accounting and operating systems lacked controls over access, and program change management that are needed to ensure access to financial data is adequately restricted to appropriate personnel.</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left="420" w:right="20" w:hanging="212"/>
        <w:spacing w:after="0" w:line="298" w:lineRule="auto"/>
        <w:tabs>
          <w:tab w:leader="none" w:pos="4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87" w:lineRule="exact"/>
        <w:rPr>
          <w:sz w:val="20"/>
          <w:szCs w:val="20"/>
          <w:color w:val="auto"/>
        </w:rPr>
      </w:pPr>
    </w:p>
    <w:p>
      <w:pPr>
        <w:jc w:val="both"/>
        <w:ind w:firstLine="216"/>
        <w:spacing w:after="0" w:line="290" w:lineRule="auto"/>
        <w:rPr>
          <w:rFonts w:ascii="Arial" w:cs="Arial" w:eastAsia="Arial" w:hAnsi="Arial"/>
          <w:sz w:val="11"/>
          <w:szCs w:val="11"/>
          <w:color w:val="auto"/>
        </w:rPr>
      </w:pPr>
      <w:r>
        <w:rPr>
          <w:rFonts w:ascii="Arial" w:cs="Arial" w:eastAsia="Arial" w:hAnsi="Arial"/>
          <w:sz w:val="11"/>
          <w:szCs w:val="11"/>
          <w:color w:val="auto"/>
        </w:rPr>
        <w:t xml:space="preserve">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w:t>
      </w:r>
      <w:hyperlink w:anchor="page28">
        <w:r>
          <w:rPr>
            <w:rFonts w:ascii="Arial" w:cs="Arial" w:eastAsia="Arial" w:hAnsi="Arial"/>
            <w:sz w:val="11"/>
            <w:szCs w:val="11"/>
            <w:color w:val="auto"/>
          </w:rPr>
          <w:t xml:space="preserve">remediate the material weaknesses or ensure that our internal controls are effective. For a discussion of our remediation plan and actions, see “Item 2. </w:t>
        </w:r>
        <w:r>
          <w:rPr>
            <w:rFonts w:ascii="Arial" w:cs="Arial" w:eastAsia="Arial" w:hAnsi="Arial"/>
            <w:sz w:val="11"/>
            <w:szCs w:val="11"/>
            <w:u w:val="single" w:color="auto"/>
            <w:color w:val="0000FF"/>
          </w:rPr>
          <w:t>Management's Discussion and Analysis of Financial Condition and Results of</w:t>
        </w:r>
      </w:hyperlink>
    </w:p>
    <w:p>
      <w:pPr>
        <w:spacing w:after="0"/>
        <w:rPr>
          <w:rFonts w:ascii="Arial" w:cs="Arial" w:eastAsia="Arial" w:hAnsi="Arial"/>
          <w:sz w:val="12"/>
          <w:szCs w:val="12"/>
          <w:color w:val="0000FF"/>
        </w:rPr>
      </w:pPr>
      <w:hyperlink w:anchor="page28">
        <w:r>
          <w:rPr>
            <w:rFonts w:ascii="Arial" w:cs="Arial" w:eastAsia="Arial" w:hAnsi="Arial"/>
            <w:sz w:val="12"/>
            <w:szCs w:val="12"/>
            <w:u w:val="single" w:color="auto"/>
            <w:color w:val="0000FF"/>
          </w:rPr>
          <w:t>Operations—Internal Controls</w:t>
        </w:r>
        <w:r>
          <w:rPr>
            <w:rFonts w:ascii="Arial" w:cs="Arial" w:eastAsia="Arial" w:hAnsi="Arial"/>
            <w:sz w:val="12"/>
            <w:szCs w:val="12"/>
            <w:color w:val="000000"/>
          </w:rPr>
          <w:t>” and “</w:t>
        </w:r>
      </w:hyperlink>
      <w:hyperlink w:anchor="page46">
        <w:r>
          <w:rPr>
            <w:rFonts w:ascii="Arial" w:cs="Arial" w:eastAsia="Arial" w:hAnsi="Arial"/>
            <w:sz w:val="12"/>
            <w:szCs w:val="12"/>
            <w:u w:val="single" w:color="auto"/>
            <w:color w:val="0000FF"/>
          </w:rPr>
          <w:t>Item 4. Controls and Procedures</w:t>
        </w:r>
      </w:hyperlink>
      <w:hyperlink w:anchor="page28">
        <w:r>
          <w:rPr>
            <w:rFonts w:ascii="Arial" w:cs="Arial" w:eastAsia="Arial" w:hAnsi="Arial"/>
            <w:sz w:val="12"/>
            <w:szCs w:val="12"/>
            <w:color w:val="000000"/>
          </w:rPr>
          <w:t>.” As of September 30, 2021, the material weaknesses have not yet been fully remediated.</w:t>
        </w:r>
      </w:hyperlink>
    </w:p>
    <w:p>
      <w:pPr>
        <w:spacing w:after="0" w:line="123" w:lineRule="exact"/>
        <w:rPr>
          <w:rFonts w:ascii="Arial" w:cs="Arial" w:eastAsia="Arial" w:hAnsi="Arial"/>
          <w:sz w:val="12"/>
          <w:szCs w:val="12"/>
          <w:color w:val="0000FF"/>
        </w:rPr>
      </w:pPr>
    </w:p>
    <w:p>
      <w:pPr>
        <w:jc w:val="both"/>
        <w:ind w:firstLine="216"/>
        <w:spacing w:after="0" w:line="259" w:lineRule="auto"/>
        <w:rPr>
          <w:sz w:val="20"/>
          <w:szCs w:val="20"/>
          <w:color w:val="auto"/>
        </w:rPr>
      </w:pPr>
      <w:r>
        <w:rPr>
          <w:rFonts w:ascii="Arial" w:cs="Arial" w:eastAsia="Arial" w:hAnsi="Arial"/>
          <w:sz w:val="12"/>
          <w:szCs w:val="12"/>
          <w:color w:val="auto"/>
        </w:rPr>
        <w:t>In addition, prior to the consummation of the Business Combination, following the issuance of the SEC Statement (as defined below), on April 12, 2021, after consultation with CMLS’s prior independent registered public accounting firm, CMLS’s management and CMLS’s audit committee concluded that, in light of the SEC Statement, it was appropriate to restate CMLS’s previously issued audited financial statements as of and for the period ended December 31, 2020, or the “Restatement.” See “—Risks Related to Our Common Stock and Warrants—Our warrants are accounted for as liabilities and the changes in value of our warrants could have a material effect on our financial results.” As part of such process, CMLS identified a material weakness in CMLS’s internal controls over financial reporting.</w:t>
      </w:r>
    </w:p>
    <w:p>
      <w:pPr>
        <w:spacing w:after="0" w:line="97" w:lineRule="exact"/>
        <w:rPr>
          <w:rFonts w:ascii="Arial" w:cs="Arial" w:eastAsia="Arial" w:hAnsi="Arial"/>
          <w:sz w:val="12"/>
          <w:szCs w:val="12"/>
          <w:color w:val="0000FF"/>
        </w:rPr>
      </w:pPr>
    </w:p>
    <w:p>
      <w:pPr>
        <w:jc w:val="both"/>
        <w:ind w:firstLine="216"/>
        <w:spacing w:after="0" w:line="289" w:lineRule="auto"/>
        <w:rPr>
          <w:sz w:val="20"/>
          <w:szCs w:val="20"/>
          <w:color w:val="auto"/>
        </w:rPr>
      </w:pPr>
      <w:r>
        <w:rPr>
          <w:rFonts w:ascii="Arial" w:cs="Arial" w:eastAsia="Arial" w:hAnsi="Arial"/>
          <w:sz w:val="11"/>
          <w:szCs w:val="11"/>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1"/>
          <w:szCs w:val="11"/>
          <w:i w:val="1"/>
          <w:iCs w:val="1"/>
          <w:color w:val="auto"/>
        </w:rPr>
        <w:t>Risk Factors—Risks Related to Being a Public Company—Our internal controls over financial reporting may not be effective and our independent registered public</w:t>
      </w:r>
      <w:r>
        <w:rPr>
          <w:rFonts w:ascii="Arial" w:cs="Arial" w:eastAsia="Arial" w:hAnsi="Arial"/>
          <w:sz w:val="11"/>
          <w:szCs w:val="11"/>
          <w:color w:val="auto"/>
        </w:rPr>
        <w:t xml:space="preserve"> </w:t>
      </w:r>
      <w:r>
        <w:rPr>
          <w:rFonts w:ascii="Arial" w:cs="Arial" w:eastAsia="Arial" w:hAnsi="Arial"/>
          <w:sz w:val="11"/>
          <w:szCs w:val="11"/>
          <w:i w:val="1"/>
          <w:iCs w:val="1"/>
          <w:color w:val="auto"/>
        </w:rPr>
        <w:t>accounting firm may not be able to certify as to their effectiveness, which could have a significant and adverse effect on our business and reputation.</w:t>
      </w:r>
      <w:r>
        <w:rPr>
          <w:rFonts w:ascii="Arial" w:cs="Arial" w:eastAsia="Arial" w:hAnsi="Arial"/>
          <w:sz w:val="11"/>
          <w:szCs w:val="11"/>
          <w:color w:val="auto"/>
        </w:rPr>
        <w:t>”</w:t>
      </w:r>
    </w:p>
    <w:p>
      <w:pPr>
        <w:spacing w:after="0" w:line="93" w:lineRule="exact"/>
        <w:rPr>
          <w:rFonts w:ascii="Arial" w:cs="Arial" w:eastAsia="Arial" w:hAnsi="Arial"/>
          <w:sz w:val="12"/>
          <w:szCs w:val="12"/>
          <w:color w:val="0000FF"/>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 forwards and certain other tax attributes may be limited.</w:t>
      </w:r>
    </w:p>
    <w:p>
      <w:pPr>
        <w:spacing w:after="0" w:line="123" w:lineRule="exact"/>
        <w:rPr>
          <w:rFonts w:ascii="Arial" w:cs="Arial" w:eastAsia="Arial" w:hAnsi="Arial"/>
          <w:sz w:val="12"/>
          <w:szCs w:val="12"/>
          <w:color w:val="0000FF"/>
        </w:rPr>
      </w:pPr>
    </w:p>
    <w:p>
      <w:pPr>
        <w:jc w:val="both"/>
        <w:ind w:firstLine="216"/>
        <w:spacing w:after="0" w:line="263" w:lineRule="auto"/>
        <w:rPr>
          <w:sz w:val="20"/>
          <w:szCs w:val="20"/>
          <w:color w:val="auto"/>
        </w:rPr>
      </w:pPr>
      <w:r>
        <w:rPr>
          <w:rFonts w:ascii="Arial" w:cs="Arial" w:eastAsia="Arial" w:hAnsi="Arial"/>
          <w:sz w:val="12"/>
          <w:szCs w:val="12"/>
          <w:color w:val="auto"/>
        </w:rPr>
        <w:t>At December 31, 2020, our total gross deferred tax assets were $61.4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and tax deductible temporary differences.</w:t>
      </w:r>
    </w:p>
    <w:p>
      <w:pPr>
        <w:spacing w:after="0" w:line="95" w:lineRule="exact"/>
        <w:rPr>
          <w:rFonts w:ascii="Arial" w:cs="Arial" w:eastAsia="Arial" w:hAnsi="Arial"/>
          <w:sz w:val="12"/>
          <w:szCs w:val="12"/>
          <w:color w:val="0000FF"/>
        </w:rPr>
      </w:pPr>
    </w:p>
    <w:p>
      <w:pPr>
        <w:jc w:val="both"/>
        <w:ind w:firstLine="216"/>
        <w:spacing w:after="0" w:line="281" w:lineRule="auto"/>
        <w:rPr>
          <w:sz w:val="20"/>
          <w:szCs w:val="20"/>
          <w:color w:val="auto"/>
        </w:rPr>
      </w:pPr>
      <w:r>
        <w:rPr>
          <w:rFonts w:ascii="Arial" w:cs="Arial" w:eastAsia="Arial" w:hAnsi="Arial"/>
          <w:sz w:val="11"/>
          <w:szCs w:val="11"/>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93" w:lineRule="exact"/>
        <w:rPr>
          <w:rFonts w:ascii="Arial" w:cs="Arial" w:eastAsia="Arial" w:hAnsi="Arial"/>
          <w:sz w:val="12"/>
          <w:szCs w:val="12"/>
          <w:color w:val="0000FF"/>
        </w:rPr>
      </w:pPr>
    </w:p>
    <w:p>
      <w:pPr>
        <w:spacing w:after="0"/>
        <w:rPr>
          <w:sz w:val="20"/>
          <w:szCs w:val="20"/>
          <w:color w:val="auto"/>
        </w:rPr>
      </w:pPr>
      <w:r>
        <w:rPr>
          <w:rFonts w:ascii="Arial" w:cs="Arial" w:eastAsia="Arial" w:hAnsi="Arial"/>
          <w:sz w:val="12"/>
          <w:szCs w:val="12"/>
          <w:b w:val="1"/>
          <w:bCs w:val="1"/>
          <w:color w:val="auto"/>
        </w:rPr>
        <w:t>Risks Related to Our Key Relationships</w:t>
      </w:r>
    </w:p>
    <w:p>
      <w:pPr>
        <w:spacing w:after="0" w:line="127" w:lineRule="exact"/>
        <w:rPr>
          <w:rFonts w:ascii="Arial" w:cs="Arial" w:eastAsia="Arial" w:hAnsi="Arial"/>
          <w:sz w:val="12"/>
          <w:szCs w:val="12"/>
          <w:color w:val="0000FF"/>
        </w:rPr>
      </w:pPr>
    </w:p>
    <w:p>
      <w:pPr>
        <w:spacing w:after="0"/>
        <w:rPr>
          <w:sz w:val="20"/>
          <w:szCs w:val="20"/>
          <w:color w:val="auto"/>
        </w:rPr>
      </w:pPr>
      <w:r>
        <w:rPr>
          <w:rFonts w:ascii="Arial" w:cs="Arial" w:eastAsia="Arial" w:hAnsi="Arial"/>
          <w:sz w:val="12"/>
          <w:szCs w:val="12"/>
          <w:b w:val="1"/>
          <w:bCs w:val="1"/>
          <w:i w:val="1"/>
          <w:iCs w:val="1"/>
          <w:color w:val="auto"/>
        </w:rPr>
        <w:t>We rely on third-party laboratories to perform certain elements of our service offerings.</w:t>
      </w:r>
    </w:p>
    <w:p>
      <w:pPr>
        <w:spacing w:after="0" w:line="294" w:lineRule="exact"/>
        <w:rPr>
          <w:rFonts w:ascii="Arial" w:cs="Arial" w:eastAsia="Arial" w:hAnsi="Arial"/>
          <w:sz w:val="12"/>
          <w:szCs w:val="12"/>
          <w:color w:val="0000FF"/>
        </w:rPr>
      </w:pPr>
    </w:p>
    <w:p>
      <w:pPr>
        <w:jc w:val="center"/>
        <w:ind w:right="-199"/>
        <w:spacing w:after="0"/>
        <w:rPr>
          <w:sz w:val="20"/>
          <w:szCs w:val="20"/>
          <w:color w:val="auto"/>
        </w:rPr>
      </w:pPr>
      <w:r>
        <w:rPr>
          <w:rFonts w:ascii="Arial" w:cs="Arial" w:eastAsia="Arial" w:hAnsi="Arial"/>
          <w:sz w:val="12"/>
          <w:szCs w:val="12"/>
          <w:color w:val="auto"/>
        </w:rPr>
        <w:t>66</w:t>
      </w:r>
    </w:p>
    <w:p>
      <w:pPr>
        <w:spacing w:after="0" w:line="20" w:lineRule="exact"/>
        <w:rPr>
          <w:rFonts w:ascii="Arial" w:cs="Arial" w:eastAsia="Arial" w:hAnsi="Arial"/>
          <w:sz w:val="12"/>
          <w:szCs w:val="12"/>
          <w:color w:val="0000FF"/>
        </w:rPr>
      </w:pPr>
      <w:r>
        <w:rPr>
          <w:rFonts w:ascii="Arial" w:cs="Arial" w:eastAsia="Arial" w:hAnsi="Arial"/>
          <w:sz w:val="12"/>
          <w:szCs w:val="12"/>
          <w:color w:val="0000FF"/>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6" w:name="page67"/>
    <w:bookmarkEnd w:id="6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1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may not have sufficient alternative backup if one or more of the third-party laboratories that we contract with are unable to satisfy their obligations to us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8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rely on Mount Sinai, which is a related party, and its clinicians for a portion of our test volumes in connection with our diagnostic solutions and for a significant portion of the de-identified clinical records in our databases. In 2020, orders from Mount Sinai clinicians accounted for 5.5% of our total test volume, down from 12.8% in 2019.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87"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6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addition, ISMMS is one of our significant stockholders. Following the expiration of the lock-up period under the ISMMS Lock-Up Agreement,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7" w:name="page68"/>
    <w:bookmarkEnd w:id="6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Legal, Regulatory and Compliance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increased compliance risks as a result of our rapid growth, including our dependence on our sales, marketing and billing efforts.</w:t>
      </w:r>
    </w:p>
    <w:p>
      <w:pPr>
        <w:spacing w:after="0" w:line="123"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use hazardous materials in a manner that causes injury, we could be liable for resulting damages.</w:t>
      </w:r>
    </w:p>
    <w:p>
      <w:pPr>
        <w:spacing w:after="0" w:line="12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97"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changes in FDA enforcement discretion for LDTs could subject our operations to much more significant regulatory requirements.</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currently offer a laboratory-develop test, or LDT, version of certain tests. The FDA has a policy of enforcement discretion with respect to, or LDTs, whereby the FDA does not actively enforce its medical device regulatory requirements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8" w:name="page69"/>
    <w:bookmarkEnd w:id="6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02"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8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diagnostic test that is designed, manufactured and used within a single properly licensed laboratory.</w:t>
      </w:r>
    </w:p>
    <w:p>
      <w:pPr>
        <w:spacing w:after="0" w:line="87"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request to down classify the device into Class II or Class I, which would not require a PMA. In the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process, the FDA must determine that general and special controls are sufficient to provide reasonable assurance of the safety and effectiveness of</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69" w:name="page70"/>
    <w:bookmarkEnd w:id="6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74"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 xml:space="preserve">The 510(k),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classification pathway usually takes from six to 12 months, but for many applicants can take up to 18 months or more.</w:t>
      </w:r>
    </w:p>
    <w:p>
      <w:pPr>
        <w:spacing w:after="0" w:line="6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FDA can delay, limit or deny clearance, authorization or approval of a device for many reasons, including:</w:t>
      </w:r>
    </w:p>
    <w:p>
      <w:pPr>
        <w:spacing w:after="0" w:line="132"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inability to demonstrate to the satisfaction of the FDA that the products are safe or effective for their intended uses;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disagreement of the FDA with the design, conduct or implementation of the clinical trials or the analysis or interpretation of data from preclinical studies, analytical studies or clinical trials;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serious and unexpected adverse device effects experienced by participants in clinical trials;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data from preclinical studies, analytical studies and clinical trials may be insufficient to support clearance, authorization or approval, where required;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inability to demonstrate that the clinical and other benefits of the device outweigh the risks;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FDA may identify deficiencies in our marketing application;</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FDA may identify deficiencies in our or our collaborators’ manufacturing processes, facilities or analytical methods;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FDA or foreign regulatory authorities may audit clinical trial data and conclude that the data is not sufficiently reliable to support a PMA.</w:t>
      </w:r>
    </w:p>
    <w:p>
      <w:pPr>
        <w:spacing w:after="0" w:line="12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9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authorization or approval of a PMA. The FDA requires every manufacturer to make this determination in the first instance, but the FDA may review any</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0" w:name="page71"/>
    <w:bookmarkEnd w:id="7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manufacturer’s decision. The FDA may not agree with our decisions regarding whether new clearances, authorizations or approvals are necessary.</w:t>
      </w:r>
    </w:p>
    <w:p>
      <w:pPr>
        <w:spacing w:after="0" w:line="13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If the FDA disagrees with our determination, which it may not review until we submit an annual report or the FDA conducts an inspection or other inquiry, and requires us to seek new clearances, authorizations or approvals for modifications to its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9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0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particular, the clinical laboratory and healthcare industry is subject to significant governmental certification and licensing regulations, as well as federal, state and foreign laws regarding:</w:t>
      </w:r>
    </w:p>
    <w:p>
      <w:pPr>
        <w:spacing w:after="0" w:line="123"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test ordering and billing practices;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marketing, sales and pricing practices;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health information privacy and security, including HIPAA and comparable state laws;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insurance;</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anti-markup legislation;</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fraud and abuse; and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consumer protection.</w:t>
      </w:r>
    </w:p>
    <w:p>
      <w:pPr>
        <w:spacing w:after="0" w:line="12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are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1" w:name="page72"/>
    <w:bookmarkEnd w:id="7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additional businesses or products and services and our expansion outside of the U.S. may increase the potential of violating these laws, regulations or our internal policies and procedures.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9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Compliance with the HIPAA security, privacy and breach notification regulations may increase our costs.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95" w:lineRule="exact"/>
        <w:rPr>
          <w:sz w:val="20"/>
          <w:szCs w:val="20"/>
          <w:color w:val="auto"/>
        </w:rPr>
      </w:pPr>
    </w:p>
    <w:p>
      <w:pPr>
        <w:ind w:left="420" w:hanging="212"/>
        <w:spacing w:after="0" w:line="276"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patient’s rights to access, amend and receive an accounting of certain disclosures of PHI;</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requirements to notify individuals if there is a breach of their PHI;</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contents of notices of privacy practices for PHI;</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administrative, technical and physical safeguards required of entities that use or receive PHI;</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deidentification of PHI; and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protection of computing systems maintaining electronic PHI.</w:t>
      </w:r>
    </w:p>
    <w:p>
      <w:pPr>
        <w:spacing w:after="0" w:line="12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9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2" w:name="page73"/>
    <w:bookmarkEnd w:id="7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activities may subject it to risks under federal and state laws prohibiting ‘kickbacks’ and false or fraudulent claims.</w:t>
      </w:r>
    </w:p>
    <w:p>
      <w:pPr>
        <w:spacing w:after="0" w:line="132"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8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8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1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6"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operations are subject to other extensive federal, state, local and foreign laws and regulations, all of which are subject to change. These laws and regulations currently include, among others:</w:t>
      </w:r>
    </w:p>
    <w:p>
      <w:pPr>
        <w:spacing w:after="0" w:line="132"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HIPAA, which establishes comprehensive federal standards with respect to the privacy and security of protected health information and requirements for the use of certain standardized electronic transactions;</w:t>
      </w:r>
    </w:p>
    <w:p>
      <w:pPr>
        <w:spacing w:after="0" w:line="134" w:lineRule="exact"/>
        <w:rPr>
          <w:rFonts w:ascii="Arial" w:cs="Arial" w:eastAsia="Arial" w:hAnsi="Arial"/>
          <w:sz w:val="11"/>
          <w:szCs w:val="11"/>
          <w:color w:val="auto"/>
        </w:rPr>
      </w:pPr>
    </w:p>
    <w:p>
      <w:pPr>
        <w:ind w:left="420" w:right="20" w:hanging="212"/>
        <w:spacing w:after="0" w:line="276"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87"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9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4" w:name="page75"/>
    <w:bookmarkEnd w:id="7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left="420" w:hanging="212"/>
        <w:spacing w:after="0" w:line="298" w:lineRule="auto"/>
        <w:tabs>
          <w:tab w:leader="none" w:pos="417"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86" w:lineRule="exact"/>
        <w:rPr>
          <w:rFonts w:ascii="Arial" w:cs="Arial" w:eastAsia="Arial" w:hAnsi="Arial"/>
          <w:sz w:val="11"/>
          <w:szCs w:val="11"/>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EKRA, which prohibits payments for referrals to recovery homes, clinical treatment facilities, and laboratories and reaches beyond federal health care programs, to include private insurance;</w:t>
      </w:r>
    </w:p>
    <w:p>
      <w:pPr>
        <w:spacing w:after="0" w:line="123"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federal false claims law, which imposes liability on any person or entity that, among other things, knowingly presents, or causes to be presented, a false or fraudulent claim for payment to the federal government;</w:t>
      </w:r>
    </w:p>
    <w:p>
      <w:pPr>
        <w:spacing w:after="0" w:line="143" w:lineRule="exact"/>
        <w:rPr>
          <w:rFonts w:ascii="Arial" w:cs="Arial" w:eastAsia="Arial" w:hAnsi="Arial"/>
          <w:sz w:val="11"/>
          <w:szCs w:val="11"/>
          <w:color w:val="auto"/>
        </w:rPr>
      </w:pPr>
    </w:p>
    <w:p>
      <w:pPr>
        <w:ind w:left="420" w:right="20" w:hanging="212"/>
        <w:spacing w:after="0" w:line="276"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87"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87"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34" w:lineRule="exact"/>
        <w:rPr>
          <w:rFonts w:ascii="Arial" w:cs="Arial" w:eastAsia="Arial" w:hAnsi="Arial"/>
          <w:sz w:val="11"/>
          <w:szCs w:val="11"/>
          <w:color w:val="auto"/>
        </w:rPr>
      </w:pPr>
    </w:p>
    <w:p>
      <w:pPr>
        <w:jc w:val="both"/>
        <w:ind w:left="420" w:hanging="212"/>
        <w:spacing w:after="0" w:line="263"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95"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state laws that limit or prohibit the provision of certain payments and other transfers of value to certain covered healthcare providers;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prohibition on reassignment of Medicare claims, which, subject to certain exceptions, precludes the reassignment of Medicare claims to any other party;</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0"/>
        </w:numPr>
        <w:rPr>
          <w:rFonts w:ascii="Arial" w:cs="Arial" w:eastAsia="Arial" w:hAnsi="Arial"/>
          <w:sz w:val="12"/>
          <w:szCs w:val="12"/>
          <w:color w:val="auto"/>
        </w:rPr>
      </w:pPr>
      <w:r>
        <w:rPr>
          <w:rFonts w:ascii="Arial" w:cs="Arial" w:eastAsia="Arial" w:hAnsi="Arial"/>
          <w:sz w:val="12"/>
          <w:szCs w:val="12"/>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similar foreign laws and regulations that may apply to it in the countries in which we operate or may operate in the future; and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laws that relate to maintaining accurate information and control over activities that may fall within the purview of the U.S. Foreign Corrupt Practices Act, its books and records provisions, or anti-bribery provisions.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it successfully defends against it, could cause it to incur significant legal expenses and divert our management’s attention from the operation of our business. If our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uncertainty related to healthcare reform, pricing, coverage and reimbursement, which could reduce our revenue.</w:t>
      </w:r>
    </w:p>
    <w:p>
      <w:pPr>
        <w:spacing w:after="0" w:line="123"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Healthcare reform laws, including the Patient Protection and Affordable Care Act,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89"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it. Any such action could have a negative impact on our revenues.</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Coverage of our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97"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and professional liability suits against us could result in expensive and time-consuming litigation, payment of substantial damages and increases in our insurance rates.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Errors, defects, or mistakes in our products or services, and operations could harm our reputation, decrease market acceptance of our products or services.</w:t>
      </w:r>
    </w:p>
    <w:p>
      <w:pPr>
        <w:spacing w:after="0" w:line="12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86"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it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7" w:name="page78"/>
    <w:bookmarkEnd w:id="7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warranty and liability claims for damages related to errors or defects in our products or services. Any of these developments could harm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increasingly complex taxation rules and practices, which may affect how it conducts our business and our results of operations.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it conducts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 and Trade Secrets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inability to effectively protect our proprietary products, processes, and technologies, including the confidentiality of our trade secrets, could harm our competitive position.</w:t>
      </w:r>
    </w:p>
    <w:p>
      <w:pPr>
        <w:spacing w:after="0" w:line="12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to is by our methods and databases relative to our competitors. If we do not protect our intellectual property adequately, competitors may be able to use our methods and databases and thereby erode any competitive advantages we may have.</w:t>
      </w:r>
    </w:p>
    <w:p>
      <w:pPr>
        <w:spacing w:after="0" w:line="84"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it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it to obtain certain rights to practice related technologies, which may not be available on favorable terms, if at all. If we initiate lawsuits to protect or enforce our patents, or litigate against third-party claims, which would be expensive, and we lose, it may lose some of our intellectual property rights. Furthermore, these lawsuits may divert the attention of our management and technical personnel.</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8" w:name="page79"/>
    <w:bookmarkEnd w:id="7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inability to effectively protect our proprietary technologies under certain jurisdictions and legal regimes could harm our competitive position.</w:t>
      </w:r>
    </w:p>
    <w:p>
      <w:pPr>
        <w:spacing w:after="0" w:line="132"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Any of these factors could adversely affect our ability to obtain commercially relevant or competitively advantageous patent protection for our products.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patent regulations or standards are modified, such changes could have a negative impact on our business.</w:t>
      </w:r>
    </w:p>
    <w:p>
      <w:pPr>
        <w:spacing w:after="0" w:line="13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There have been several cases involving “gene patents” and diagnostic claims that have been considered by the U.S. Supreme Court. In March 2012, the Supreme Court </w:t>
      </w:r>
      <w:r>
        <w:rPr>
          <w:rFonts w:ascii="Arial" w:cs="Arial" w:eastAsia="Arial" w:hAnsi="Arial"/>
          <w:sz w:val="12"/>
          <w:szCs w:val="12"/>
          <w:i w:val="1"/>
          <w:iCs w:val="1"/>
          <w:color w:val="auto"/>
        </w:rPr>
        <w:t>in Mayo Collaborative Services v. Prometheus Laboratories,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Inc, </w:t>
      </w:r>
      <w:r>
        <w:rPr>
          <w:rFonts w:ascii="Arial" w:cs="Arial" w:eastAsia="Arial" w:hAnsi="Arial"/>
          <w:sz w:val="12"/>
          <w:szCs w:val="12"/>
          <w:color w:val="auto"/>
        </w:rPr>
        <w:t>found a patented diagnostic method claim unpatentable because the relationship between a metabolite concentration and optimized dosage was a patent-ineligible “law of nature.” In June 2013, the Supreme Court ruled in</w:t>
      </w:r>
      <w:r>
        <w:rPr>
          <w:rFonts w:ascii="Arial" w:cs="Arial" w:eastAsia="Arial" w:hAnsi="Arial"/>
          <w:sz w:val="12"/>
          <w:szCs w:val="12"/>
          <w:i w:val="1"/>
          <w:iCs w:val="1"/>
          <w:color w:val="auto"/>
        </w:rPr>
        <w:t xml:space="preserve"> ACLU v. Myriad Genetics, Inc, </w:t>
      </w:r>
      <w:r>
        <w:rPr>
          <w:rFonts w:ascii="Arial" w:cs="Arial" w:eastAsia="Arial" w:hAnsi="Arial"/>
          <w:sz w:val="12"/>
          <w:szCs w:val="12"/>
          <w:color w:val="auto"/>
        </w:rPr>
        <w:t>that an isolated genomic DNA sequence is not patent eligible while cDNA is eligible. The</w:t>
      </w:r>
      <w:r>
        <w:rPr>
          <w:rFonts w:ascii="Arial" w:cs="Arial" w:eastAsia="Arial" w:hAnsi="Arial"/>
          <w:sz w:val="12"/>
          <w:szCs w:val="12"/>
          <w:i w:val="1"/>
          <w:iCs w:val="1"/>
          <w:color w:val="auto"/>
        </w:rPr>
        <w:t xml:space="preserve"> Prometheus and Myriad </w:t>
      </w:r>
      <w:r>
        <w:rPr>
          <w:rFonts w:ascii="Arial" w:cs="Arial" w:eastAsia="Arial" w:hAnsi="Arial"/>
          <w:sz w:val="12"/>
          <w:szCs w:val="12"/>
          <w:color w:val="auto"/>
        </w:rPr>
        <w:t>decisions, as well as subsequent case law, affect the legal concept of subject matter eligibility by</w:t>
      </w:r>
      <w:r>
        <w:rPr>
          <w:rFonts w:ascii="Arial" w:cs="Arial" w:eastAsia="Arial" w:hAnsi="Arial"/>
          <w:sz w:val="12"/>
          <w:szCs w:val="12"/>
          <w:i w:val="1"/>
          <w:iCs w:val="1"/>
          <w:color w:val="auto"/>
        </w:rPr>
        <w:t xml:space="preserve"> </w:t>
      </w:r>
      <w:r>
        <w:rPr>
          <w:rFonts w:ascii="Arial" w:cs="Arial" w:eastAsia="Arial" w:hAnsi="Arial"/>
          <w:sz w:val="12"/>
          <w:szCs w:val="12"/>
          <w:color w:val="auto"/>
        </w:rPr>
        <w:t>seemingly narrowing the scope of the statute defining patentable inventions.</w:t>
      </w:r>
    </w:p>
    <w:p>
      <w:pPr>
        <w:spacing w:after="0" w:line="97"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1"/>
          <w:szCs w:val="11"/>
          <w:i w:val="1"/>
          <w:iCs w:val="1"/>
          <w:color w:val="auto"/>
        </w:rPr>
        <w:t>Mayo,</w:t>
      </w:r>
      <w:r>
        <w:rPr>
          <w:rFonts w:ascii="Arial" w:cs="Arial" w:eastAsia="Arial" w:hAnsi="Arial"/>
          <w:sz w:val="11"/>
          <w:szCs w:val="11"/>
          <w:color w:val="auto"/>
        </w:rPr>
        <w:t xml:space="preserve"> </w:t>
      </w:r>
      <w:r>
        <w:rPr>
          <w:rFonts w:ascii="Arial" w:cs="Arial" w:eastAsia="Arial" w:hAnsi="Arial"/>
          <w:sz w:val="11"/>
          <w:szCs w:val="11"/>
          <w:i w:val="1"/>
          <w:iCs w:val="1"/>
          <w:color w:val="auto"/>
        </w:rPr>
        <w:t>Association for Molecular Pathology v. Myriad Genetics, Inc.</w:t>
      </w:r>
      <w:r>
        <w:rPr>
          <w:rFonts w:ascii="Arial" w:cs="Arial" w:eastAsia="Arial" w:hAnsi="Arial"/>
          <w:sz w:val="11"/>
          <w:szCs w:val="11"/>
          <w:color w:val="auto"/>
        </w:rPr>
        <w:t>, and</w:t>
      </w:r>
      <w:r>
        <w:rPr>
          <w:rFonts w:ascii="Arial" w:cs="Arial" w:eastAsia="Arial" w:hAnsi="Arial"/>
          <w:sz w:val="11"/>
          <w:szCs w:val="11"/>
          <w:i w:val="1"/>
          <w:iCs w:val="1"/>
          <w:color w:val="auto"/>
        </w:rPr>
        <w:t xml:space="preserve"> Alice Corporation Pty. Ltd. v. CLS Bank International</w:t>
      </w:r>
      <w:r>
        <w:rPr>
          <w:rFonts w:ascii="Arial" w:cs="Arial" w:eastAsia="Arial" w:hAnsi="Arial"/>
          <w:sz w:val="11"/>
          <w:szCs w:val="11"/>
          <w:color w:val="auto"/>
        </w:rPr>
        <w:t>, and others. The guidance indicates that claims directed to a law of nature, a natural phenomenon, or an abstract</w:t>
      </w:r>
      <w:r>
        <w:rPr>
          <w:rFonts w:ascii="Arial" w:cs="Arial" w:eastAsia="Arial" w:hAnsi="Arial"/>
          <w:sz w:val="11"/>
          <w:szCs w:val="11"/>
          <w:i w:val="1"/>
          <w:iCs w:val="1"/>
          <w:color w:val="auto"/>
        </w:rPr>
        <w:t xml:space="preserve"> </w:t>
      </w:r>
      <w:r>
        <w:rPr>
          <w:rFonts w:ascii="Arial" w:cs="Arial" w:eastAsia="Arial" w:hAnsi="Arial"/>
          <w:sz w:val="11"/>
          <w:szCs w:val="11"/>
          <w:color w:val="auto"/>
        </w:rPr>
        <w:t>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9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9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are not able to adequately protect our trade secrets and other proprietary information, including the databases it manages and to which it has access, the value of our technology and products could be significantly diminished.</w:t>
      </w:r>
    </w:p>
    <w:p>
      <w:pPr>
        <w:spacing w:after="0" w:line="8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79" w:name="page80"/>
    <w:bookmarkEnd w:id="7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whether accidentally or through willful misconduct, could have a material adverse effect on our programs and our strategy, and on our ability to compete effectively.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it may not be able to build name recognition in our markets of interest, and our business may be adversely affected.</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97"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it may not be able to compete effectively, and our business may be adversely affected.</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88"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97" w:lineRule="exact"/>
        <w:rPr>
          <w:sz w:val="20"/>
          <w:szCs w:val="20"/>
          <w:color w:val="auto"/>
        </w:rPr>
      </w:pPr>
    </w:p>
    <w:p>
      <w:pPr>
        <w:jc w:val="both"/>
        <w:ind w:firstLine="216"/>
        <w:spacing w:after="0" w:line="311" w:lineRule="auto"/>
        <w:rPr>
          <w:sz w:val="20"/>
          <w:szCs w:val="20"/>
          <w:color w:val="auto"/>
        </w:rPr>
      </w:pPr>
      <w:r>
        <w:rPr>
          <w:rFonts w:ascii="Arial" w:cs="Arial" w:eastAsia="Arial" w:hAnsi="Arial"/>
          <w:sz w:val="10"/>
          <w:szCs w:val="10"/>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86"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it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0" w:name="page81"/>
    <w:bookmarkEnd w:id="8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use of open-source software could subject it to possible litigation or cause us to subject our platform to unwanted open-source license conditions that could negatively impact our sales.</w:t>
      </w:r>
    </w:p>
    <w:p>
      <w:pPr>
        <w:spacing w:after="0" w:line="12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A limited but meaningful portion of our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4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8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Cybersecurity, Privacy and Information Technology</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88"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w:t>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1" w:name="page82"/>
    <w:bookmarkEnd w:id="8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problems experienced by facility operators. Some of our systems are not fully redundant, and disaster recovery planning cannot account for all eventualities.</w:t>
      </w:r>
    </w:p>
    <w:p>
      <w:pPr>
        <w:spacing w:after="0" w:line="13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1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secure processing, storage, maintenance and transmission of this critical information are vital to our operations and business strategy, and it devotes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8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Further, our some of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01"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2" w:name="page83"/>
    <w:bookmarkEnd w:id="8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97"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8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9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it does business. Failure to comply with privacy and data security</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3" w:name="page84"/>
    <w:bookmarkEnd w:id="8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requirements could result in a variety of consequences, or damage to our reputation, any of which could have a material adverse effect on our business.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9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88"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9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7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our scientific computing and information technology and management systems and any failure of these systems could harm our business.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9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8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4" w:name="page85"/>
    <w:bookmarkEnd w:id="8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Being a Public Company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23"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As a public company, we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market for our securities may not continue, which would adversely affect the liquidity and price of our securities.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price of our securities may fluctuate significantly due to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recently completed Business Combination’s benefits do not meet the expectations of investors, stockholders or financial analysts, the market price of our securities may decline.</w:t>
      </w:r>
    </w:p>
    <w:p>
      <w:pPr>
        <w:spacing w:after="0" w:line="13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If the benefits of the recently completed Business Combination do not meet the expectations of investors or securities analysts, the market price of our securities may decline. In addition, fluctuations in the price of our securities could contribute to the loss of all or part of your investment.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Factors affecting the trading price of our securities may include:</w:t>
      </w:r>
    </w:p>
    <w:p>
      <w:pPr>
        <w:spacing w:after="0" w:line="123"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actual or anticipated fluctuations in our quarterly financial results or the quarterly financial results of companies perceived to be similar to us;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changes in the market’s expectations about our operating results;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public’s reaction to our press releases, our other public announcements and our filings with the SEC;</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speculation in the press or investment community;</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5" w:name="page86"/>
    <w:bookmarkEnd w:id="8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announcements of technological innovation, new products, acquisitions, strategic alliances, significant agreements by us or competitors;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success of competitors;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operating results falling below our financial guidance or other projections or failing to meet the expectation of securities analysts or investors in a particular period;</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financial estimates and recommendations by securities analysts concerning us or the market in general;</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operating and stock price performance of other companies that investors deem comparable to us;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ability to market new and enhanced products on a timely basis;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laws and regulations affecting our business;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commencement of, or involvement in, litigation involving us;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our capital structure, such as future issuances of securities or the incurrence of additional debt;</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volume of shares of our common stock available for public sale;</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major change in our Board or management;</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sales of substantial amounts of common stock by our directors, officers or significant stockholders or the perception that such sales could occur;</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expiration of the market stand-off or contractual lock-up agreements;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realization of any of the risk factors described herein;</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failure to comply with the requirements of Nasdaq;</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failure to comply with SOX or other laws or regulations;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actual, potential or perceived control, accounting or reporting problems;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accounting principles, policies and guidelines;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general economic and political conditions such as recessions, interest rates, fuel prices, international currency fluctuations and acts of war or terrorism.</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9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9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or cease publishing research or reports about us, our business, or our market, or if they change their recommendations regarding our common stock adversely, then the price and trading volume of our common could decline.</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trading market for our common stock is influenced by the research and reports that industry or securities analysts may publish about us, our business, our market, or our competitors. Securities and industry analysts do not currently, and</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6" w:name="page87"/>
    <w:bookmarkEnd w:id="8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may never, publish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could cause our stock price or trading volume to decline.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laws, regulations or rules, or a failure to comply with any laws, regulations or rules, may adversely affect our business, investments and results of operations.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Anti-takeover provisions contained in our Amended and Restated Certificate of Incorporation and Bylaws, as well as provisions of Delaware law, could impair a takeover attempt.</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Amended and Restated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95" w:lineRule="exact"/>
        <w:rPr>
          <w:sz w:val="20"/>
          <w:szCs w:val="20"/>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 cumulative voting in the election of directors, which limits the ability of minority stockholders to elect director candidates;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classified board of directors with three-year staggered terms, which could delay the ability of stockholders to change the membership of a majority of the Board;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requirement that directors may only be removed from the Board for cause;</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our stockholders;</w:t>
      </w:r>
    </w:p>
    <w:p>
      <w:pPr>
        <w:spacing w:after="0" w:line="132"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requirement that changes or amendments to certain provisions of our Amended and Restated Certificate of Incorporation must be approved by holders of at least two-thirds of our common stock; and</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3"/>
        </w:numPr>
        <w:rPr>
          <w:rFonts w:ascii="Arial" w:cs="Arial" w:eastAsia="Arial" w:hAnsi="Arial"/>
          <w:sz w:val="12"/>
          <w:szCs w:val="12"/>
          <w:color w:val="auto"/>
        </w:rPr>
      </w:pPr>
      <w:r>
        <w:rPr>
          <w:rFonts w:ascii="Arial" w:cs="Arial" w:eastAsia="Arial" w:hAnsi="Arial"/>
          <w:sz w:val="12"/>
          <w:szCs w:val="12"/>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4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7" w:name="page88"/>
    <w:bookmarkEnd w:id="8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over financial reporting under Section 404 of SOX;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93"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86"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7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9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8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As a public company following the Business Combination,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0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Amended and Restated Certificate of Incorporation designates the Court of Chancery of the State of Delaware and federal court within the State of Delaware as the exclusive forum for certain types of actions and proceedings that the</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8" w:name="page89"/>
    <w:bookmarkEnd w:id="8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stockholders may initiate, which could limit a stockholder’s ability to obtain a favorable judicial forum for disputes with us or our directors, officers or employees.</w:t>
      </w:r>
    </w:p>
    <w:p>
      <w:pPr>
        <w:spacing w:after="0" w:line="132"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The Amended and Restated Certificate of Incorporation designates the Court of Chancery of the State of Delaware and federal court within the State of Delaware as the exclusive forum for certain types of actions and proceedings that the our stockholders may initiate, which could limit a stockholder’s ability to obtain a favorable judicial forum for disputes with us or our directors, officers or employees.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Amended and Restated Certificate of Incorporation provides that, subject to limited exceptions, the Court of Chancery of the State of Delaware and federal court within the State of Delaware will be exclusive forums for any:</w:t>
      </w:r>
    </w:p>
    <w:p>
      <w:pPr>
        <w:spacing w:after="0" w:line="135"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derivative action or proceeding brought on our behalf;</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action asserting a claim of breach of a fiduciary duty owed by, or other wrongdoing by, any of our directors, officers, stockholders, employees or agents to us or our stockholders;</w:t>
      </w:r>
    </w:p>
    <w:p>
      <w:pPr>
        <w:spacing w:after="0" w:line="123"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34"/>
        </w:numPr>
        <w:rPr>
          <w:rFonts w:ascii="Arial" w:cs="Arial" w:eastAsia="Arial" w:hAnsi="Arial"/>
          <w:sz w:val="12"/>
          <w:szCs w:val="12"/>
          <w:color w:val="auto"/>
        </w:rPr>
      </w:pPr>
      <w:r>
        <w:rPr>
          <w:rFonts w:ascii="Arial" w:cs="Arial" w:eastAsia="Arial" w:hAnsi="Arial"/>
          <w:sz w:val="12"/>
          <w:szCs w:val="12"/>
          <w:color w:val="auto"/>
        </w:rPr>
        <w:t>action asserting a claim against the us or any of our directors, officers, stockholders, employees or agents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action to interpret, apply, enforce or determine the validity of the Amended and Restated Certificate of Incorporation or the Bylaws; or</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other action asserting a claim against us or any of our directors, officers, stockholders, employees or agents that is governed by the internal affairs doctrine.</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the Bylaws and the choice of forum provision in the Amended and Restated Certificate of Incorporation.</w:t>
      </w:r>
    </w:p>
    <w:p>
      <w:pPr>
        <w:spacing w:after="0" w:line="9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it may incur additional costs associated with resolving such action in other jurisdictions, which could harm our business, results of operations and financial condition.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stockholders will not be deemed to have waived our compliance with the federal securities laws and the regulations promulgated thereunder.</w:t>
      </w:r>
    </w:p>
    <w:p>
      <w:pPr>
        <w:spacing w:after="0" w:line="123"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Any person or entity purchasing or otherwise acquiring or holding any interest in any of our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 and Warrants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9" w:name="page90"/>
    <w:bookmarkEnd w:id="8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redeem unexpired public warrants prior to their exercise at a time that is disadvantageous to warrant holders, thereby making their public warrants worthless.</w:t>
      </w:r>
    </w:p>
    <w:p>
      <w:pPr>
        <w:spacing w:after="0" w:line="12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“Sponsor,” or its permitted transferees.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3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September 30,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9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warrants are accounted for as liabilities and the changes in value of our warrants could have a material effect on our financial results.</w:t>
      </w:r>
    </w:p>
    <w:p>
      <w:pPr>
        <w:spacing w:after="0" w:line="13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or SPACs, entitled “Staff Statement on Accounting and Reporting Considerations for Warrants Issued by Special Purpose Acquisition Companies, or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outstanding at such time, and determined to classify the warrants as derivative liabilities measured at fair value, with changes in fair value each period reported in earnings.</w:t>
      </w:r>
    </w:p>
    <w:p>
      <w:pPr>
        <w:spacing w:after="0" w:line="10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As a result, included on CMLS’s balance sheet as of December 31, 2020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and warrants may be volatile.</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90" w:name="page91"/>
    <w:bookmarkEnd w:id="9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price of our common stock and warrants may fluctuate due to a variety of factors, including:</w:t>
      </w:r>
    </w:p>
    <w:p>
      <w:pPr>
        <w:spacing w:after="0" w:line="132" w:lineRule="exact"/>
        <w:rPr>
          <w:sz w:val="20"/>
          <w:szCs w:val="20"/>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changes in the industries in which we and our customers operate;</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variations in our operating performance and the performance of our competitors in general;</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material and adverse impact of the COVID-19 pandemic on the markets and the broader global economy;</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actual or anticipated fluctuations in our quarterly or annual operating results;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public’s reaction to our press releases, our other public announcements and our filings with the SEC;</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failure or the failure of our competitors to meet analysts’ projections or guidance that we or our competitors may give to the market;</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additions and departures of key personnel;</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changes in laws and regulations affecting our business;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commencement of, or involvement in, litigation involving us;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changes in our capital structure, such as future issuances of securities or the incurrence of additional debt;</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publication of research reports by securities analysts about us or our competitors or our industry;</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sales of shares of our common stock by certain investors, or the PIPE Investors, in the $350.0 million private placement we consummated in connection with the Business Combination, or the PIPE Investment;</w:t>
      </w:r>
    </w:p>
    <w:p>
      <w:pPr>
        <w:spacing w:after="0" w:line="134" w:lineRule="exact"/>
        <w:rPr>
          <w:rFonts w:ascii="Arial" w:cs="Arial" w:eastAsia="Arial" w:hAnsi="Arial"/>
          <w:sz w:val="11"/>
          <w:szCs w:val="11"/>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volume of shares of our common stock available for public sale;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general economic and political conditions such as recessions, interest rates, social, political and economic risks and acts of war or terrorism.</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These market and industry factors may materially reduce the market price of our common stock and warrants regardless of our operating performance.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portion of our total outstanding shares are restricted from immediate resale but may be sold into the market in the near future. This could cause the market price of our common stock to drop significantly, even if our business is doing well.</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Immediately after the closing of the Business Combination: (i) holders of Legacy Sema4 common stock owned approximately 64.89% of our total outstanding common stock, (ii) holders of public shares owned 18.43% of our total outstanding common stock, (iii) the Sponsor and certain of CMLS’s other initial stockholders owned 4.61% of our total outstanding common stock and (iv) the PIPE Investors owned approximately 12.07% of our total outstanding shares of common stock.</w:t>
      </w:r>
    </w:p>
    <w:p>
      <w:pPr>
        <w:spacing w:after="0" w:line="9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Although the Sponsor and certain of our stockholders are subject to certain lock-up restrictions regarding the transfer of our common stock, these shares may be sold after the expiration or early termination of the respective applicable lock-ups. As restrictions on resale end, the market price of our common stock could decline if the holders of currently restricted shares sell them or are perceived by the market as intending to sell them.</w:t>
      </w:r>
    </w:p>
    <w:p>
      <w:pPr>
        <w:spacing w:after="0" w:line="7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Even though we consummated the Business Combination, there is no guarantee that the public warrants will ever be in the money, and they may expire worthless and the terms of our public warrants may be amended.</w:t>
      </w:r>
    </w:p>
    <w:p>
      <w:pPr>
        <w:spacing w:after="0" w:line="14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91" w:name="page92"/>
    <w:bookmarkEnd w:id="91"/>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information required by this Item 2 related to the PIPE Investment is contained in the Current Report on Form 8-K, filed with SEC on July 28, 2021, as amended.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Issuer Purchases of Equity Securitie</w:t>
      </w:r>
      <w:r>
        <w:rPr>
          <w:rFonts w:ascii="Arial" w:cs="Arial" w:eastAsia="Arial" w:hAnsi="Arial"/>
          <w:sz w:val="12"/>
          <w:szCs w:val="12"/>
          <w:color w:val="auto"/>
        </w:rPr>
        <w:t>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4. Mine Safety Disclosures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 Other Information</w:t>
      </w:r>
    </w:p>
    <w:p>
      <w:pPr>
        <w:spacing w:after="0" w:line="172"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On November 15, 2021 (the “Effective Date”), the Company entered into the SVB Agreement with SVB and Sema4 OpCo (and together with the Company, the “Borrower”). The SVB Agreement provides for a Revolver up to an aggregate principal amount of $125.0 million, including a sublimit of $20.0 million (minus any Cash Management Services)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42"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obligations under the SVB Agreement are secured by a first priority perfected security interest in substantially all of the Company’s assets except for (i) Governmental Collection Accounts (as defined in the SVB Agreement),</w:t>
      </w:r>
    </w:p>
    <w:p>
      <w:pPr>
        <w:spacing w:after="0" w:line="26" w:lineRule="exact"/>
        <w:rPr>
          <w:sz w:val="20"/>
          <w:szCs w:val="20"/>
          <w:color w:val="auto"/>
        </w:rPr>
      </w:pPr>
    </w:p>
    <w:p>
      <w:pPr>
        <w:ind w:left="8" w:right="20" w:hanging="8"/>
        <w:spacing w:after="0" w:line="260" w:lineRule="auto"/>
        <w:tabs>
          <w:tab w:leader="none" w:pos="185" w:val="left"/>
        </w:tabs>
        <w:numPr>
          <w:ilvl w:val="0"/>
          <w:numId w:val="36"/>
        </w:numPr>
        <w:rPr>
          <w:rFonts w:ascii="Arial" w:cs="Arial" w:eastAsia="Arial" w:hAnsi="Arial"/>
          <w:sz w:val="12"/>
          <w:szCs w:val="12"/>
          <w:color w:val="auto"/>
        </w:rPr>
      </w:pPr>
      <w:r>
        <w:rPr>
          <w:rFonts w:ascii="Arial" w:cs="Arial" w:eastAsia="Arial" w:hAnsi="Arial"/>
          <w:sz w:val="12"/>
          <w:szCs w:val="12"/>
          <w:color w:val="auto"/>
        </w:rPr>
        <w:t>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42"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The SVB Agreement contains customary representations and warranties and customary affirmative and negative covenants, including, among other things, restrictions on indebtedness, liens, investments, mergers, dispositions, and dividends and other distributions.</w:t>
      </w:r>
    </w:p>
    <w:p>
      <w:pPr>
        <w:spacing w:after="0" w:line="133" w:lineRule="exact"/>
        <w:rPr>
          <w:sz w:val="20"/>
          <w:szCs w:val="20"/>
          <w:color w:val="auto"/>
        </w:rPr>
      </w:pPr>
    </w:p>
    <w:p>
      <w:pPr>
        <w:jc w:val="both"/>
        <w:ind w:left="8" w:firstLine="216"/>
        <w:spacing w:after="0" w:line="298" w:lineRule="auto"/>
        <w:rPr>
          <w:sz w:val="20"/>
          <w:szCs w:val="20"/>
          <w:color w:val="auto"/>
        </w:rPr>
      </w:pPr>
      <w:r>
        <w:rPr>
          <w:rFonts w:ascii="Arial" w:cs="Arial" w:eastAsia="Arial" w:hAnsi="Arial"/>
          <w:sz w:val="11"/>
          <w:szCs w:val="11"/>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23"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Nasdaq,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w:t>
      </w:r>
    </w:p>
    <w:p>
      <w:pPr>
        <w:spacing w:after="0" w:line="142"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foregoing description of the SVB Agreement is not intended to be complete and is qualified in its entirety by reference to the SVB Agreement, a copy of which is filed as Exhibit 10.26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0"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rFonts w:ascii="Arial" w:cs="Arial" w:eastAsia="Arial" w:hAnsi="Arial"/>
                <w:sz w:val="12"/>
                <w:szCs w:val="12"/>
                <w:color w:val="0000FF"/>
                <w:w w:val="86"/>
              </w:rPr>
            </w:pPr>
            <w:hyperlink w:anchor="page1">
              <w:r>
                <w:rPr>
                  <w:rFonts w:ascii="Arial" w:cs="Arial" w:eastAsia="Arial" w:hAnsi="Arial"/>
                  <w:sz w:val="12"/>
                  <w:szCs w:val="12"/>
                  <w:color w:val="0000FF"/>
                  <w:w w:val="86"/>
                </w:rPr>
                <w:t>Table of Contents</w:t>
              </w:r>
            </w:hyperlink>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655"/>
        </w:trPr>
        <w:tc>
          <w:tcPr>
            <w:tcW w:w="840" w:type="dxa"/>
            <w:vAlign w:val="bottom"/>
          </w:tcPr>
          <w:p>
            <w:pPr>
              <w:spacing w:after="0"/>
              <w:rPr>
                <w:sz w:val="20"/>
                <w:szCs w:val="20"/>
                <w:color w:val="auto"/>
              </w:rPr>
            </w:pPr>
            <w:r>
              <w:rPr>
                <w:rFonts w:ascii="Arial" w:cs="Arial" w:eastAsia="Arial" w:hAnsi="Arial"/>
                <w:sz w:val="12"/>
                <w:szCs w:val="12"/>
                <w:b w:val="1"/>
                <w:bCs w:val="1"/>
                <w:color w:val="auto"/>
                <w:w w:val="93"/>
              </w:rPr>
              <w:t>Item 6. Exhibits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6620" w:type="dxa"/>
            <w:vAlign w:val="bottom"/>
            <w:gridSpan w:val="23"/>
          </w:tcPr>
          <w:p>
            <w:pPr>
              <w:spacing w:after="0"/>
              <w:rPr>
                <w:sz w:val="20"/>
                <w:szCs w:val="20"/>
                <w:color w:val="auto"/>
              </w:rPr>
            </w:pPr>
            <w:r>
              <w:rPr>
                <w:rFonts w:ascii="Arial" w:cs="Arial" w:eastAsia="Arial" w:hAnsi="Arial"/>
                <w:sz w:val="12"/>
                <w:szCs w:val="12"/>
                <w:color w:val="auto"/>
              </w:rPr>
              <w:t>The following exhibits are filed as part of, or incorporated by reference into, this Quarterly Report.</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6620" w:type="dxa"/>
            <w:vAlign w:val="bottom"/>
            <w:gridSpan w:val="23"/>
          </w:tcPr>
          <w:p>
            <w:pPr>
              <w:spacing w:after="0"/>
              <w:rPr>
                <w:sz w:val="20"/>
                <w:szCs w:val="20"/>
                <w:color w:val="auto"/>
              </w:rPr>
            </w:pPr>
            <w:r>
              <w:rPr>
                <w:rFonts w:ascii="Arial" w:cs="Arial" w:eastAsia="Arial" w:hAnsi="Arial"/>
                <w:sz w:val="12"/>
                <w:szCs w:val="12"/>
                <w:b w:val="1"/>
                <w:bCs w:val="1"/>
                <w:color w:val="auto"/>
              </w:rPr>
              <w:t>Incorporated by Reference</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8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b w:val="1"/>
                <w:bCs w:val="1"/>
                <w:color w:val="auto"/>
              </w:rPr>
              <w:t>No.</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260" w:type="dxa"/>
            <w:vAlign w:val="bottom"/>
            <w:tcBorders>
              <w:top w:val="single" w:sz="8" w:color="auto"/>
              <w:bottom w:val="single" w:sz="8" w:color="auto"/>
            </w:tcBorders>
            <w:gridSpan w:val="19"/>
          </w:tcPr>
          <w:p>
            <w:pPr>
              <w:spacing w:after="0"/>
              <w:rPr>
                <w:sz w:val="20"/>
                <w:szCs w:val="20"/>
                <w:color w:val="auto"/>
              </w:rPr>
            </w:pPr>
            <w:r>
              <w:rPr>
                <w:rFonts w:ascii="Arial" w:cs="Arial" w:eastAsia="Arial" w:hAnsi="Arial"/>
                <w:sz w:val="12"/>
                <w:szCs w:val="12"/>
                <w:b w:val="1"/>
                <w:bCs w:val="1"/>
                <w:color w:val="auto"/>
              </w:rPr>
              <w:t>Description of Exhibit</w:t>
            </w:r>
          </w:p>
        </w:tc>
        <w:tc>
          <w:tcPr>
            <w:tcW w:w="140" w:type="dxa"/>
            <w:vAlign w:val="bottom"/>
            <w:tcBorders>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Form</w:t>
            </w:r>
          </w:p>
        </w:tc>
        <w:tc>
          <w:tcPr>
            <w:tcW w:w="14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4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b w:val="1"/>
                <w:bCs w:val="1"/>
                <w:color w:val="auto"/>
              </w:rPr>
              <w:t>Filing Date</w:t>
            </w:r>
          </w:p>
        </w:tc>
        <w:tc>
          <w:tcPr>
            <w:tcW w:w="40" w:type="dxa"/>
            <w:vAlign w:val="bottom"/>
          </w:tcPr>
          <w:p>
            <w:pPr>
              <w:spacing w:after="0"/>
              <w:rPr>
                <w:sz w:val="13"/>
                <w:szCs w:val="13"/>
                <w:color w:val="auto"/>
              </w:rPr>
            </w:pPr>
          </w:p>
        </w:tc>
      </w:tr>
      <w:tr>
        <w:trPr>
          <w:trHeight w:val="118"/>
        </w:trPr>
        <w:tc>
          <w:tcPr>
            <w:tcW w:w="840" w:type="dxa"/>
            <w:vAlign w:val="bottom"/>
            <w:shd w:val="clear" w:color="auto" w:fill="CCEEFF"/>
          </w:tcPr>
          <w:p>
            <w:pPr>
              <w:jc w:val="center"/>
              <w:ind w:left="160"/>
              <w:spacing w:after="0" w:line="118" w:lineRule="exact"/>
              <w:rPr>
                <w:sz w:val="20"/>
                <w:szCs w:val="20"/>
                <w:color w:val="auto"/>
              </w:rPr>
            </w:pPr>
            <w:r>
              <w:rPr>
                <w:rFonts w:ascii="Arial" w:cs="Arial" w:eastAsia="Arial" w:hAnsi="Arial"/>
                <w:sz w:val="12"/>
                <w:szCs w:val="12"/>
                <w:color w:val="auto"/>
                <w:w w:val="92"/>
              </w:rPr>
              <w:t>2.1+</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0" w:type="dxa"/>
            <w:vAlign w:val="bottom"/>
            <w:gridSpan w:val="20"/>
            <w:shd w:val="clear" w:color="auto" w:fill="CCEEFF"/>
          </w:tcPr>
          <w:p>
            <w:pPr>
              <w:spacing w:after="0" w:line="118" w:lineRule="exact"/>
              <w:rPr>
                <w:rFonts w:ascii="Arial" w:cs="Arial" w:eastAsia="Arial" w:hAnsi="Arial"/>
                <w:sz w:val="12"/>
                <w:szCs w:val="12"/>
                <w:color w:val="0000FF"/>
                <w:w w:val="97"/>
              </w:rPr>
            </w:pPr>
            <w:hyperlink r:id="rId120">
              <w:r>
                <w:rPr>
                  <w:rFonts w:ascii="Arial" w:cs="Arial" w:eastAsia="Arial" w:hAnsi="Arial"/>
                  <w:sz w:val="12"/>
                  <w:szCs w:val="12"/>
                  <w:color w:val="0000FF"/>
                  <w:w w:val="97"/>
                </w:rPr>
                <w:t>Agreement and Plan of Merger, dated February 9, 2021, by and among CMLS, Merger Sub and Legacy</w:t>
              </w:r>
            </w:hyperlink>
          </w:p>
        </w:tc>
        <w:tc>
          <w:tcPr>
            <w:tcW w:w="1580" w:type="dxa"/>
            <w:vAlign w:val="bottom"/>
            <w:gridSpan w:val="2"/>
            <w:shd w:val="clear" w:color="auto" w:fill="CCEEFF"/>
          </w:tcPr>
          <w:p>
            <w:pPr>
              <w:jc w:val="center"/>
              <w:ind w:right="140"/>
              <w:spacing w:after="0" w:line="118" w:lineRule="exact"/>
              <w:rPr>
                <w:sz w:val="20"/>
                <w:szCs w:val="20"/>
                <w:color w:val="auto"/>
              </w:rPr>
            </w:pPr>
            <w:r>
              <w:rPr>
                <w:rFonts w:ascii="Arial" w:cs="Arial" w:eastAsia="Arial" w:hAnsi="Arial"/>
                <w:sz w:val="12"/>
                <w:szCs w:val="12"/>
                <w:color w:val="auto"/>
                <w:w w:val="92"/>
              </w:rPr>
              <w:t>DEF14M</w:t>
            </w:r>
          </w:p>
        </w:tc>
        <w:tc>
          <w:tcPr>
            <w:tcW w:w="1600" w:type="dxa"/>
            <w:vAlign w:val="bottom"/>
            <w:gridSpan w:val="2"/>
            <w:shd w:val="clear" w:color="auto" w:fill="CCEEFF"/>
          </w:tcPr>
          <w:p>
            <w:pPr>
              <w:jc w:val="center"/>
              <w:ind w:right="120"/>
              <w:spacing w:after="0" w:line="118" w:lineRule="exact"/>
              <w:rPr>
                <w:sz w:val="20"/>
                <w:szCs w:val="20"/>
                <w:color w:val="auto"/>
              </w:rPr>
            </w:pPr>
            <w:r>
              <w:rPr>
                <w:rFonts w:ascii="Arial" w:cs="Arial" w:eastAsia="Arial" w:hAnsi="Arial"/>
                <w:sz w:val="12"/>
                <w:szCs w:val="12"/>
                <w:color w:val="auto"/>
                <w:w w:val="96"/>
              </w:rPr>
              <w:t>Annex A</w:t>
            </w:r>
          </w:p>
        </w:tc>
        <w:tc>
          <w:tcPr>
            <w:tcW w:w="1460" w:type="dxa"/>
            <w:vAlign w:val="bottom"/>
            <w:shd w:val="clear" w:color="auto" w:fill="CCEEFF"/>
          </w:tcPr>
          <w:p>
            <w:pPr>
              <w:ind w:left="460"/>
              <w:spacing w:after="0" w:line="118" w:lineRule="exact"/>
              <w:rPr>
                <w:sz w:val="20"/>
                <w:szCs w:val="20"/>
                <w:color w:val="auto"/>
              </w:rPr>
            </w:pPr>
            <w:r>
              <w:rPr>
                <w:rFonts w:ascii="Arial" w:cs="Arial" w:eastAsia="Arial" w:hAnsi="Arial"/>
                <w:sz w:val="12"/>
                <w:szCs w:val="12"/>
                <w:color w:val="auto"/>
              </w:rPr>
              <w:t>07/02/2021</w:t>
            </w:r>
          </w:p>
        </w:tc>
        <w:tc>
          <w:tcPr>
            <w:tcW w:w="40" w:type="dxa"/>
            <w:vAlign w:val="bottom"/>
          </w:tcPr>
          <w:p>
            <w:pPr>
              <w:spacing w:after="0"/>
              <w:rPr>
                <w:sz w:val="10"/>
                <w:szCs w:val="10"/>
                <w:color w:val="auto"/>
              </w:rPr>
            </w:pPr>
          </w:p>
        </w:tc>
      </w:tr>
      <w:tr>
        <w:trPr>
          <w:trHeight w:val="122"/>
        </w:trPr>
        <w:tc>
          <w:tcPr>
            <w:tcW w:w="8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980" w:type="dxa"/>
            <w:vAlign w:val="bottom"/>
            <w:tcBorders>
              <w:top w:val="single" w:sz="8" w:color="0000FF"/>
            </w:tcBorders>
            <w:gridSpan w:val="17"/>
            <w:shd w:val="clear" w:color="auto" w:fill="CCEEFF"/>
          </w:tcPr>
          <w:p>
            <w:pPr>
              <w:spacing w:after="0" w:line="106" w:lineRule="exact"/>
              <w:rPr>
                <w:rFonts w:ascii="Arial" w:cs="Arial" w:eastAsia="Arial" w:hAnsi="Arial"/>
                <w:sz w:val="12"/>
                <w:szCs w:val="12"/>
                <w:color w:val="0000FF"/>
              </w:rPr>
            </w:pPr>
            <w:hyperlink r:id="rId120">
              <w:r>
                <w:rPr>
                  <w:rFonts w:ascii="Arial" w:cs="Arial" w:eastAsia="Arial" w:hAnsi="Arial"/>
                  <w:sz w:val="12"/>
                  <w:szCs w:val="12"/>
                  <w:color w:val="0000FF"/>
                </w:rPr>
                <w:t>Sema4, as amended by Amendment to Agreement and Plan of Merger dated May 3, 2021.</w:t>
              </w:r>
            </w:hyperlink>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gridSpan w:val="2"/>
            <w:shd w:val="clear" w:color="auto" w:fill="CCEEFF"/>
          </w:tcPr>
          <w:p>
            <w:pPr>
              <w:spacing w:after="0"/>
              <w:rPr>
                <w:sz w:val="10"/>
                <w:szCs w:val="10"/>
                <w:color w:val="auto"/>
              </w:rPr>
            </w:pPr>
          </w:p>
        </w:tc>
        <w:tc>
          <w:tcPr>
            <w:tcW w:w="1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3"/>
              </w:rPr>
              <w:t>3.1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1">
              <w:r>
                <w:rPr>
                  <w:rFonts w:ascii="Arial" w:cs="Arial" w:eastAsia="Arial" w:hAnsi="Arial"/>
                  <w:sz w:val="12"/>
                  <w:szCs w:val="12"/>
                  <w:color w:val="0000FF"/>
                </w:rPr>
                <w:t>Third Amended and Restated Certificate of Incorporation of Sema4 Holdings Corp.</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3"/>
              </w:rPr>
              <w:t>3.1</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44"/>
        </w:trPr>
        <w:tc>
          <w:tcPr>
            <w:tcW w:w="8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3"/>
              </w:rPr>
              <w:t>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2">
              <w:r>
                <w:rPr>
                  <w:rFonts w:ascii="Arial" w:cs="Arial" w:eastAsia="Arial" w:hAnsi="Arial"/>
                  <w:sz w:val="12"/>
                  <w:szCs w:val="12"/>
                  <w:color w:val="0000FF"/>
                </w:rPr>
                <w:t>Restated Bylaws of Sema4 Holdings Corp.</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3"/>
              </w:rPr>
              <w:t>3.2</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44"/>
        </w:trPr>
        <w:tc>
          <w:tcPr>
            <w:tcW w:w="8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10.1</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3">
              <w:r>
                <w:rPr>
                  <w:rFonts w:ascii="Arial" w:cs="Arial" w:eastAsia="Arial" w:hAnsi="Arial"/>
                  <w:sz w:val="12"/>
                  <w:szCs w:val="12"/>
                  <w:color w:val="0000FF"/>
                </w:rPr>
                <w:t>Amended and Restated Registration Rights Agreement, dated as of July 22, 2021, by and among the</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10.2</w:t>
            </w:r>
          </w:p>
        </w:tc>
        <w:tc>
          <w:tcPr>
            <w:tcW w:w="140" w:type="dxa"/>
            <w:vAlign w:val="bottom"/>
            <w:shd w:val="clear" w:color="auto" w:fill="CCEEFF"/>
          </w:tcPr>
          <w:p>
            <w:pPr>
              <w:spacing w:after="0"/>
              <w:rPr>
                <w:sz w:val="10"/>
                <w:szCs w:val="10"/>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06"/>
        </w:trPr>
        <w:tc>
          <w:tcPr>
            <w:tcW w:w="8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20" w:type="dxa"/>
            <w:vAlign w:val="bottom"/>
            <w:tcBorders>
              <w:top w:val="single" w:sz="8" w:color="0000FF"/>
            </w:tcBorders>
            <w:gridSpan w:val="16"/>
            <w:shd w:val="clear" w:color="auto" w:fill="CCEEFF"/>
          </w:tcPr>
          <w:p>
            <w:pPr>
              <w:spacing w:after="0" w:line="106" w:lineRule="exact"/>
              <w:rPr>
                <w:rFonts w:ascii="Arial" w:cs="Arial" w:eastAsia="Arial" w:hAnsi="Arial"/>
                <w:sz w:val="12"/>
                <w:szCs w:val="12"/>
                <w:color w:val="0000FF"/>
                <w:w w:val="89"/>
              </w:rPr>
            </w:pPr>
            <w:hyperlink r:id="rId123">
              <w:r>
                <w:rPr>
                  <w:rFonts w:ascii="Arial" w:cs="Arial" w:eastAsia="Arial" w:hAnsi="Arial"/>
                  <w:sz w:val="12"/>
                  <w:szCs w:val="12"/>
                  <w:color w:val="0000FF"/>
                  <w:w w:val="89"/>
                </w:rPr>
                <w:t>Company, certain equity holders of the Company named therein and certain equity holders of Sema4</w:t>
              </w:r>
            </w:hyperlink>
          </w:p>
        </w:tc>
        <w:tc>
          <w:tcPr>
            <w:tcW w:w="580" w:type="dxa"/>
            <w:vAlign w:val="bottom"/>
            <w:tcBorders>
              <w:top w:val="single" w:sz="8" w:color="CCEEFF"/>
            </w:tcBorders>
            <w:gridSpan w:val="4"/>
            <w:shd w:val="clear" w:color="auto" w:fill="CCEEFF"/>
          </w:tcPr>
          <w:p>
            <w:pPr>
              <w:ind w:left="60"/>
              <w:spacing w:after="0" w:line="106" w:lineRule="exact"/>
              <w:rPr>
                <w:rFonts w:ascii="Arial" w:cs="Arial" w:eastAsia="Arial" w:hAnsi="Arial"/>
                <w:sz w:val="12"/>
                <w:szCs w:val="12"/>
                <w:color w:val="0000FF"/>
              </w:rPr>
            </w:pPr>
            <w:hyperlink r:id="rId123">
              <w:r>
                <w:rPr>
                  <w:rFonts w:ascii="Arial" w:cs="Arial" w:eastAsia="Arial" w:hAnsi="Arial"/>
                  <w:sz w:val="12"/>
                  <w:szCs w:val="12"/>
                  <w:color w:val="0000FF"/>
                </w:rPr>
                <w:t>named</w:t>
              </w:r>
            </w:hyperlink>
          </w:p>
        </w:tc>
        <w:tc>
          <w:tcPr>
            <w:tcW w:w="14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60" w:type="dxa"/>
            <w:vAlign w:val="bottom"/>
            <w:tcBorders>
              <w:top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8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180" w:type="dxa"/>
            <w:vAlign w:val="bottom"/>
            <w:tcBorders>
              <w:top w:val="single" w:sz="8" w:color="0000FF"/>
            </w:tcBorders>
            <w:gridSpan w:val="18"/>
            <w:shd w:val="clear" w:color="auto" w:fill="CCEEFF"/>
          </w:tcPr>
          <w:p>
            <w:pPr>
              <w:spacing w:after="0" w:line="106" w:lineRule="exact"/>
              <w:rPr>
                <w:rFonts w:ascii="Arial" w:cs="Arial" w:eastAsia="Arial" w:hAnsi="Arial"/>
                <w:sz w:val="12"/>
                <w:szCs w:val="12"/>
                <w:color w:val="0000FF"/>
              </w:rPr>
            </w:pPr>
            <w:hyperlink r:id="rId123">
              <w:r>
                <w:rPr>
                  <w:rFonts w:ascii="Arial" w:cs="Arial" w:eastAsia="Arial" w:hAnsi="Arial"/>
                  <w:sz w:val="12"/>
                  <w:szCs w:val="12"/>
                  <w:color w:val="0000FF"/>
                </w:rPr>
                <w:t>therein.</w:t>
              </w:r>
            </w:hyperlink>
          </w:p>
        </w:tc>
        <w:tc>
          <w:tcPr>
            <w:tcW w:w="220" w:type="dxa"/>
            <w:vAlign w:val="bottom"/>
            <w:tcBorders>
              <w:top w:val="single" w:sz="8" w:color="CCEEFF"/>
            </w:tcBorders>
            <w:gridSpan w:val="2"/>
            <w:shd w:val="clear" w:color="auto" w:fill="CCEEFF"/>
          </w:tcPr>
          <w:p>
            <w:pPr>
              <w:spacing w:after="0"/>
              <w:rPr>
                <w:sz w:val="10"/>
                <w:szCs w:val="10"/>
                <w:color w:val="auto"/>
              </w:rPr>
            </w:pPr>
          </w:p>
        </w:tc>
        <w:tc>
          <w:tcPr>
            <w:tcW w:w="1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4">
              <w:r>
                <w:rPr>
                  <w:rFonts w:ascii="Arial" w:cs="Arial" w:eastAsia="Arial" w:hAnsi="Arial"/>
                  <w:sz w:val="12"/>
                  <w:szCs w:val="12"/>
                  <w:color w:val="0000FF"/>
                </w:rPr>
                <w:t>Form Director of and Officer Indemnification Agreement.</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10.4</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5">
              <w:r>
                <w:rPr>
                  <w:rFonts w:ascii="Arial" w:cs="Arial" w:eastAsia="Arial" w:hAnsi="Arial"/>
                  <w:sz w:val="12"/>
                  <w:szCs w:val="12"/>
                  <w:color w:val="0000FF"/>
                </w:rPr>
                <w:t>2021 Equity Incentive Award Plan.</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10.5</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6">
              <w:r>
                <w:rPr>
                  <w:rFonts w:ascii="Arial" w:cs="Arial" w:eastAsia="Arial" w:hAnsi="Arial"/>
                  <w:sz w:val="12"/>
                  <w:szCs w:val="12"/>
                  <w:color w:val="0000FF"/>
                </w:rPr>
                <w:t>Form of Stock Option Agreement under the 2021 Incentive Award Plan.</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10.6</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7">
              <w:r>
                <w:rPr>
                  <w:rFonts w:ascii="Arial" w:cs="Arial" w:eastAsia="Arial" w:hAnsi="Arial"/>
                  <w:sz w:val="12"/>
                  <w:szCs w:val="12"/>
                  <w:color w:val="0000FF"/>
                </w:rPr>
                <w:t>Form of RSU Agreement under the 2021 Incentive Award Plan.</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10.7</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8">
              <w:r>
                <w:rPr>
                  <w:rFonts w:ascii="Arial" w:cs="Arial" w:eastAsia="Arial" w:hAnsi="Arial"/>
                  <w:sz w:val="12"/>
                  <w:szCs w:val="12"/>
                  <w:color w:val="0000FF"/>
                </w:rPr>
                <w:t>Form of Earn-Out RSU Agreement.</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10.8</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29">
              <w:r>
                <w:rPr>
                  <w:rFonts w:ascii="Arial" w:cs="Arial" w:eastAsia="Arial" w:hAnsi="Arial"/>
                  <w:sz w:val="12"/>
                  <w:szCs w:val="12"/>
                  <w:color w:val="0000FF"/>
                </w:rPr>
                <w:t>2021 Employee Stock Purchase Plan.</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10.9</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71"/>
        </w:trPr>
        <w:tc>
          <w:tcPr>
            <w:tcW w:w="8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30">
              <w:r>
                <w:rPr>
                  <w:rFonts w:ascii="Arial" w:cs="Arial" w:eastAsia="Arial" w:hAnsi="Arial"/>
                  <w:sz w:val="12"/>
                  <w:szCs w:val="12"/>
                  <w:color w:val="0000FF"/>
                </w:rPr>
                <w:t>Amended and Restated Employment of Agreement of Eric Schadt.</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10.10</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93"/>
              </w:rPr>
              <w:t>10.9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31">
              <w:r>
                <w:rPr>
                  <w:rFonts w:ascii="Arial" w:cs="Arial" w:eastAsia="Arial" w:hAnsi="Arial"/>
                  <w:sz w:val="12"/>
                  <w:szCs w:val="12"/>
                  <w:color w:val="0000FF"/>
                </w:rPr>
                <w:t>Employment Agreement of Isaac Ro.</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10.11</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6"/>
              </w:rPr>
              <w:t>10.10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32">
              <w:r>
                <w:rPr>
                  <w:rFonts w:ascii="Arial" w:cs="Arial" w:eastAsia="Arial" w:hAnsi="Arial"/>
                  <w:sz w:val="12"/>
                  <w:szCs w:val="12"/>
                  <w:color w:val="0000FF"/>
                </w:rPr>
                <w:t>Employment Agreement of Dan Clark.</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10.12</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6"/>
              </w:rPr>
              <w:t>10.11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33">
              <w:r>
                <w:rPr>
                  <w:rFonts w:ascii="Arial" w:cs="Arial" w:eastAsia="Arial" w:hAnsi="Arial"/>
                  <w:sz w:val="12"/>
                  <w:szCs w:val="12"/>
                  <w:color w:val="0000FF"/>
                </w:rPr>
                <w:t>Employment Agreement of James Coffin.</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10.13</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6"/>
              </w:rPr>
              <w:t>10.12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34">
              <w:r>
                <w:rPr>
                  <w:rFonts w:ascii="Arial" w:cs="Arial" w:eastAsia="Arial" w:hAnsi="Arial"/>
                  <w:sz w:val="12"/>
                  <w:szCs w:val="12"/>
                  <w:color w:val="0000FF"/>
                </w:rPr>
                <w:t>Employment Agreement of Anthony Prentice.</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10.14</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840" w:type="dxa"/>
            <w:vAlign w:val="bottom"/>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6"/>
              </w:rPr>
              <w:t>10.13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0" w:type="dxa"/>
            <w:vAlign w:val="bottom"/>
            <w:gridSpan w:val="20"/>
            <w:shd w:val="clear" w:color="auto" w:fill="CCEEFF"/>
          </w:tcPr>
          <w:p>
            <w:pPr>
              <w:spacing w:after="0" w:line="126" w:lineRule="exact"/>
              <w:rPr>
                <w:rFonts w:ascii="Arial" w:cs="Arial" w:eastAsia="Arial" w:hAnsi="Arial"/>
                <w:sz w:val="12"/>
                <w:szCs w:val="12"/>
                <w:color w:val="0000FF"/>
              </w:rPr>
            </w:pPr>
            <w:hyperlink r:id="rId135">
              <w:r>
                <w:rPr>
                  <w:rFonts w:ascii="Arial" w:cs="Arial" w:eastAsia="Arial" w:hAnsi="Arial"/>
                  <w:sz w:val="12"/>
                  <w:szCs w:val="12"/>
                  <w:color w:val="0000FF"/>
                </w:rPr>
                <w:t>Employment Agreement of Kareem Saad.</w:t>
              </w:r>
            </w:hyperlink>
          </w:p>
        </w:tc>
        <w:tc>
          <w:tcPr>
            <w:tcW w:w="158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10.15</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840" w:type="dxa"/>
            <w:vAlign w:val="bottom"/>
            <w:tcBorders>
              <w:bottom w:val="single" w:sz="8" w:color="CCEEFF"/>
            </w:tcBorders>
            <w:shd w:val="clear" w:color="auto" w:fill="CCEEFF"/>
          </w:tcPr>
          <w:p>
            <w:pPr>
              <w:jc w:val="center"/>
              <w:ind w:left="160"/>
              <w:spacing w:after="0" w:line="126" w:lineRule="exact"/>
              <w:rPr>
                <w:sz w:val="20"/>
                <w:szCs w:val="20"/>
                <w:color w:val="auto"/>
              </w:rPr>
            </w:pPr>
            <w:r>
              <w:rPr>
                <w:rFonts w:ascii="Arial" w:cs="Arial" w:eastAsia="Arial" w:hAnsi="Arial"/>
                <w:sz w:val="12"/>
                <w:szCs w:val="12"/>
                <w:color w:val="auto"/>
                <w:w w:val="86"/>
              </w:rPr>
              <w:t>10.14</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00" w:type="dxa"/>
            <w:vAlign w:val="bottom"/>
            <w:tcBorders>
              <w:bottom w:val="single" w:sz="8" w:color="0000FF"/>
            </w:tcBorders>
            <w:gridSpan w:val="6"/>
            <w:shd w:val="clear" w:color="auto" w:fill="CCEEFF"/>
          </w:tcPr>
          <w:p>
            <w:pPr>
              <w:spacing w:after="0" w:line="126" w:lineRule="exact"/>
              <w:rPr>
                <w:rFonts w:ascii="Arial" w:cs="Arial" w:eastAsia="Arial" w:hAnsi="Arial"/>
                <w:sz w:val="12"/>
                <w:szCs w:val="12"/>
                <w:color w:val="0000FF"/>
                <w:w w:val="92"/>
              </w:rPr>
            </w:pPr>
            <w:hyperlink r:id="rId136">
              <w:r>
                <w:rPr>
                  <w:rFonts w:ascii="Arial" w:cs="Arial" w:eastAsia="Arial" w:hAnsi="Arial"/>
                  <w:sz w:val="12"/>
                  <w:szCs w:val="12"/>
                  <w:color w:val="0000FF"/>
                  <w:w w:val="92"/>
                </w:rPr>
                <w:t>Employment Agreement of Karen White.</w:t>
              </w:r>
            </w:hyperlink>
          </w:p>
        </w:tc>
        <w:tc>
          <w:tcPr>
            <w:tcW w:w="3400" w:type="dxa"/>
            <w:vAlign w:val="bottom"/>
            <w:tcBorders>
              <w:bottom w:val="single" w:sz="8" w:color="CCEEFF"/>
            </w:tcBorders>
            <w:gridSpan w:val="14"/>
            <w:shd w:val="clear" w:color="auto" w:fill="CCEEFF"/>
          </w:tcPr>
          <w:p>
            <w:pPr>
              <w:spacing w:after="0"/>
              <w:rPr>
                <w:sz w:val="12"/>
                <w:szCs w:val="12"/>
                <w:color w:val="auto"/>
              </w:rPr>
            </w:pPr>
          </w:p>
        </w:tc>
        <w:tc>
          <w:tcPr>
            <w:tcW w:w="1580" w:type="dxa"/>
            <w:vAlign w:val="bottom"/>
            <w:tcBorders>
              <w:bottom w:val="single" w:sz="8" w:color="CCEEFF"/>
            </w:tcBorders>
            <w:gridSpan w:val="2"/>
            <w:shd w:val="clear" w:color="auto" w:fill="CCEEFF"/>
          </w:tcPr>
          <w:p>
            <w:pPr>
              <w:jc w:val="center"/>
              <w:ind w:right="140"/>
              <w:spacing w:after="0" w:line="126" w:lineRule="exact"/>
              <w:rPr>
                <w:sz w:val="20"/>
                <w:szCs w:val="20"/>
                <w:color w:val="auto"/>
              </w:rPr>
            </w:pPr>
            <w:r>
              <w:rPr>
                <w:rFonts w:ascii="Arial" w:cs="Arial" w:eastAsia="Arial" w:hAnsi="Arial"/>
                <w:sz w:val="12"/>
                <w:szCs w:val="12"/>
                <w:color w:val="auto"/>
              </w:rPr>
              <w:t>8-K</w:t>
            </w:r>
          </w:p>
        </w:tc>
        <w:tc>
          <w:tcPr>
            <w:tcW w:w="1460" w:type="dxa"/>
            <w:vAlign w:val="bottom"/>
            <w:tcBorders>
              <w:bottom w:val="single" w:sz="8" w:color="CCEEFF"/>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86"/>
              </w:rPr>
              <w:t>10.16</w:t>
            </w:r>
          </w:p>
        </w:tc>
        <w:tc>
          <w:tcPr>
            <w:tcW w:w="1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ind w:left="46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675"/>
        </w:trPr>
        <w:tc>
          <w:tcPr>
            <w:tcW w:w="840" w:type="dxa"/>
            <w:vAlign w:val="bottom"/>
          </w:tcPr>
          <w:p>
            <w:pPr>
              <w:spacing w:after="0"/>
              <w:rPr>
                <w:sz w:val="24"/>
                <w:szCs w:val="24"/>
                <w:color w:val="auto"/>
              </w:rPr>
            </w:pPr>
          </w:p>
        </w:tc>
        <w:tc>
          <w:tcPr>
            <w:tcW w:w="5200" w:type="dxa"/>
            <w:vAlign w:val="bottom"/>
            <w:gridSpan w:val="18"/>
          </w:tcPr>
          <w:p>
            <w:pPr>
              <w:jc w:val="right"/>
              <w:ind w:right="220"/>
              <w:spacing w:after="0"/>
              <w:rPr>
                <w:sz w:val="20"/>
                <w:szCs w:val="20"/>
                <w:color w:val="auto"/>
              </w:rPr>
            </w:pPr>
            <w:r>
              <w:rPr>
                <w:rFonts w:ascii="Arial" w:cs="Arial" w:eastAsia="Arial" w:hAnsi="Arial"/>
                <w:sz w:val="12"/>
                <w:szCs w:val="12"/>
                <w:color w:val="auto"/>
              </w:rPr>
              <w:t>93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0"/>
        </w:trPr>
        <w:tc>
          <w:tcPr>
            <w:tcW w:w="8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3" w:name="page94"/>
    <w:bookmarkEnd w:id="9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86"/>
              </w:rPr>
              <w:t>10.15</w:t>
            </w:r>
          </w:p>
        </w:tc>
        <w:tc>
          <w:tcPr>
            <w:tcW w:w="5640" w:type="dxa"/>
            <w:vAlign w:val="bottom"/>
            <w:gridSpan w:val="26"/>
            <w:shd w:val="clear" w:color="auto" w:fill="CCEEFF"/>
          </w:tcPr>
          <w:p>
            <w:pPr>
              <w:spacing w:after="0"/>
              <w:rPr>
                <w:rFonts w:ascii="Arial" w:cs="Arial" w:eastAsia="Arial" w:hAnsi="Arial"/>
                <w:sz w:val="12"/>
                <w:szCs w:val="12"/>
                <w:color w:val="0000FF"/>
                <w:w w:val="99"/>
              </w:rPr>
            </w:pPr>
            <w:hyperlink r:id="rId139">
              <w:r>
                <w:rPr>
                  <w:rFonts w:ascii="Arial" w:cs="Arial" w:eastAsia="Arial" w:hAnsi="Arial"/>
                  <w:sz w:val="12"/>
                  <w:szCs w:val="12"/>
                  <w:color w:val="0000FF"/>
                  <w:w w:val="99"/>
                </w:rPr>
                <w:t>Sub-Sublease, dated as of June 6, 2017, by and between Icahn School of Medicine at Mount Sinai and the</w:t>
              </w:r>
            </w:hyperlink>
          </w:p>
        </w:tc>
        <w:tc>
          <w:tcPr>
            <w:tcW w:w="12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10.17</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2"/>
                <w:szCs w:val="12"/>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080" w:type="dxa"/>
            <w:vAlign w:val="bottom"/>
            <w:tcBorders>
              <w:top w:val="single" w:sz="8" w:color="0000FF"/>
            </w:tcBorders>
            <w:gridSpan w:val="20"/>
            <w:shd w:val="clear" w:color="auto" w:fill="CCEEFF"/>
          </w:tcPr>
          <w:p>
            <w:pPr>
              <w:spacing w:after="0" w:line="106" w:lineRule="exact"/>
              <w:rPr>
                <w:rFonts w:ascii="Arial" w:cs="Arial" w:eastAsia="Arial" w:hAnsi="Arial"/>
                <w:sz w:val="12"/>
                <w:szCs w:val="12"/>
                <w:color w:val="0000FF"/>
              </w:rPr>
            </w:pPr>
            <w:hyperlink r:id="rId139">
              <w:r>
                <w:rPr>
                  <w:rFonts w:ascii="Arial" w:cs="Arial" w:eastAsia="Arial" w:hAnsi="Arial"/>
                  <w:sz w:val="12"/>
                  <w:szCs w:val="12"/>
                  <w:color w:val="0000FF"/>
                </w:rPr>
                <w:t>Company, as amended July 31, 2019.</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86"/>
              </w:rPr>
              <w:t>10.16</w:t>
            </w:r>
          </w:p>
        </w:tc>
        <w:tc>
          <w:tcPr>
            <w:tcW w:w="5640" w:type="dxa"/>
            <w:vAlign w:val="bottom"/>
            <w:gridSpan w:val="26"/>
            <w:shd w:val="clear" w:color="auto" w:fill="CCEEFF"/>
          </w:tcPr>
          <w:p>
            <w:pPr>
              <w:spacing w:after="0" w:line="126" w:lineRule="exact"/>
              <w:rPr>
                <w:rFonts w:ascii="Arial" w:cs="Arial" w:eastAsia="Arial" w:hAnsi="Arial"/>
                <w:sz w:val="12"/>
                <w:szCs w:val="12"/>
                <w:color w:val="0000FF"/>
              </w:rPr>
            </w:pPr>
            <w:hyperlink r:id="rId140">
              <w:r>
                <w:rPr>
                  <w:rFonts w:ascii="Arial" w:cs="Arial" w:eastAsia="Arial" w:hAnsi="Arial"/>
                  <w:sz w:val="12"/>
                  <w:szCs w:val="12"/>
                  <w:color w:val="0000FF"/>
                </w:rPr>
                <w:t>Sublease Agreement, dated as of November 8, 2019, by and between Marriott International, Inc. and the</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10.18</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020" w:type="dxa"/>
            <w:vAlign w:val="bottom"/>
            <w:tcBorders>
              <w:top w:val="single" w:sz="8" w:color="0000FF"/>
            </w:tcBorders>
            <w:gridSpan w:val="19"/>
            <w:shd w:val="clear" w:color="auto" w:fill="CCEEFF"/>
          </w:tcPr>
          <w:p>
            <w:pPr>
              <w:spacing w:after="0" w:line="106" w:lineRule="exact"/>
              <w:rPr>
                <w:rFonts w:ascii="Arial" w:cs="Arial" w:eastAsia="Arial" w:hAnsi="Arial"/>
                <w:sz w:val="12"/>
                <w:szCs w:val="12"/>
                <w:color w:val="0000FF"/>
              </w:rPr>
            </w:pPr>
            <w:hyperlink r:id="rId140">
              <w:r>
                <w:rPr>
                  <w:rFonts w:ascii="Arial" w:cs="Arial" w:eastAsia="Arial" w:hAnsi="Arial"/>
                  <w:sz w:val="12"/>
                  <w:szCs w:val="12"/>
                  <w:color w:val="0000FF"/>
                </w:rPr>
                <w:t>Company.</w:t>
              </w:r>
            </w:hyperlink>
          </w:p>
        </w:tc>
        <w:tc>
          <w:tcPr>
            <w:tcW w:w="8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86"/>
              </w:rPr>
              <w:t>10.17</w:t>
            </w:r>
          </w:p>
        </w:tc>
        <w:tc>
          <w:tcPr>
            <w:tcW w:w="5640" w:type="dxa"/>
            <w:vAlign w:val="bottom"/>
            <w:gridSpan w:val="26"/>
            <w:shd w:val="clear" w:color="auto" w:fill="CCEEFF"/>
          </w:tcPr>
          <w:p>
            <w:pPr>
              <w:spacing w:after="0" w:line="126" w:lineRule="exact"/>
              <w:rPr>
                <w:rFonts w:ascii="Arial" w:cs="Arial" w:eastAsia="Arial" w:hAnsi="Arial"/>
                <w:sz w:val="12"/>
                <w:szCs w:val="12"/>
                <w:color w:val="0000FF"/>
              </w:rPr>
            </w:pPr>
            <w:hyperlink r:id="rId141">
              <w:r>
                <w:rPr>
                  <w:rFonts w:ascii="Arial" w:cs="Arial" w:eastAsia="Arial" w:hAnsi="Arial"/>
                  <w:sz w:val="12"/>
                  <w:szCs w:val="12"/>
                  <w:color w:val="0000FF"/>
                </w:rPr>
                <w:t>Sublease, dated as of June 1, 2017, by and between Icahn School of Medicine at Mount Sinai and the</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10.19</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860" w:type="dxa"/>
            <w:vAlign w:val="bottom"/>
            <w:tcBorders>
              <w:top w:val="single" w:sz="8" w:color="0000FF"/>
            </w:tcBorders>
            <w:gridSpan w:val="14"/>
            <w:shd w:val="clear" w:color="auto" w:fill="CCEEFF"/>
          </w:tcPr>
          <w:p>
            <w:pPr>
              <w:spacing w:after="0" w:line="106" w:lineRule="exact"/>
              <w:rPr>
                <w:rFonts w:ascii="Arial" w:cs="Arial" w:eastAsia="Arial" w:hAnsi="Arial"/>
                <w:sz w:val="12"/>
                <w:szCs w:val="12"/>
                <w:color w:val="0000FF"/>
              </w:rPr>
            </w:pPr>
            <w:hyperlink r:id="rId141">
              <w:r>
                <w:rPr>
                  <w:rFonts w:ascii="Arial" w:cs="Arial" w:eastAsia="Arial" w:hAnsi="Arial"/>
                  <w:sz w:val="12"/>
                  <w:szCs w:val="12"/>
                  <w:color w:val="0000FF"/>
                </w:rPr>
                <w:t>Company, as amended December 22, 2017.</w:t>
              </w:r>
            </w:hyperlink>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86"/>
              </w:rPr>
              <w:t>10.18</w:t>
            </w:r>
          </w:p>
        </w:tc>
        <w:tc>
          <w:tcPr>
            <w:tcW w:w="5640" w:type="dxa"/>
            <w:vAlign w:val="bottom"/>
            <w:gridSpan w:val="26"/>
            <w:shd w:val="clear" w:color="auto" w:fill="CCEEFF"/>
          </w:tcPr>
          <w:p>
            <w:pPr>
              <w:spacing w:after="0" w:line="126" w:lineRule="exact"/>
              <w:rPr>
                <w:rFonts w:ascii="Arial" w:cs="Arial" w:eastAsia="Arial" w:hAnsi="Arial"/>
                <w:sz w:val="12"/>
                <w:szCs w:val="12"/>
                <w:color w:val="0000FF"/>
              </w:rPr>
            </w:pPr>
            <w:hyperlink r:id="rId142">
              <w:r>
                <w:rPr>
                  <w:rFonts w:ascii="Arial" w:cs="Arial" w:eastAsia="Arial" w:hAnsi="Arial"/>
                  <w:sz w:val="12"/>
                  <w:szCs w:val="12"/>
                  <w:color w:val="0000FF"/>
                </w:rPr>
                <w:t>Sublease, dated as of April 23, 2019, by and between Icahn School of Medicine at Mount Sinai and the</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10.20</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960" w:type="dxa"/>
            <w:vAlign w:val="bottom"/>
            <w:tcBorders>
              <w:top w:val="single" w:sz="8" w:color="0000FF"/>
            </w:tcBorders>
            <w:gridSpan w:val="16"/>
            <w:shd w:val="clear" w:color="auto" w:fill="CCEEFF"/>
          </w:tcPr>
          <w:p>
            <w:pPr>
              <w:spacing w:after="0" w:line="106" w:lineRule="exact"/>
              <w:rPr>
                <w:rFonts w:ascii="Arial" w:cs="Arial" w:eastAsia="Arial" w:hAnsi="Arial"/>
                <w:sz w:val="12"/>
                <w:szCs w:val="12"/>
                <w:color w:val="0000FF"/>
              </w:rPr>
            </w:pPr>
            <w:hyperlink r:id="rId142">
              <w:r>
                <w:rPr>
                  <w:rFonts w:ascii="Arial" w:cs="Arial" w:eastAsia="Arial" w:hAnsi="Arial"/>
                  <w:sz w:val="12"/>
                  <w:szCs w:val="12"/>
                  <w:color w:val="0000FF"/>
                </w:rPr>
                <w:t>Company.</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86"/>
              </w:rPr>
              <w:t>10.19</w:t>
            </w:r>
          </w:p>
        </w:tc>
        <w:tc>
          <w:tcPr>
            <w:tcW w:w="5640" w:type="dxa"/>
            <w:vAlign w:val="bottom"/>
            <w:gridSpan w:val="26"/>
            <w:shd w:val="clear" w:color="auto" w:fill="CCEEFF"/>
          </w:tcPr>
          <w:p>
            <w:pPr>
              <w:spacing w:after="0" w:line="126" w:lineRule="exact"/>
              <w:rPr>
                <w:rFonts w:ascii="Arial" w:cs="Arial" w:eastAsia="Arial" w:hAnsi="Arial"/>
                <w:sz w:val="12"/>
                <w:szCs w:val="12"/>
                <w:color w:val="0000FF"/>
                <w:w w:val="97"/>
              </w:rPr>
            </w:pPr>
            <w:hyperlink r:id="rId143">
              <w:r>
                <w:rPr>
                  <w:rFonts w:ascii="Arial" w:cs="Arial" w:eastAsia="Arial" w:hAnsi="Arial"/>
                  <w:sz w:val="12"/>
                  <w:szCs w:val="12"/>
                  <w:color w:val="0000FF"/>
                  <w:w w:val="97"/>
                </w:rPr>
                <w:t>Lease Agreement, dated as of January 31, 2020, by and between 1 Commercial Street Associates, LLC and</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10.21</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160" w:type="dxa"/>
            <w:vAlign w:val="bottom"/>
            <w:tcBorders>
              <w:top w:val="single" w:sz="8" w:color="0000FF"/>
            </w:tcBorders>
            <w:gridSpan w:val="23"/>
            <w:shd w:val="clear" w:color="auto" w:fill="CCEEFF"/>
          </w:tcPr>
          <w:p>
            <w:pPr>
              <w:spacing w:after="0" w:line="106" w:lineRule="exact"/>
              <w:rPr>
                <w:rFonts w:ascii="Arial" w:cs="Arial" w:eastAsia="Arial" w:hAnsi="Arial"/>
                <w:sz w:val="12"/>
                <w:szCs w:val="12"/>
                <w:color w:val="0000FF"/>
              </w:rPr>
            </w:pPr>
            <w:hyperlink r:id="rId143">
              <w:r>
                <w:rPr>
                  <w:rFonts w:ascii="Arial" w:cs="Arial" w:eastAsia="Arial" w:hAnsi="Arial"/>
                  <w:sz w:val="12"/>
                  <w:szCs w:val="12"/>
                  <w:color w:val="0000FF"/>
                </w:rPr>
                <w:t>the Company.</w:t>
              </w:r>
            </w:hyperlink>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tcBorders>
              <w:bottom w:val="single" w:sz="8" w:color="CCEEFF"/>
            </w:tcBorders>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10.20#</w:t>
            </w:r>
          </w:p>
        </w:tc>
        <w:tc>
          <w:tcPr>
            <w:tcW w:w="4820" w:type="dxa"/>
            <w:vAlign w:val="bottom"/>
            <w:tcBorders>
              <w:bottom w:val="single" w:sz="8" w:color="0000FF"/>
            </w:tcBorders>
            <w:gridSpan w:val="13"/>
            <w:shd w:val="clear" w:color="auto" w:fill="CCEEFF"/>
          </w:tcPr>
          <w:p>
            <w:pPr>
              <w:spacing w:after="0" w:line="126" w:lineRule="exact"/>
              <w:rPr>
                <w:rFonts w:ascii="Arial" w:cs="Arial" w:eastAsia="Arial" w:hAnsi="Arial"/>
                <w:sz w:val="12"/>
                <w:szCs w:val="12"/>
                <w:color w:val="0000FF"/>
                <w:w w:val="90"/>
              </w:rPr>
            </w:pPr>
            <w:hyperlink r:id="rId144">
              <w:r>
                <w:rPr>
                  <w:rFonts w:ascii="Arial" w:cs="Arial" w:eastAsia="Arial" w:hAnsi="Arial"/>
                  <w:sz w:val="12"/>
                  <w:szCs w:val="12"/>
                  <w:color w:val="0000FF"/>
                  <w:w w:val="90"/>
                </w:rPr>
                <w:t>Master Services Agreement, dated as of April 2, 2018, by and among the Company, Icahn School of</w:t>
              </w:r>
            </w:hyperlink>
          </w:p>
        </w:tc>
        <w:tc>
          <w:tcPr>
            <w:tcW w:w="820" w:type="dxa"/>
            <w:vAlign w:val="bottom"/>
            <w:tcBorders>
              <w:bottom w:val="single" w:sz="8" w:color="CCEEFF"/>
            </w:tcBorders>
            <w:gridSpan w:val="13"/>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tcBorders>
              <w:bottom w:val="single" w:sz="8" w:color="CCEEFF"/>
            </w:tcBorders>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10.22</w:t>
            </w:r>
          </w:p>
        </w:tc>
        <w:tc>
          <w:tcPr>
            <w:tcW w:w="1600" w:type="dxa"/>
            <w:vAlign w:val="bottom"/>
            <w:tcBorders>
              <w:bottom w:val="single" w:sz="8" w:color="CCEEFF"/>
            </w:tcBorders>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shd w:val="clear" w:color="auto" w:fill="CCEEFF"/>
          </w:tcPr>
          <w:p>
            <w:pPr>
              <w:spacing w:after="0"/>
              <w:rPr>
                <w:sz w:val="10"/>
                <w:szCs w:val="10"/>
                <w:color w:val="auto"/>
              </w:rPr>
            </w:pPr>
          </w:p>
        </w:tc>
        <w:tc>
          <w:tcPr>
            <w:tcW w:w="5640" w:type="dxa"/>
            <w:vAlign w:val="bottom"/>
            <w:gridSpan w:val="26"/>
            <w:shd w:val="clear" w:color="auto" w:fill="CCEEFF"/>
          </w:tcPr>
          <w:p>
            <w:pPr>
              <w:spacing w:after="0" w:line="106" w:lineRule="exact"/>
              <w:rPr>
                <w:rFonts w:ascii="Arial" w:cs="Arial" w:eastAsia="Arial" w:hAnsi="Arial"/>
                <w:sz w:val="12"/>
                <w:szCs w:val="12"/>
                <w:color w:val="0000FF"/>
              </w:rPr>
            </w:pPr>
            <w:hyperlink r:id="rId144">
              <w:r>
                <w:rPr>
                  <w:rFonts w:ascii="Arial" w:cs="Arial" w:eastAsia="Arial" w:hAnsi="Arial"/>
                  <w:sz w:val="12"/>
                  <w:szCs w:val="12"/>
                  <w:color w:val="0000FF"/>
                </w:rPr>
                <w:t>Medicine at Mount Sinai, The Mount Sinai Hospital, and the parties thereto, as amended July 31, 2019.</w:t>
              </w:r>
            </w:hyperlink>
          </w:p>
        </w:tc>
        <w:tc>
          <w:tcPr>
            <w:tcW w:w="12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10.21#</w:t>
            </w:r>
          </w:p>
        </w:tc>
        <w:tc>
          <w:tcPr>
            <w:tcW w:w="5640" w:type="dxa"/>
            <w:vAlign w:val="bottom"/>
            <w:gridSpan w:val="26"/>
            <w:shd w:val="clear" w:color="auto" w:fill="CCEEFF"/>
          </w:tcPr>
          <w:p>
            <w:pPr>
              <w:spacing w:after="0" w:line="126" w:lineRule="exact"/>
              <w:rPr>
                <w:rFonts w:ascii="Arial" w:cs="Arial" w:eastAsia="Arial" w:hAnsi="Arial"/>
                <w:sz w:val="12"/>
                <w:szCs w:val="12"/>
                <w:color w:val="0000FF"/>
                <w:w w:val="99"/>
              </w:rPr>
            </w:pPr>
            <w:hyperlink r:id="rId145">
              <w:r>
                <w:rPr>
                  <w:rFonts w:ascii="Arial" w:cs="Arial" w:eastAsia="Arial" w:hAnsi="Arial"/>
                  <w:sz w:val="12"/>
                  <w:szCs w:val="12"/>
                  <w:color w:val="0000FF"/>
                  <w:w w:val="99"/>
                </w:rPr>
                <w:t>Master Services Agreement, dated as of May 10, 2018, by and between the Company and Icahn School of</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10.23</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100" w:type="dxa"/>
            <w:vAlign w:val="bottom"/>
            <w:tcBorders>
              <w:top w:val="single" w:sz="8" w:color="0000FF"/>
            </w:tcBorders>
            <w:gridSpan w:val="21"/>
            <w:shd w:val="clear" w:color="auto" w:fill="CCEEFF"/>
          </w:tcPr>
          <w:p>
            <w:pPr>
              <w:spacing w:after="0" w:line="106" w:lineRule="exact"/>
              <w:rPr>
                <w:rFonts w:ascii="Arial" w:cs="Arial" w:eastAsia="Arial" w:hAnsi="Arial"/>
                <w:sz w:val="12"/>
                <w:szCs w:val="12"/>
                <w:color w:val="0000FF"/>
              </w:rPr>
            </w:pPr>
            <w:hyperlink r:id="rId145">
              <w:r>
                <w:rPr>
                  <w:rFonts w:ascii="Arial" w:cs="Arial" w:eastAsia="Arial" w:hAnsi="Arial"/>
                  <w:sz w:val="12"/>
                  <w:szCs w:val="12"/>
                  <w:color w:val="0000FF"/>
                </w:rPr>
                <w:t>Medicine at Mount Sinai, as amended July 31, 2019.</w:t>
              </w:r>
            </w:hyperlink>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10.22#</w:t>
            </w:r>
          </w:p>
        </w:tc>
        <w:tc>
          <w:tcPr>
            <w:tcW w:w="5640" w:type="dxa"/>
            <w:vAlign w:val="bottom"/>
            <w:gridSpan w:val="26"/>
            <w:shd w:val="clear" w:color="auto" w:fill="CCEEFF"/>
          </w:tcPr>
          <w:p>
            <w:pPr>
              <w:spacing w:after="0" w:line="126" w:lineRule="exact"/>
              <w:rPr>
                <w:rFonts w:ascii="Arial" w:cs="Arial" w:eastAsia="Arial" w:hAnsi="Arial"/>
                <w:sz w:val="12"/>
                <w:szCs w:val="12"/>
                <w:color w:val="0000FF"/>
              </w:rPr>
            </w:pPr>
            <w:hyperlink r:id="rId146">
              <w:r>
                <w:rPr>
                  <w:rFonts w:ascii="Arial" w:cs="Arial" w:eastAsia="Arial" w:hAnsi="Arial"/>
                  <w:sz w:val="12"/>
                  <w:szCs w:val="12"/>
                  <w:color w:val="0000FF"/>
                </w:rPr>
                <w:t>Data Structuring and Curation Agreement, dated as of August 1, 2019, by and between Icahn School of</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10.24</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980" w:type="dxa"/>
            <w:vAlign w:val="bottom"/>
            <w:tcBorders>
              <w:top w:val="single" w:sz="8" w:color="0000FF"/>
            </w:tcBorders>
            <w:gridSpan w:val="17"/>
            <w:shd w:val="clear" w:color="auto" w:fill="CCEEFF"/>
          </w:tcPr>
          <w:p>
            <w:pPr>
              <w:spacing w:after="0" w:line="106" w:lineRule="exact"/>
              <w:rPr>
                <w:rFonts w:ascii="Arial" w:cs="Arial" w:eastAsia="Arial" w:hAnsi="Arial"/>
                <w:sz w:val="12"/>
                <w:szCs w:val="12"/>
                <w:color w:val="0000FF"/>
              </w:rPr>
            </w:pPr>
            <w:hyperlink r:id="rId146">
              <w:r>
                <w:rPr>
                  <w:rFonts w:ascii="Arial" w:cs="Arial" w:eastAsia="Arial" w:hAnsi="Arial"/>
                  <w:sz w:val="12"/>
                  <w:szCs w:val="12"/>
                  <w:color w:val="0000FF"/>
                </w:rPr>
                <w:t>Medicine at Mount Sinai and the Company, as amended March 11, 2020.</w:t>
              </w:r>
            </w:hyperlink>
          </w:p>
        </w:tc>
        <w:tc>
          <w:tcPr>
            <w:tcW w:w="140" w:type="dxa"/>
            <w:vAlign w:val="bottom"/>
            <w:tcBorders>
              <w:top w:val="single" w:sz="8" w:color="CCEEFF"/>
            </w:tcBorders>
            <w:gridSpan w:val="5"/>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10.23#</w:t>
            </w:r>
          </w:p>
        </w:tc>
        <w:tc>
          <w:tcPr>
            <w:tcW w:w="5640" w:type="dxa"/>
            <w:vAlign w:val="bottom"/>
            <w:gridSpan w:val="26"/>
            <w:shd w:val="clear" w:color="auto" w:fill="CCEEFF"/>
          </w:tcPr>
          <w:p>
            <w:pPr>
              <w:spacing w:after="0" w:line="126" w:lineRule="exact"/>
              <w:rPr>
                <w:rFonts w:ascii="Arial" w:cs="Arial" w:eastAsia="Arial" w:hAnsi="Arial"/>
                <w:sz w:val="12"/>
                <w:szCs w:val="12"/>
                <w:color w:val="0000FF"/>
                <w:w w:val="99"/>
              </w:rPr>
            </w:pPr>
            <w:hyperlink r:id="rId147">
              <w:r>
                <w:rPr>
                  <w:rFonts w:ascii="Arial" w:cs="Arial" w:eastAsia="Arial" w:hAnsi="Arial"/>
                  <w:sz w:val="12"/>
                  <w:szCs w:val="12"/>
                  <w:color w:val="0000FF"/>
                  <w:w w:val="99"/>
                </w:rPr>
                <w:t>BioMe Biospecimen and Data Access Agreement, dated as of July 19, 2019, by and between Icahn School</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10.25</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0000FF"/>
            </w:tcBorders>
            <w:gridSpan w:val="22"/>
            <w:shd w:val="clear" w:color="auto" w:fill="CCEEFF"/>
          </w:tcPr>
          <w:p>
            <w:pPr>
              <w:spacing w:after="0" w:line="106" w:lineRule="exact"/>
              <w:rPr>
                <w:rFonts w:ascii="Arial" w:cs="Arial" w:eastAsia="Arial" w:hAnsi="Arial"/>
                <w:sz w:val="12"/>
                <w:szCs w:val="12"/>
                <w:color w:val="0000FF"/>
              </w:rPr>
            </w:pPr>
            <w:hyperlink r:id="rId147">
              <w:r>
                <w:rPr>
                  <w:rFonts w:ascii="Arial" w:cs="Arial" w:eastAsia="Arial" w:hAnsi="Arial"/>
                  <w:sz w:val="12"/>
                  <w:szCs w:val="12"/>
                  <w:color w:val="0000FF"/>
                </w:rPr>
                <w:t>of Medicine at Mount Sinai and the Company.</w:t>
              </w:r>
            </w:hyperlink>
          </w:p>
        </w:tc>
        <w:tc>
          <w:tcPr>
            <w:tcW w:w="10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10.24#</w:t>
            </w:r>
          </w:p>
        </w:tc>
        <w:tc>
          <w:tcPr>
            <w:tcW w:w="5640" w:type="dxa"/>
            <w:vAlign w:val="bottom"/>
            <w:gridSpan w:val="26"/>
            <w:shd w:val="clear" w:color="auto" w:fill="CCEEFF"/>
          </w:tcPr>
          <w:p>
            <w:pPr>
              <w:spacing w:after="0" w:line="126" w:lineRule="exact"/>
              <w:rPr>
                <w:rFonts w:ascii="Arial" w:cs="Arial" w:eastAsia="Arial" w:hAnsi="Arial"/>
                <w:sz w:val="12"/>
                <w:szCs w:val="12"/>
                <w:color w:val="0000FF"/>
                <w:w w:val="96"/>
              </w:rPr>
            </w:pPr>
            <w:hyperlink r:id="rId148">
              <w:r>
                <w:rPr>
                  <w:rFonts w:ascii="Arial" w:cs="Arial" w:eastAsia="Arial" w:hAnsi="Arial"/>
                  <w:sz w:val="12"/>
                  <w:szCs w:val="12"/>
                  <w:color w:val="0000FF"/>
                  <w:w w:val="96"/>
                </w:rPr>
                <w:t>Non-Exclusive Patent License Agreement, dated as of June 1, 2017, by and between the Company and Icahn</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10.26</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220" w:type="dxa"/>
            <w:vAlign w:val="bottom"/>
            <w:tcBorders>
              <w:top w:val="single" w:sz="8" w:color="0000FF"/>
            </w:tcBorders>
            <w:gridSpan w:val="24"/>
            <w:shd w:val="clear" w:color="auto" w:fill="CCEEFF"/>
          </w:tcPr>
          <w:p>
            <w:pPr>
              <w:spacing w:after="0" w:line="106" w:lineRule="exact"/>
              <w:rPr>
                <w:rFonts w:ascii="Arial" w:cs="Arial" w:eastAsia="Arial" w:hAnsi="Arial"/>
                <w:sz w:val="12"/>
                <w:szCs w:val="12"/>
                <w:color w:val="0000FF"/>
              </w:rPr>
            </w:pPr>
            <w:hyperlink r:id="rId148">
              <w:r>
                <w:rPr>
                  <w:rFonts w:ascii="Arial" w:cs="Arial" w:eastAsia="Arial" w:hAnsi="Arial"/>
                  <w:sz w:val="12"/>
                  <w:szCs w:val="12"/>
                  <w:color w:val="0000FF"/>
                </w:rPr>
                <w:t>School of Medicine at Mount Sinai.</w:t>
              </w:r>
            </w:hyperlink>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10.25#</w:t>
            </w:r>
          </w:p>
        </w:tc>
        <w:tc>
          <w:tcPr>
            <w:tcW w:w="5640" w:type="dxa"/>
            <w:vAlign w:val="bottom"/>
            <w:gridSpan w:val="26"/>
            <w:shd w:val="clear" w:color="auto" w:fill="CCEEFF"/>
          </w:tcPr>
          <w:p>
            <w:pPr>
              <w:spacing w:after="0" w:line="126" w:lineRule="exact"/>
              <w:rPr>
                <w:rFonts w:ascii="Arial" w:cs="Arial" w:eastAsia="Arial" w:hAnsi="Arial"/>
                <w:sz w:val="12"/>
                <w:szCs w:val="12"/>
                <w:color w:val="0000FF"/>
              </w:rPr>
            </w:pPr>
            <w:hyperlink r:id="rId149">
              <w:r>
                <w:rPr>
                  <w:rFonts w:ascii="Arial" w:cs="Arial" w:eastAsia="Arial" w:hAnsi="Arial"/>
                  <w:sz w:val="12"/>
                  <w:szCs w:val="12"/>
                  <w:color w:val="0000FF"/>
                </w:rPr>
                <w:t>Supply Agreement, dated as of June 20, 2014, by and between the Company and Illumina, Inc., and</w:t>
              </w:r>
            </w:hyperlink>
          </w:p>
        </w:tc>
        <w:tc>
          <w:tcPr>
            <w:tcW w:w="12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8-K</w:t>
            </w:r>
          </w:p>
        </w:tc>
        <w:tc>
          <w:tcPr>
            <w:tcW w:w="1540" w:type="dxa"/>
            <w:vAlign w:val="bottom"/>
            <w:shd w:val="clear" w:color="auto" w:fill="CCEEFF"/>
          </w:tcPr>
          <w:p>
            <w:pPr>
              <w:jc w:val="right"/>
              <w:ind w:right="540"/>
              <w:spacing w:after="0" w:line="126" w:lineRule="exact"/>
              <w:rPr>
                <w:sz w:val="20"/>
                <w:szCs w:val="20"/>
                <w:color w:val="auto"/>
              </w:rPr>
            </w:pPr>
            <w:r>
              <w:rPr>
                <w:rFonts w:ascii="Arial" w:cs="Arial" w:eastAsia="Arial" w:hAnsi="Arial"/>
                <w:sz w:val="12"/>
                <w:szCs w:val="12"/>
                <w:color w:val="auto"/>
              </w:rPr>
              <w:t>10.27</w:t>
            </w:r>
          </w:p>
        </w:tc>
        <w:tc>
          <w:tcPr>
            <w:tcW w:w="1600" w:type="dxa"/>
            <w:vAlign w:val="bottom"/>
            <w:shd w:val="clear" w:color="auto" w:fill="CCEEFF"/>
          </w:tcPr>
          <w:p>
            <w:pPr>
              <w:jc w:val="right"/>
              <w:ind w:right="400"/>
              <w:spacing w:after="0" w:line="126" w:lineRule="exact"/>
              <w:rPr>
                <w:sz w:val="20"/>
                <w:szCs w:val="20"/>
                <w:color w:val="auto"/>
              </w:rPr>
            </w:pPr>
            <w:r>
              <w:rPr>
                <w:rFonts w:ascii="Arial" w:cs="Arial" w:eastAsia="Arial" w:hAnsi="Arial"/>
                <w:sz w:val="12"/>
                <w:szCs w:val="12"/>
                <w:color w:val="auto"/>
              </w:rPr>
              <w:t>07/28/2021</w:t>
            </w: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800" w:type="dxa"/>
            <w:vAlign w:val="bottom"/>
            <w:tcBorders>
              <w:top w:val="single" w:sz="8" w:color="0000FF"/>
            </w:tcBorders>
            <w:gridSpan w:val="12"/>
            <w:shd w:val="clear" w:color="auto" w:fill="CCEEFF"/>
          </w:tcPr>
          <w:p>
            <w:pPr>
              <w:spacing w:after="0" w:line="106" w:lineRule="exact"/>
              <w:rPr>
                <w:rFonts w:ascii="Arial" w:cs="Arial" w:eastAsia="Arial" w:hAnsi="Arial"/>
                <w:sz w:val="12"/>
                <w:szCs w:val="12"/>
                <w:color w:val="0000FF"/>
              </w:rPr>
            </w:pPr>
            <w:hyperlink r:id="rId149">
              <w:r>
                <w:rPr>
                  <w:rFonts w:ascii="Arial" w:cs="Arial" w:eastAsia="Arial" w:hAnsi="Arial"/>
                  <w:sz w:val="12"/>
                  <w:szCs w:val="12"/>
                  <w:color w:val="0000FF"/>
                </w:rPr>
                <w:t>amendments thereto.</w:t>
              </w:r>
            </w:hyperlink>
          </w:p>
        </w:tc>
        <w:tc>
          <w:tcPr>
            <w:tcW w:w="80" w:type="dxa"/>
            <w:vAlign w:val="bottom"/>
            <w:tcBorders>
              <w:top w:val="single" w:sz="8" w:color="CCEEFF"/>
            </w:tcBorders>
            <w:gridSpan w:val="3"/>
            <w:shd w:val="clear" w:color="auto" w:fill="CCEEFF"/>
          </w:tcPr>
          <w:p>
            <w:pPr>
              <w:spacing w:after="0"/>
              <w:rPr>
                <w:sz w:val="10"/>
                <w:szCs w:val="10"/>
                <w:color w:val="auto"/>
              </w:rPr>
            </w:pPr>
          </w:p>
        </w:tc>
        <w:tc>
          <w:tcPr>
            <w:tcW w:w="360" w:type="dxa"/>
            <w:vAlign w:val="bottom"/>
            <w:tcBorders>
              <w:top w:val="single" w:sz="8" w:color="CCEEFF"/>
            </w:tcBorders>
            <w:gridSpan w:val="10"/>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7"/>
              </w:rPr>
              <w:t>10.26*</w:t>
            </w:r>
          </w:p>
        </w:tc>
        <w:tc>
          <w:tcPr>
            <w:tcW w:w="5640" w:type="dxa"/>
            <w:vAlign w:val="bottom"/>
            <w:gridSpan w:val="26"/>
            <w:shd w:val="clear" w:color="auto" w:fill="CCEEFF"/>
          </w:tcPr>
          <w:p>
            <w:pPr>
              <w:spacing w:after="0" w:line="126" w:lineRule="exact"/>
              <w:rPr>
                <w:rFonts w:ascii="Arial" w:cs="Arial" w:eastAsia="Arial" w:hAnsi="Arial"/>
                <w:sz w:val="12"/>
                <w:szCs w:val="12"/>
                <w:color w:val="0000FF"/>
                <w:w w:val="98"/>
              </w:rPr>
            </w:pPr>
            <w:hyperlink w:anchor="page97">
              <w:r>
                <w:rPr>
                  <w:rFonts w:ascii="Arial" w:cs="Arial" w:eastAsia="Arial" w:hAnsi="Arial"/>
                  <w:sz w:val="12"/>
                  <w:szCs w:val="12"/>
                  <w:color w:val="0000FF"/>
                  <w:w w:val="98"/>
                </w:rPr>
                <w:t>Loan and Security Agreement, dated as of November 15, 2021, between Silicon Valley Bank, the Company</w:t>
              </w:r>
            </w:hyperlink>
          </w:p>
        </w:tc>
        <w:tc>
          <w:tcPr>
            <w:tcW w:w="12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5240" w:type="dxa"/>
            <w:vAlign w:val="bottom"/>
            <w:tcBorders>
              <w:top w:val="single" w:sz="8" w:color="0000FF"/>
            </w:tcBorders>
            <w:gridSpan w:val="25"/>
            <w:shd w:val="clear" w:color="auto" w:fill="CCEEFF"/>
          </w:tcPr>
          <w:p>
            <w:pPr>
              <w:spacing w:after="0" w:line="106" w:lineRule="exact"/>
              <w:rPr>
                <w:rFonts w:ascii="Arial" w:cs="Arial" w:eastAsia="Arial" w:hAnsi="Arial"/>
                <w:sz w:val="12"/>
                <w:szCs w:val="12"/>
                <w:color w:val="0000FF"/>
              </w:rPr>
            </w:pPr>
            <w:hyperlink w:anchor="page97">
              <w:r>
                <w:rPr>
                  <w:rFonts w:ascii="Arial" w:cs="Arial" w:eastAsia="Arial" w:hAnsi="Arial"/>
                  <w:sz w:val="12"/>
                  <w:szCs w:val="12"/>
                  <w:color w:val="0000FF"/>
                </w:rPr>
                <w:t>and Sema4 OpCo, Inc.</w:t>
              </w:r>
            </w:hyperlink>
          </w:p>
        </w:tc>
        <w:tc>
          <w:tcPr>
            <w:tcW w:w="4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w w:val="92"/>
              </w:rPr>
              <w:t>31.1*</w:t>
            </w:r>
          </w:p>
        </w:tc>
        <w:tc>
          <w:tcPr>
            <w:tcW w:w="5640" w:type="dxa"/>
            <w:vAlign w:val="bottom"/>
            <w:gridSpan w:val="26"/>
            <w:shd w:val="clear" w:color="auto" w:fill="CCEEFF"/>
          </w:tcPr>
          <w:p>
            <w:pPr>
              <w:spacing w:after="0" w:line="126" w:lineRule="exact"/>
              <w:rPr>
                <w:rFonts w:ascii="Arial" w:cs="Arial" w:eastAsia="Arial" w:hAnsi="Arial"/>
                <w:sz w:val="12"/>
                <w:szCs w:val="12"/>
                <w:color w:val="0000FF"/>
              </w:rPr>
            </w:pPr>
            <w:hyperlink w:anchor="page146">
              <w:r>
                <w:rPr>
                  <w:rFonts w:ascii="Arial" w:cs="Arial" w:eastAsia="Arial" w:hAnsi="Arial"/>
                  <w:sz w:val="12"/>
                  <w:szCs w:val="12"/>
                  <w:color w:val="0000FF"/>
                </w:rPr>
                <w:t>Certification of Principal Executive Officer Pursuant to Securities Exchange Act Rules 13a-14(a) and</w:t>
              </w:r>
            </w:hyperlink>
          </w:p>
        </w:tc>
        <w:tc>
          <w:tcPr>
            <w:tcW w:w="12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220" w:type="dxa"/>
            <w:vAlign w:val="bottom"/>
            <w:tcBorders>
              <w:top w:val="single" w:sz="8" w:color="CCEEFF"/>
              <w:bottom w:val="single" w:sz="8" w:color="CCEEFF"/>
            </w:tcBorders>
            <w:shd w:val="clear" w:color="auto" w:fill="CCEEFF"/>
          </w:tcPr>
          <w:p>
            <w:pPr>
              <w:spacing w:after="0"/>
              <w:rPr>
                <w:sz w:val="10"/>
                <w:szCs w:val="10"/>
                <w:color w:val="auto"/>
              </w:rPr>
            </w:pPr>
          </w:p>
        </w:tc>
        <w:tc>
          <w:tcPr>
            <w:tcW w:w="4040" w:type="dxa"/>
            <w:vAlign w:val="bottom"/>
            <w:tcBorders>
              <w:top w:val="single" w:sz="8" w:color="0000FF"/>
              <w:bottom w:val="single" w:sz="8" w:color="0000FF"/>
            </w:tcBorders>
            <w:gridSpan w:val="11"/>
            <w:shd w:val="clear" w:color="auto" w:fill="CCEEFF"/>
          </w:tcPr>
          <w:p>
            <w:pPr>
              <w:spacing w:after="0" w:line="106" w:lineRule="exact"/>
              <w:rPr>
                <w:rFonts w:ascii="Arial" w:cs="Arial" w:eastAsia="Arial" w:hAnsi="Arial"/>
                <w:sz w:val="12"/>
                <w:szCs w:val="12"/>
                <w:color w:val="0000FF"/>
                <w:w w:val="89"/>
              </w:rPr>
            </w:pPr>
            <w:hyperlink w:anchor="page146">
              <w:r>
                <w:rPr>
                  <w:rFonts w:ascii="Arial" w:cs="Arial" w:eastAsia="Arial" w:hAnsi="Arial"/>
                  <w:sz w:val="12"/>
                  <w:szCs w:val="12"/>
                  <w:color w:val="0000FF"/>
                  <w:w w:val="89"/>
                </w:rPr>
                <w:t>15(d)-14(a), as adopted Pursuant to Section 302 of the Sarbanes-Oxley Act of 2002.</w:t>
              </w:r>
            </w:hyperlink>
          </w:p>
        </w:tc>
        <w:tc>
          <w:tcPr>
            <w:tcW w:w="840" w:type="dxa"/>
            <w:vAlign w:val="bottom"/>
            <w:tcBorders>
              <w:top w:val="single" w:sz="8" w:color="0000FF"/>
              <w:bottom w:val="single" w:sz="8" w:color="CCEEFF"/>
            </w:tcBorders>
            <w:gridSpan w:val="4"/>
            <w:shd w:val="clear" w:color="auto" w:fill="CCEEFF"/>
          </w:tcPr>
          <w:p>
            <w:pPr>
              <w:spacing w:after="0"/>
              <w:rPr>
                <w:sz w:val="10"/>
                <w:szCs w:val="10"/>
                <w:color w:val="auto"/>
              </w:rPr>
            </w:pPr>
          </w:p>
        </w:tc>
        <w:tc>
          <w:tcPr>
            <w:tcW w:w="760" w:type="dxa"/>
            <w:vAlign w:val="bottom"/>
            <w:tcBorders>
              <w:top w:val="single" w:sz="8" w:color="CCEEFF"/>
              <w:bottom w:val="single" w:sz="8" w:color="CCEEFF"/>
            </w:tcBorders>
            <w:gridSpan w:val="11"/>
            <w:shd w:val="clear" w:color="auto" w:fill="CCEEFF"/>
          </w:tcPr>
          <w:p>
            <w:pPr>
              <w:spacing w:after="0"/>
              <w:rPr>
                <w:sz w:val="10"/>
                <w:szCs w:val="10"/>
                <w:color w:val="auto"/>
              </w:rPr>
            </w:pPr>
          </w:p>
        </w:tc>
        <w:tc>
          <w:tcPr>
            <w:tcW w:w="1260" w:type="dxa"/>
            <w:vAlign w:val="bottom"/>
            <w:tcBorders>
              <w:top w:val="single" w:sz="8" w:color="CCEEFF"/>
              <w:bottom w:val="single" w:sz="8" w:color="CCEEFF"/>
            </w:tcBorders>
            <w:shd w:val="clear" w:color="auto" w:fill="CCEEFF"/>
          </w:tcPr>
          <w:p>
            <w:pPr>
              <w:spacing w:after="0"/>
              <w:rPr>
                <w:sz w:val="10"/>
                <w:szCs w:val="10"/>
                <w:color w:val="auto"/>
              </w:rPr>
            </w:pPr>
          </w:p>
        </w:tc>
        <w:tc>
          <w:tcPr>
            <w:tcW w:w="1540" w:type="dxa"/>
            <w:vAlign w:val="bottom"/>
            <w:tcBorders>
              <w:top w:val="single" w:sz="8" w:color="CCEEFF"/>
              <w:bottom w:val="single" w:sz="8" w:color="CCEEFF"/>
            </w:tcBorders>
            <w:shd w:val="clear" w:color="auto" w:fill="CCEEFF"/>
          </w:tcPr>
          <w:p>
            <w:pPr>
              <w:spacing w:after="0"/>
              <w:rPr>
                <w:sz w:val="10"/>
                <w:szCs w:val="10"/>
                <w:color w:val="auto"/>
              </w:rPr>
            </w:pPr>
          </w:p>
        </w:tc>
        <w:tc>
          <w:tcPr>
            <w:tcW w:w="16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495"/>
        </w:trPr>
        <w:tc>
          <w:tcPr>
            <w:tcW w:w="1220" w:type="dxa"/>
            <w:vAlign w:val="bottom"/>
          </w:tcPr>
          <w:p>
            <w:pPr>
              <w:spacing w:after="0"/>
              <w:rPr>
                <w:sz w:val="24"/>
                <w:szCs w:val="24"/>
                <w:color w:val="auto"/>
              </w:rPr>
            </w:pPr>
          </w:p>
        </w:tc>
        <w:tc>
          <w:tcPr>
            <w:tcW w:w="4800" w:type="dxa"/>
            <w:vAlign w:val="bottom"/>
            <w:gridSpan w:val="12"/>
          </w:tcPr>
          <w:p>
            <w:pPr>
              <w:ind w:left="4480"/>
              <w:spacing w:after="0"/>
              <w:rPr>
                <w:sz w:val="20"/>
                <w:szCs w:val="20"/>
                <w:color w:val="auto"/>
              </w:rPr>
            </w:pPr>
            <w:r>
              <w:rPr>
                <w:rFonts w:ascii="Arial" w:cs="Arial" w:eastAsia="Arial" w:hAnsi="Arial"/>
                <w:sz w:val="12"/>
                <w:szCs w:val="12"/>
                <w:color w:val="auto"/>
              </w:rPr>
              <w:t>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0"/>
        </w:trPr>
        <w:tc>
          <w:tcPr>
            <w:tcW w:w="12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94" w:name="page95"/>
    <w:bookmarkEnd w:id="9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92"/>
              </w:rPr>
              <w:t>31.2*</w:t>
            </w:r>
          </w:p>
        </w:tc>
        <w:tc>
          <w:tcPr>
            <w:tcW w:w="10040" w:type="dxa"/>
            <w:vAlign w:val="bottom"/>
            <w:gridSpan w:val="6"/>
            <w:shd w:val="clear" w:color="auto" w:fill="CCEEFF"/>
          </w:tcPr>
          <w:p>
            <w:pPr>
              <w:spacing w:after="0"/>
              <w:rPr>
                <w:rFonts w:ascii="Arial" w:cs="Arial" w:eastAsia="Arial" w:hAnsi="Arial"/>
                <w:sz w:val="12"/>
                <w:szCs w:val="12"/>
                <w:color w:val="0000FF"/>
              </w:rPr>
            </w:pPr>
            <w:hyperlink w:anchor="page147">
              <w:r>
                <w:rPr>
                  <w:rFonts w:ascii="Arial" w:cs="Arial" w:eastAsia="Arial" w:hAnsi="Arial"/>
                  <w:sz w:val="12"/>
                  <w:szCs w:val="12"/>
                  <w:color w:val="0000FF"/>
                </w:rPr>
                <w:t>Certification of Principal Financial Officer Pursuant to Securities Exchange Act Rules 13a-14(a) and</w:t>
              </w:r>
            </w:hyperlink>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840" w:type="dxa"/>
            <w:vAlign w:val="bottom"/>
            <w:tcBorders>
              <w:top w:val="single" w:sz="8" w:color="0000FF"/>
            </w:tcBorders>
            <w:gridSpan w:val="3"/>
            <w:shd w:val="clear" w:color="auto" w:fill="CCEEFF"/>
          </w:tcPr>
          <w:p>
            <w:pPr>
              <w:spacing w:after="0" w:line="106" w:lineRule="exact"/>
              <w:rPr>
                <w:rFonts w:ascii="Arial" w:cs="Arial" w:eastAsia="Arial" w:hAnsi="Arial"/>
                <w:sz w:val="12"/>
                <w:szCs w:val="12"/>
                <w:color w:val="0000FF"/>
              </w:rPr>
            </w:pPr>
            <w:hyperlink w:anchor="page147">
              <w:r>
                <w:rPr>
                  <w:rFonts w:ascii="Arial" w:cs="Arial" w:eastAsia="Arial" w:hAnsi="Arial"/>
                  <w:sz w:val="12"/>
                  <w:szCs w:val="12"/>
                  <w:color w:val="0000FF"/>
                </w:rPr>
                <w:t>15(d)-14(a), as adopted Pursuant to Section 302 of the Sarbanes-Oxley Act of 2002.</w:t>
              </w:r>
            </w:hyperlink>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080" w:type="dxa"/>
            <w:vAlign w:val="bottom"/>
            <w:tcBorders>
              <w:top w:val="single" w:sz="8" w:color="CCEEFF"/>
            </w:tcBorders>
            <w:shd w:val="clear" w:color="auto" w:fill="CCEEFF"/>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80" w:type="dxa"/>
            <w:vAlign w:val="bottom"/>
            <w:tcBorders>
              <w:top w:val="single" w:sz="8" w:color="CCEEFF"/>
            </w:tcBorders>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rPr>
              <w:t>32.1**</w:t>
            </w:r>
          </w:p>
        </w:tc>
        <w:tc>
          <w:tcPr>
            <w:tcW w:w="10040" w:type="dxa"/>
            <w:vAlign w:val="bottom"/>
            <w:gridSpan w:val="6"/>
            <w:shd w:val="clear" w:color="auto" w:fill="CCEEFF"/>
          </w:tcPr>
          <w:p>
            <w:pPr>
              <w:spacing w:after="0" w:line="126" w:lineRule="exact"/>
              <w:rPr>
                <w:rFonts w:ascii="Arial" w:cs="Arial" w:eastAsia="Arial" w:hAnsi="Arial"/>
                <w:sz w:val="12"/>
                <w:szCs w:val="12"/>
                <w:color w:val="0000FF"/>
              </w:rPr>
            </w:pPr>
            <w:hyperlink w:anchor="page148">
              <w:r>
                <w:rPr>
                  <w:rFonts w:ascii="Arial" w:cs="Arial" w:eastAsia="Arial" w:hAnsi="Arial"/>
                  <w:sz w:val="12"/>
                  <w:szCs w:val="12"/>
                  <w:color w:val="0000FF"/>
                </w:rPr>
                <w:t>Certification of Principal Executive Officer Pursuant to 18 U.S.C. Section 1350, as adopted Pursuant to</w:t>
              </w:r>
            </w:hyperlink>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960" w:type="dxa"/>
            <w:vAlign w:val="bottom"/>
            <w:tcBorders>
              <w:top w:val="single" w:sz="8" w:color="0000FF"/>
            </w:tcBorders>
            <w:gridSpan w:val="5"/>
            <w:shd w:val="clear" w:color="auto" w:fill="CCEEFF"/>
          </w:tcPr>
          <w:p>
            <w:pPr>
              <w:spacing w:after="0" w:line="106" w:lineRule="exact"/>
              <w:rPr>
                <w:rFonts w:ascii="Arial" w:cs="Arial" w:eastAsia="Arial" w:hAnsi="Arial"/>
                <w:sz w:val="12"/>
                <w:szCs w:val="12"/>
                <w:color w:val="0000FF"/>
              </w:rPr>
            </w:pPr>
            <w:hyperlink w:anchor="page148">
              <w:r>
                <w:rPr>
                  <w:rFonts w:ascii="Arial" w:cs="Arial" w:eastAsia="Arial" w:hAnsi="Arial"/>
                  <w:sz w:val="12"/>
                  <w:szCs w:val="12"/>
                  <w:color w:val="0000FF"/>
                </w:rPr>
                <w:t>Section 906 of the Sarbanes-Oxley Act of 2002.</w:t>
              </w:r>
            </w:hyperlink>
          </w:p>
        </w:tc>
        <w:tc>
          <w:tcPr>
            <w:tcW w:w="5080" w:type="dxa"/>
            <w:vAlign w:val="bottom"/>
            <w:tcBorders>
              <w:top w:val="single" w:sz="8" w:color="CCEEFF"/>
            </w:tcBorders>
            <w:shd w:val="clear" w:color="auto" w:fill="CCEEFF"/>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80" w:type="dxa"/>
            <w:vAlign w:val="bottom"/>
            <w:tcBorders>
              <w:top w:val="single" w:sz="8" w:color="CCEEFF"/>
            </w:tcBorders>
          </w:tcPr>
          <w:p>
            <w:pPr>
              <w:spacing w:after="0"/>
              <w:rPr>
                <w:sz w:val="15"/>
                <w:szCs w:val="15"/>
                <w:color w:val="auto"/>
              </w:rPr>
            </w:pPr>
          </w:p>
        </w:tc>
      </w:tr>
      <w:tr>
        <w:trPr>
          <w:trHeight w:val="126"/>
        </w:trPr>
        <w:tc>
          <w:tcPr>
            <w:tcW w:w="1220" w:type="dxa"/>
            <w:vAlign w:val="bottom"/>
            <w:shd w:val="clear" w:color="auto" w:fill="CCEEFF"/>
          </w:tcPr>
          <w:p>
            <w:pPr>
              <w:jc w:val="center"/>
              <w:ind w:right="100"/>
              <w:spacing w:after="0" w:line="126" w:lineRule="exact"/>
              <w:rPr>
                <w:sz w:val="20"/>
                <w:szCs w:val="20"/>
                <w:color w:val="auto"/>
              </w:rPr>
            </w:pPr>
            <w:r>
              <w:rPr>
                <w:rFonts w:ascii="Arial" w:cs="Arial" w:eastAsia="Arial" w:hAnsi="Arial"/>
                <w:sz w:val="12"/>
                <w:szCs w:val="12"/>
                <w:color w:val="auto"/>
              </w:rPr>
              <w:t>32.2**</w:t>
            </w:r>
          </w:p>
        </w:tc>
        <w:tc>
          <w:tcPr>
            <w:tcW w:w="10040" w:type="dxa"/>
            <w:vAlign w:val="bottom"/>
            <w:gridSpan w:val="6"/>
            <w:shd w:val="clear" w:color="auto" w:fill="CCEEFF"/>
          </w:tcPr>
          <w:p>
            <w:pPr>
              <w:spacing w:after="0" w:line="126" w:lineRule="exact"/>
              <w:rPr>
                <w:rFonts w:ascii="Arial" w:cs="Arial" w:eastAsia="Arial" w:hAnsi="Arial"/>
                <w:sz w:val="12"/>
                <w:szCs w:val="12"/>
                <w:color w:val="0000FF"/>
              </w:rPr>
            </w:pPr>
            <w:hyperlink w:anchor="page149">
              <w:r>
                <w:rPr>
                  <w:rFonts w:ascii="Arial" w:cs="Arial" w:eastAsia="Arial" w:hAnsi="Arial"/>
                  <w:sz w:val="12"/>
                  <w:szCs w:val="12"/>
                  <w:color w:val="0000FF"/>
                </w:rPr>
                <w:t>Certification of Principal Financial Officer Pursuant to 18 U.S.C. Section 1350, as adopted Pursuant to</w:t>
              </w:r>
            </w:hyperlink>
          </w:p>
        </w:tc>
      </w:tr>
      <w:tr>
        <w:trPr>
          <w:trHeight w:val="122"/>
        </w:trPr>
        <w:tc>
          <w:tcPr>
            <w:tcW w:w="1220" w:type="dxa"/>
            <w:vAlign w:val="bottom"/>
            <w:tcBorders>
              <w:top w:val="single" w:sz="8" w:color="CCEEFF"/>
            </w:tcBorders>
            <w:shd w:val="clear" w:color="auto" w:fill="CCEEFF"/>
          </w:tcPr>
          <w:p>
            <w:pPr>
              <w:spacing w:after="0"/>
              <w:rPr>
                <w:sz w:val="10"/>
                <w:szCs w:val="10"/>
                <w:color w:val="auto"/>
              </w:rPr>
            </w:pPr>
          </w:p>
        </w:tc>
        <w:tc>
          <w:tcPr>
            <w:tcW w:w="4940" w:type="dxa"/>
            <w:vAlign w:val="bottom"/>
            <w:tcBorders>
              <w:top w:val="single" w:sz="8" w:color="0000FF"/>
            </w:tcBorders>
            <w:gridSpan w:val="4"/>
            <w:shd w:val="clear" w:color="auto" w:fill="CCEEFF"/>
          </w:tcPr>
          <w:p>
            <w:pPr>
              <w:spacing w:after="0" w:line="106" w:lineRule="exact"/>
              <w:rPr>
                <w:rFonts w:ascii="Arial" w:cs="Arial" w:eastAsia="Arial" w:hAnsi="Arial"/>
                <w:sz w:val="12"/>
                <w:szCs w:val="12"/>
                <w:color w:val="0000FF"/>
              </w:rPr>
            </w:pPr>
            <w:hyperlink w:anchor="page149">
              <w:r>
                <w:rPr>
                  <w:rFonts w:ascii="Arial" w:cs="Arial" w:eastAsia="Arial" w:hAnsi="Arial"/>
                  <w:sz w:val="12"/>
                  <w:szCs w:val="12"/>
                  <w:color w:val="0000FF"/>
                </w:rPr>
                <w:t>Section 906 of the Sarbanes-Oxley Act of 2002.</w:t>
              </w:r>
            </w:hyperlink>
          </w:p>
        </w:tc>
        <w:tc>
          <w:tcPr>
            <w:tcW w:w="5100" w:type="dxa"/>
            <w:vAlign w:val="bottom"/>
            <w:tcBorders>
              <w:top w:val="single" w:sz="8" w:color="CCEEFF"/>
            </w:tcBorders>
            <w:gridSpan w:val="2"/>
            <w:shd w:val="clear" w:color="auto" w:fill="CCEEFF"/>
          </w:tcPr>
          <w:p>
            <w:pPr>
              <w:spacing w:after="0"/>
              <w:rPr>
                <w:sz w:val="10"/>
                <w:szCs w:val="10"/>
                <w:color w:val="auto"/>
              </w:rPr>
            </w:pPr>
          </w:p>
        </w:tc>
      </w:tr>
      <w:tr>
        <w:trPr>
          <w:trHeight w:val="180"/>
        </w:trPr>
        <w:tc>
          <w:tcPr>
            <w:tcW w:w="12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80" w:type="dxa"/>
            <w:vAlign w:val="bottom"/>
            <w:tcBorders>
              <w:top w:val="single" w:sz="8" w:color="CCEEFF"/>
            </w:tcBorders>
          </w:tcPr>
          <w:p>
            <w:pPr>
              <w:spacing w:after="0"/>
              <w:rPr>
                <w:sz w:val="15"/>
                <w:szCs w:val="15"/>
                <w:color w:val="auto"/>
              </w:rPr>
            </w:pPr>
          </w:p>
        </w:tc>
      </w:tr>
      <w:tr>
        <w:trPr>
          <w:trHeight w:val="162"/>
        </w:trPr>
        <w:tc>
          <w:tcPr>
            <w:tcW w:w="12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92"/>
              </w:rPr>
              <w:t>101.INS</w:t>
            </w:r>
          </w:p>
        </w:tc>
        <w:tc>
          <w:tcPr>
            <w:tcW w:w="100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XBRL Instance Document</w:t>
            </w:r>
          </w:p>
        </w:tc>
      </w:tr>
      <w:tr>
        <w:trPr>
          <w:trHeight w:val="180"/>
        </w:trPr>
        <w:tc>
          <w:tcPr>
            <w:tcW w:w="1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162"/>
        </w:trPr>
        <w:tc>
          <w:tcPr>
            <w:tcW w:w="122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98"/>
              </w:rPr>
              <w:t>101.CAL</w:t>
            </w:r>
          </w:p>
        </w:tc>
        <w:tc>
          <w:tcPr>
            <w:tcW w:w="100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80"/>
        </w:trPr>
        <w:tc>
          <w:tcPr>
            <w:tcW w:w="1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162"/>
        </w:trPr>
        <w:tc>
          <w:tcPr>
            <w:tcW w:w="12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90"/>
              </w:rPr>
              <w:t>101.SCH</w:t>
            </w:r>
          </w:p>
        </w:tc>
        <w:tc>
          <w:tcPr>
            <w:tcW w:w="100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XBRL Taxonomy Extension Schema Document</w:t>
            </w:r>
          </w:p>
        </w:tc>
      </w:tr>
      <w:tr>
        <w:trPr>
          <w:trHeight w:val="180"/>
        </w:trPr>
        <w:tc>
          <w:tcPr>
            <w:tcW w:w="1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162"/>
        </w:trPr>
        <w:tc>
          <w:tcPr>
            <w:tcW w:w="12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92"/>
              </w:rPr>
              <w:t>101.DEF</w:t>
            </w:r>
          </w:p>
        </w:tc>
        <w:tc>
          <w:tcPr>
            <w:tcW w:w="100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80"/>
        </w:trPr>
        <w:tc>
          <w:tcPr>
            <w:tcW w:w="1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162"/>
        </w:trPr>
        <w:tc>
          <w:tcPr>
            <w:tcW w:w="122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99"/>
              </w:rPr>
              <w:t>101.LAB</w:t>
            </w:r>
          </w:p>
        </w:tc>
        <w:tc>
          <w:tcPr>
            <w:tcW w:w="100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XBRL Taxonomy Extension Labels Linkbase Document</w:t>
            </w:r>
          </w:p>
        </w:tc>
      </w:tr>
      <w:tr>
        <w:trPr>
          <w:trHeight w:val="180"/>
        </w:trPr>
        <w:tc>
          <w:tcPr>
            <w:tcW w:w="1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162"/>
        </w:trPr>
        <w:tc>
          <w:tcPr>
            <w:tcW w:w="122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87"/>
              </w:rPr>
              <w:t>101.PRE</w:t>
            </w:r>
          </w:p>
        </w:tc>
        <w:tc>
          <w:tcPr>
            <w:tcW w:w="100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155180" cy="182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55180" cy="182880"/>
                    </a:xfrm>
                    <a:prstGeom prst="rect">
                      <a:avLst/>
                    </a:prstGeom>
                    <a:noFill/>
                  </pic:spPr>
                </pic:pic>
              </a:graphicData>
            </a:graphic>
          </wp:anchor>
        </w:drawing>
      </w:r>
    </w:p>
    <w:p>
      <w:pPr>
        <w:spacing w:after="0" w:line="160" w:lineRule="exact"/>
        <w:rPr>
          <w:sz w:val="20"/>
          <w:szCs w:val="20"/>
          <w:color w:val="auto"/>
        </w:rPr>
      </w:pPr>
    </w:p>
    <w:p>
      <w:pPr>
        <w:ind w:left="1220" w:right="5380" w:hanging="778"/>
        <w:spacing w:after="0" w:line="245" w:lineRule="auto"/>
        <w:tabs>
          <w:tab w:leader="none" w:pos="12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Filed herewith.</w:t>
      </w:r>
    </w:p>
    <w:p>
      <w:pPr>
        <w:spacing w:after="0" w:line="24" w:lineRule="exact"/>
        <w:rPr>
          <w:rFonts w:ascii="Arial" w:cs="Arial" w:eastAsia="Arial" w:hAnsi="Arial"/>
          <w:sz w:val="12"/>
          <w:szCs w:val="12"/>
          <w:color w:val="auto"/>
        </w:rPr>
      </w:pPr>
    </w:p>
    <w:p>
      <w:pPr>
        <w:ind w:left="400" w:hanging="396"/>
        <w:spacing w:after="0"/>
        <w:tabs>
          <w:tab w:leader="none" w:pos="4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Furnished.</w:t>
      </w:r>
    </w:p>
    <w:p>
      <w:pPr>
        <w:spacing w:after="0" w:line="24" w:lineRule="exact"/>
        <w:rPr>
          <w:sz w:val="20"/>
          <w:szCs w:val="20"/>
          <w:color w:val="auto"/>
        </w:rPr>
      </w:pPr>
    </w:p>
    <w:p>
      <w:pPr>
        <w:ind w:left="400" w:right="6360" w:hanging="396"/>
        <w:spacing w:after="0" w:line="234" w:lineRule="auto"/>
        <w:tabs>
          <w:tab w:leader="none" w:pos="4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0" w:lineRule="exact"/>
        <w:rPr>
          <w:sz w:val="20"/>
          <w:szCs w:val="20"/>
          <w:color w:val="auto"/>
        </w:rPr>
      </w:pPr>
    </w:p>
    <w:p>
      <w:pPr>
        <w:ind w:left="400" w:hanging="396"/>
        <w:spacing w:after="0"/>
        <w:tabs>
          <w:tab w:leader="none" w:pos="4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Company has omitted portions of the exhibit as permitted under Regulation S-K Item 601(b)(10).</w:t>
      </w: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111125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40" w:right="339" w:bottom="1440" w:gutter="0" w:footer="0" w:header="0"/>
        </w:sectPr>
      </w:pPr>
    </w:p>
    <w:bookmarkStart w:id="95" w:name="page96"/>
    <w:bookmarkEnd w:id="9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Securities Exchange Act of 1934, the registrant has duly caused this report to be signed on its behalf by the undersigned, thereunto duly authorized.</w:t>
      </w:r>
    </w:p>
    <w:p>
      <w:pPr>
        <w:spacing w:after="0" w:line="20" w:lineRule="exact"/>
        <w:rPr>
          <w:sz w:val="20"/>
          <w:szCs w:val="20"/>
          <w:color w:val="auto"/>
        </w:rPr>
      </w:pPr>
    </w:p>
    <w:p>
      <w:pPr>
        <w:ind w:left="6260"/>
        <w:spacing w:after="0"/>
        <w:rPr>
          <w:sz w:val="20"/>
          <w:szCs w:val="20"/>
          <w:color w:val="auto"/>
        </w:rPr>
      </w:pPr>
      <w:r>
        <w:rPr>
          <w:rFonts w:ascii="Arial" w:cs="Arial" w:eastAsia="Arial" w:hAnsi="Arial"/>
          <w:sz w:val="12"/>
          <w:szCs w:val="12"/>
          <w:b w:val="1"/>
          <w:bCs w:val="1"/>
          <w:color w:val="auto"/>
        </w:rPr>
        <w:t>SEMA4 HOLDINGS CORP.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80" w:type="dxa"/>
            <w:vAlign w:val="bottom"/>
          </w:tcPr>
          <w:p>
            <w:pPr>
              <w:spacing w:after="0"/>
              <w:rPr>
                <w:sz w:val="20"/>
                <w:szCs w:val="20"/>
                <w:color w:val="auto"/>
              </w:rPr>
            </w:pPr>
            <w:r>
              <w:rPr>
                <w:rFonts w:ascii="Arial" w:cs="Arial" w:eastAsia="Arial" w:hAnsi="Arial"/>
                <w:sz w:val="12"/>
                <w:szCs w:val="12"/>
                <w:color w:val="auto"/>
              </w:rPr>
              <w:t>Date: November 15 , 2021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Eric Schadt</w:t>
            </w:r>
          </w:p>
        </w:tc>
      </w:tr>
      <w:tr>
        <w:trPr>
          <w:trHeight w:val="151"/>
        </w:trPr>
        <w:tc>
          <w:tcPr>
            <w:tcW w:w="7080" w:type="dxa"/>
            <w:vAlign w:val="bottom"/>
          </w:tcPr>
          <w:p>
            <w:pPr>
              <w:ind w:left="6260"/>
              <w:spacing w:after="0"/>
              <w:rPr>
                <w:sz w:val="20"/>
                <w:szCs w:val="20"/>
                <w:color w:val="auto"/>
              </w:rPr>
            </w:pPr>
            <w:r>
              <w:rPr>
                <w:rFonts w:ascii="Arial" w:cs="Arial" w:eastAsia="Arial" w:hAnsi="Arial"/>
                <w:sz w:val="12"/>
                <w:szCs w:val="12"/>
                <w:color w:val="auto"/>
              </w:rPr>
              <w:t>Name:</w:t>
            </w:r>
          </w:p>
        </w:tc>
        <w:tc>
          <w:tcPr>
            <w:tcW w:w="4220" w:type="dxa"/>
            <w:vAlign w:val="bottom"/>
          </w:tcPr>
          <w:p>
            <w:pPr>
              <w:spacing w:after="0"/>
              <w:rPr>
                <w:sz w:val="20"/>
                <w:szCs w:val="20"/>
                <w:color w:val="auto"/>
              </w:rPr>
            </w:pPr>
            <w:r>
              <w:rPr>
                <w:rFonts w:ascii="Arial" w:cs="Arial" w:eastAsia="Arial" w:hAnsi="Arial"/>
                <w:sz w:val="12"/>
                <w:szCs w:val="12"/>
                <w:color w:val="auto"/>
              </w:rPr>
              <w:t>Eric Schadt</w:t>
            </w:r>
          </w:p>
        </w:tc>
      </w:tr>
      <w:tr>
        <w:trPr>
          <w:trHeight w:val="162"/>
        </w:trPr>
        <w:tc>
          <w:tcPr>
            <w:tcW w:w="7080" w:type="dxa"/>
            <w:vAlign w:val="bottom"/>
          </w:tcPr>
          <w:p>
            <w:pPr>
              <w:ind w:left="6260"/>
              <w:spacing w:after="0"/>
              <w:rPr>
                <w:sz w:val="20"/>
                <w:szCs w:val="20"/>
                <w:color w:val="auto"/>
              </w:rPr>
            </w:pPr>
            <w:r>
              <w:rPr>
                <w:rFonts w:ascii="Arial" w:cs="Arial" w:eastAsia="Arial" w:hAnsi="Arial"/>
                <w:sz w:val="12"/>
                <w:szCs w:val="12"/>
                <w:color w:val="auto"/>
              </w:rPr>
              <w:t>Title:</w:t>
            </w:r>
          </w:p>
        </w:tc>
        <w:tc>
          <w:tcPr>
            <w:tcW w:w="4220" w:type="dxa"/>
            <w:vAlign w:val="bottom"/>
          </w:tcPr>
          <w:p>
            <w:pPr>
              <w:spacing w:after="0"/>
              <w:rPr>
                <w:sz w:val="20"/>
                <w:szCs w:val="20"/>
                <w:color w:val="auto"/>
              </w:rPr>
            </w:pPr>
            <w:r>
              <w:rPr>
                <w:rFonts w:ascii="Arial" w:cs="Arial" w:eastAsia="Arial" w:hAnsi="Arial"/>
                <w:sz w:val="12"/>
                <w:szCs w:val="12"/>
                <w:color w:val="auto"/>
              </w:rPr>
              <w:t>Chief Executive Officer and Director (Principal Executive Officer)</w:t>
            </w:r>
          </w:p>
        </w:tc>
      </w:tr>
      <w:tr>
        <w:trPr>
          <w:trHeight w:val="342"/>
        </w:trPr>
        <w:tc>
          <w:tcPr>
            <w:tcW w:w="7080" w:type="dxa"/>
            <w:vAlign w:val="bottom"/>
          </w:tcPr>
          <w:p>
            <w:pPr>
              <w:spacing w:after="0"/>
              <w:rPr>
                <w:sz w:val="20"/>
                <w:szCs w:val="20"/>
                <w:color w:val="auto"/>
              </w:rPr>
            </w:pPr>
            <w:r>
              <w:rPr>
                <w:rFonts w:ascii="Arial" w:cs="Arial" w:eastAsia="Arial" w:hAnsi="Arial"/>
                <w:sz w:val="12"/>
                <w:szCs w:val="12"/>
                <w:color w:val="auto"/>
              </w:rPr>
              <w:t>Date: November 15, 2021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Isaac Ro</w:t>
            </w:r>
          </w:p>
        </w:tc>
      </w:tr>
      <w:tr>
        <w:trPr>
          <w:trHeight w:val="151"/>
        </w:trPr>
        <w:tc>
          <w:tcPr>
            <w:tcW w:w="7080" w:type="dxa"/>
            <w:vAlign w:val="bottom"/>
          </w:tcPr>
          <w:p>
            <w:pPr>
              <w:ind w:left="6260"/>
              <w:spacing w:after="0"/>
              <w:rPr>
                <w:sz w:val="20"/>
                <w:szCs w:val="20"/>
                <w:color w:val="auto"/>
              </w:rPr>
            </w:pPr>
            <w:r>
              <w:rPr>
                <w:rFonts w:ascii="Arial" w:cs="Arial" w:eastAsia="Arial" w:hAnsi="Arial"/>
                <w:sz w:val="12"/>
                <w:szCs w:val="12"/>
                <w:color w:val="auto"/>
              </w:rPr>
              <w:t>Name:</w:t>
            </w:r>
          </w:p>
        </w:tc>
        <w:tc>
          <w:tcPr>
            <w:tcW w:w="4220" w:type="dxa"/>
            <w:vAlign w:val="bottom"/>
          </w:tcPr>
          <w:p>
            <w:pPr>
              <w:spacing w:after="0"/>
              <w:rPr>
                <w:sz w:val="20"/>
                <w:szCs w:val="20"/>
                <w:color w:val="auto"/>
              </w:rPr>
            </w:pPr>
            <w:r>
              <w:rPr>
                <w:rFonts w:ascii="Arial" w:cs="Arial" w:eastAsia="Arial" w:hAnsi="Arial"/>
                <w:sz w:val="12"/>
                <w:szCs w:val="12"/>
                <w:color w:val="auto"/>
              </w:rPr>
              <w:t>Isaac Ro</w:t>
            </w:r>
          </w:p>
        </w:tc>
      </w:tr>
      <w:tr>
        <w:trPr>
          <w:trHeight w:val="162"/>
        </w:trPr>
        <w:tc>
          <w:tcPr>
            <w:tcW w:w="7080" w:type="dxa"/>
            <w:vAlign w:val="bottom"/>
          </w:tcPr>
          <w:p>
            <w:pPr>
              <w:ind w:left="6260"/>
              <w:spacing w:after="0"/>
              <w:rPr>
                <w:sz w:val="20"/>
                <w:szCs w:val="20"/>
                <w:color w:val="auto"/>
              </w:rPr>
            </w:pPr>
            <w:r>
              <w:rPr>
                <w:rFonts w:ascii="Arial" w:cs="Arial" w:eastAsia="Arial" w:hAnsi="Arial"/>
                <w:sz w:val="12"/>
                <w:szCs w:val="12"/>
                <w:color w:val="auto"/>
              </w:rPr>
              <w:t>Title:</w:t>
            </w:r>
          </w:p>
        </w:tc>
        <w:tc>
          <w:tcPr>
            <w:tcW w:w="4220" w:type="dxa"/>
            <w:vAlign w:val="bottom"/>
          </w:tcPr>
          <w:p>
            <w:pPr>
              <w:spacing w:after="0"/>
              <w:rPr>
                <w:sz w:val="20"/>
                <w:szCs w:val="20"/>
                <w:color w:val="auto"/>
              </w:rPr>
            </w:pPr>
            <w:r>
              <w:rPr>
                <w:rFonts w:ascii="Arial" w:cs="Arial" w:eastAsia="Arial" w:hAnsi="Arial"/>
                <w:sz w:val="12"/>
                <w:szCs w:val="12"/>
                <w:color w:val="auto"/>
              </w:rPr>
              <w:t>Chief Financial Officer (Principal Financial Officer)</w:t>
            </w:r>
          </w:p>
        </w:tc>
      </w:tr>
      <w:tr>
        <w:trPr>
          <w:trHeight w:val="495"/>
        </w:trPr>
        <w:tc>
          <w:tcPr>
            <w:tcW w:w="7080" w:type="dxa"/>
            <w:vAlign w:val="bottom"/>
          </w:tcPr>
          <w:p>
            <w:pPr>
              <w:ind w:left="5700"/>
              <w:spacing w:after="0"/>
              <w:rPr>
                <w:sz w:val="20"/>
                <w:szCs w:val="20"/>
                <w:color w:val="auto"/>
              </w:rPr>
            </w:pPr>
            <w:r>
              <w:rPr>
                <w:rFonts w:ascii="Arial" w:cs="Arial" w:eastAsia="Arial" w:hAnsi="Arial"/>
                <w:sz w:val="12"/>
                <w:szCs w:val="12"/>
                <w:color w:val="auto"/>
              </w:rPr>
              <w:t>96</w:t>
            </w:r>
          </w:p>
        </w:tc>
        <w:tc>
          <w:tcPr>
            <w:tcW w:w="4220" w:type="dxa"/>
            <w:vAlign w:val="bottom"/>
          </w:tcPr>
          <w:p>
            <w:pPr>
              <w:spacing w:after="0"/>
              <w:rPr>
                <w:sz w:val="24"/>
                <w:szCs w:val="24"/>
                <w:color w:val="auto"/>
              </w:rPr>
            </w:pPr>
          </w:p>
        </w:tc>
      </w:tr>
    </w:tbl>
    <w:p>
      <w:pPr>
        <w:sectPr>
          <w:pgSz w:w="11900" w:h="16838" w:orient="portrait"/>
          <w:cols w:equalWidth="0" w:num="1">
            <w:col w:w="11300"/>
          </w:cols>
          <w:pgMar w:left="300" w:top="140"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12"/>
          <w:szCs w:val="12"/>
          <w:b w:val="1"/>
          <w:bCs w:val="1"/>
          <w:color w:val="auto"/>
        </w:rPr>
        <w:t>Exhibit 10.26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LOAN AND SECURITY AGREEMENT</w:t>
      </w:r>
    </w:p>
    <w:p>
      <w:pPr>
        <w:spacing w:after="0" w:line="159"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b w:val="1"/>
          <w:bCs w:val="1"/>
          <w:color w:val="auto"/>
        </w:rPr>
        <w:t xml:space="preserve">THIS LOAN AND SECURITY AGREEMENT </w:t>
      </w:r>
      <w:r>
        <w:rPr>
          <w:rFonts w:ascii="Arial" w:cs="Arial" w:eastAsia="Arial" w:hAnsi="Arial"/>
          <w:sz w:val="12"/>
          <w:szCs w:val="12"/>
          <w:color w:val="auto"/>
        </w:rPr>
        <w:t>(this “Agreement”) is dated as of the Effective Date between</w:t>
      </w:r>
      <w:r>
        <w:rPr>
          <w:rFonts w:ascii="Arial" w:cs="Arial" w:eastAsia="Arial" w:hAnsi="Arial"/>
          <w:sz w:val="12"/>
          <w:szCs w:val="12"/>
          <w:b w:val="1"/>
          <w:bCs w:val="1"/>
          <w:color w:val="auto"/>
        </w:rPr>
        <w:t xml:space="preserve"> SILICON VALLEY BANK</w:t>
      </w:r>
      <w:r>
        <w:rPr>
          <w:rFonts w:ascii="Arial" w:cs="Arial" w:eastAsia="Arial" w:hAnsi="Arial"/>
          <w:sz w:val="12"/>
          <w:szCs w:val="12"/>
          <w:color w:val="auto"/>
        </w:rPr>
        <w:t>, a California corporation (“</w:t>
      </w:r>
      <w:r>
        <w:rPr>
          <w:rFonts w:ascii="Arial" w:cs="Arial" w:eastAsia="Arial" w:hAnsi="Arial"/>
          <w:sz w:val="12"/>
          <w:szCs w:val="12"/>
          <w:b w:val="1"/>
          <w:bCs w:val="1"/>
          <w:color w:val="auto"/>
        </w:rPr>
        <w:t>Bank</w:t>
      </w:r>
      <w:r>
        <w:rPr>
          <w:rFonts w:ascii="Arial" w:cs="Arial" w:eastAsia="Arial" w:hAnsi="Arial"/>
          <w:sz w:val="12"/>
          <w:szCs w:val="12"/>
          <w:color w:val="auto"/>
        </w:rPr>
        <w:t>”), and the borrowers listed on Schedule I hereto</w:t>
      </w:r>
      <w:r>
        <w:rPr>
          <w:rFonts w:ascii="Arial" w:cs="Arial" w:eastAsia="Arial" w:hAnsi="Arial"/>
          <w:sz w:val="12"/>
          <w:szCs w:val="12"/>
          <w:b w:val="1"/>
          <w:bCs w:val="1"/>
          <w:color w:val="auto"/>
        </w:rPr>
        <w:t xml:space="preserve"> </w:t>
      </w:r>
      <w:r>
        <w:rPr>
          <w:rFonts w:ascii="Arial" w:cs="Arial" w:eastAsia="Arial" w:hAnsi="Arial"/>
          <w:sz w:val="12"/>
          <w:szCs w:val="12"/>
          <w:color w:val="auto"/>
        </w:rPr>
        <w:t>(individually and collectively, jointly and severally, “</w:t>
      </w:r>
      <w:r>
        <w:rPr>
          <w:rFonts w:ascii="Arial" w:cs="Arial" w:eastAsia="Arial" w:hAnsi="Arial"/>
          <w:sz w:val="12"/>
          <w:szCs w:val="12"/>
          <w:b w:val="1"/>
          <w:bCs w:val="1"/>
          <w:color w:val="auto"/>
        </w:rPr>
        <w:t>Borrower</w:t>
      </w:r>
      <w:r>
        <w:rPr>
          <w:rFonts w:ascii="Arial" w:cs="Arial" w:eastAsia="Arial" w:hAnsi="Arial"/>
          <w:sz w:val="12"/>
          <w:szCs w:val="12"/>
          <w:color w:val="auto"/>
        </w:rPr>
        <w:t>”). The parties agree as follows:</w:t>
      </w:r>
    </w:p>
    <w:p>
      <w:pPr>
        <w:spacing w:after="0" w:line="107" w:lineRule="exact"/>
        <w:rPr>
          <w:sz w:val="20"/>
          <w:szCs w:val="20"/>
          <w:color w:val="auto"/>
        </w:rPr>
      </w:pPr>
    </w:p>
    <w:p>
      <w:pPr>
        <w:ind w:left="860" w:hanging="436"/>
        <w:spacing w:after="0"/>
        <w:tabs>
          <w:tab w:leader="none" w:pos="860"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LOAN AND TERMS OF PAYMENT</w:t>
      </w:r>
    </w:p>
    <w:p>
      <w:pPr>
        <w:spacing w:after="0" w:line="141"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1.1</w:t>
      </w:r>
      <w:r>
        <w:rPr>
          <w:rFonts w:ascii="Arial" w:cs="Arial" w:eastAsia="Arial" w:hAnsi="Arial"/>
          <w:sz w:val="10"/>
          <w:szCs w:val="10"/>
          <w:b w:val="1"/>
          <w:bCs w:val="1"/>
          <w:color w:val="auto"/>
        </w:rPr>
        <w:t>Revolving Line.</w:t>
      </w:r>
    </w:p>
    <w:p>
      <w:pPr>
        <w:spacing w:after="0" w:line="145" w:lineRule="exact"/>
        <w:rPr>
          <w:rFonts w:ascii="Arial" w:cs="Arial" w:eastAsia="Arial" w:hAnsi="Arial"/>
          <w:sz w:val="12"/>
          <w:szCs w:val="12"/>
          <w:b w:val="1"/>
          <w:bCs w:val="1"/>
          <w:color w:val="auto"/>
        </w:rPr>
      </w:pPr>
    </w:p>
    <w:p>
      <w:pPr>
        <w:ind w:firstLine="856"/>
        <w:spacing w:after="0" w:line="260" w:lineRule="auto"/>
        <w:tabs>
          <w:tab w:leader="none" w:pos="1294" w:val="left"/>
        </w:tabs>
        <w:numPr>
          <w:ilvl w:val="1"/>
          <w:numId w:val="41"/>
        </w:numPr>
        <w:rPr>
          <w:rFonts w:ascii="Arial" w:cs="Arial" w:eastAsia="Arial" w:hAnsi="Arial"/>
          <w:sz w:val="12"/>
          <w:szCs w:val="12"/>
          <w:color w:val="auto"/>
        </w:rPr>
      </w:pPr>
      <w:r>
        <w:rPr>
          <w:rFonts w:ascii="Arial" w:cs="Arial" w:eastAsia="Arial" w:hAnsi="Arial"/>
          <w:sz w:val="12"/>
          <w:szCs w:val="12"/>
          <w:u w:val="single" w:color="auto"/>
          <w:color w:val="auto"/>
        </w:rPr>
        <w:t>Availability</w:t>
      </w:r>
      <w:r>
        <w:rPr>
          <w:rFonts w:ascii="Arial" w:cs="Arial" w:eastAsia="Arial" w:hAnsi="Arial"/>
          <w:sz w:val="12"/>
          <w:szCs w:val="12"/>
          <w:color w:val="auto"/>
        </w:rPr>
        <w:t>. Subject to the terms and conditions of this Agreement, Bank shall make Advances not exceeding the Availability Amount. Amounts borrowed under the Revolving Line may be prepaid or repaid as set forth on Schedule I hereto.</w:t>
      </w:r>
    </w:p>
    <w:p>
      <w:pPr>
        <w:spacing w:after="0" w:line="115" w:lineRule="exact"/>
        <w:rPr>
          <w:rFonts w:ascii="Arial" w:cs="Arial" w:eastAsia="Arial" w:hAnsi="Arial"/>
          <w:sz w:val="12"/>
          <w:szCs w:val="12"/>
          <w:color w:val="auto"/>
        </w:rPr>
      </w:pPr>
    </w:p>
    <w:p>
      <w:pPr>
        <w:ind w:right="20" w:firstLine="856"/>
        <w:spacing w:after="0" w:line="260" w:lineRule="auto"/>
        <w:tabs>
          <w:tab w:leader="none" w:pos="1292" w:val="left"/>
        </w:tabs>
        <w:numPr>
          <w:ilvl w:val="1"/>
          <w:numId w:val="41"/>
        </w:numPr>
        <w:rPr>
          <w:rFonts w:ascii="Arial" w:cs="Arial" w:eastAsia="Arial" w:hAnsi="Arial"/>
          <w:sz w:val="12"/>
          <w:szCs w:val="12"/>
          <w:color w:val="auto"/>
        </w:rPr>
      </w:pPr>
      <w:r>
        <w:rPr>
          <w:rFonts w:ascii="Arial" w:cs="Arial" w:eastAsia="Arial" w:hAnsi="Arial"/>
          <w:sz w:val="12"/>
          <w:szCs w:val="12"/>
          <w:u w:val="single" w:color="auto"/>
          <w:color w:val="auto"/>
        </w:rPr>
        <w:t>Termination; Repayment</w:t>
      </w:r>
      <w:r>
        <w:rPr>
          <w:rFonts w:ascii="Arial" w:cs="Arial" w:eastAsia="Arial" w:hAnsi="Arial"/>
          <w:sz w:val="12"/>
          <w:szCs w:val="12"/>
          <w:color w:val="auto"/>
        </w:rPr>
        <w:t>. The Revolving Line terminates on the Revolving Line Maturity Date, when the outstanding principal amount of all Advances, the accrued and unpaid interest thereon, and all other outstanding Obligations relating to the Revolving Line shall be immediately due and payable.</w:t>
      </w:r>
    </w:p>
    <w:p>
      <w:pPr>
        <w:spacing w:after="0" w:line="11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1"/>
          <w:szCs w:val="11"/>
          <w:b w:val="1"/>
          <w:bCs w:val="1"/>
          <w:color w:val="auto"/>
        </w:rPr>
        <w:t>Letters of Credit Sublimit.</w:t>
      </w:r>
    </w:p>
    <w:p>
      <w:pPr>
        <w:spacing w:after="0" w:line="145" w:lineRule="exact"/>
        <w:rPr>
          <w:sz w:val="20"/>
          <w:szCs w:val="20"/>
          <w:color w:val="auto"/>
        </w:rPr>
      </w:pPr>
    </w:p>
    <w:p>
      <w:pPr>
        <w:jc w:val="both"/>
        <w:ind w:firstLine="856"/>
        <w:spacing w:after="0" w:line="241" w:lineRule="auto"/>
        <w:tabs>
          <w:tab w:leader="none" w:pos="1294"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 part of the Revolving Line, Bank shall issue or have issued Letters of Credit denominated in Dollars or a Foreign Currency for Borrower’s account. The aggregate Dollar Equivalent of the face amount of outstanding Letters of Credit (including drawn but unreimbursed Letters of Credit and any Letter of Credit Reserve) may not exceed the Revolving Line minus the sum of (x) all outstanding principal amounts of any Advances, and minus (y) all amounts used for Cash Management Services. In addition, the aggregate Dollar Equivalent of the face amount of outstanding Letters of Credit (including drawn but unreimbursed Letters of Credit and any Letter of Credit Reserve) is as set forth on Schedule I hereto. Any amounts needed to fully reimburse Bank for any amounts not paid by Borrower in connection with Letters of Credit will be treated as Advances under the Revolving Line and will accrue interest at the interest rate applicable to Advances.</w:t>
      </w:r>
    </w:p>
    <w:p>
      <w:pPr>
        <w:spacing w:after="0" w:line="126" w:lineRule="exact"/>
        <w:rPr>
          <w:rFonts w:ascii="Arial" w:cs="Arial" w:eastAsia="Arial" w:hAnsi="Arial"/>
          <w:sz w:val="12"/>
          <w:szCs w:val="12"/>
          <w:color w:val="auto"/>
        </w:rPr>
      </w:pPr>
    </w:p>
    <w:p>
      <w:pPr>
        <w:jc w:val="both"/>
        <w:ind w:firstLine="856"/>
        <w:spacing w:after="0" w:line="281" w:lineRule="auto"/>
        <w:tabs>
          <w:tab w:leader="none" w:pos="1292" w:val="left"/>
        </w:tabs>
        <w:numPr>
          <w:ilvl w:val="0"/>
          <w:numId w:val="42"/>
        </w:numPr>
        <w:rPr>
          <w:rFonts w:ascii="Arial" w:cs="Arial" w:eastAsia="Arial" w:hAnsi="Arial"/>
          <w:sz w:val="11"/>
          <w:szCs w:val="11"/>
          <w:color w:val="auto"/>
        </w:rPr>
      </w:pPr>
      <w:r>
        <w:rPr>
          <w:rFonts w:ascii="Arial" w:cs="Arial" w:eastAsia="Arial" w:hAnsi="Arial"/>
          <w:sz w:val="11"/>
          <w:szCs w:val="11"/>
          <w:color w:val="auto"/>
        </w:rPr>
        <w:t>If, on the Revolving Line Maturity Date (or the effective date of any termination of this Agreement), there are any outstanding Letters of Credit, then on such date Borrower shall provide to Bank cash collateral in an amount equal to at least (i) 105.0% of the face amount of all such Letters of Credit denominated in Dollars and (ii) 110.0%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04" w:lineRule="exact"/>
        <w:rPr>
          <w:rFonts w:ascii="Arial" w:cs="Arial" w:eastAsia="Arial" w:hAnsi="Arial"/>
          <w:sz w:val="11"/>
          <w:szCs w:val="11"/>
          <w:color w:val="auto"/>
        </w:rPr>
      </w:pPr>
    </w:p>
    <w:p>
      <w:pPr>
        <w:jc w:val="both"/>
        <w:ind w:firstLine="856"/>
        <w:spacing w:after="0" w:line="272" w:lineRule="auto"/>
        <w:tabs>
          <w:tab w:leader="none" w:pos="1294" w:val="left"/>
        </w:tabs>
        <w:numPr>
          <w:ilvl w:val="0"/>
          <w:numId w:val="42"/>
        </w:numPr>
        <w:rPr>
          <w:rFonts w:ascii="Arial" w:cs="Arial" w:eastAsia="Arial" w:hAnsi="Arial"/>
          <w:sz w:val="11"/>
          <w:szCs w:val="11"/>
          <w:color w:val="auto"/>
        </w:rPr>
      </w:pPr>
      <w:r>
        <w:rPr>
          <w:rFonts w:ascii="Arial" w:cs="Arial" w:eastAsia="Arial" w:hAnsi="Arial"/>
          <w:sz w:val="11"/>
          <w:szCs w:val="11"/>
          <w:color w:val="auto"/>
        </w:rPr>
        <w:t>All Letters of Credit shall be in form and substance acceptable to Bank in its sole discretion and shall be subject to the terms and conditions of Bank’s standard Application and Letter of Credit Agreement (the “</w:t>
      </w:r>
      <w:r>
        <w:rPr>
          <w:rFonts w:ascii="Arial" w:cs="Arial" w:eastAsia="Arial" w:hAnsi="Arial"/>
          <w:sz w:val="11"/>
          <w:szCs w:val="11"/>
          <w:b w:val="1"/>
          <w:bCs w:val="1"/>
          <w:color w:val="auto"/>
        </w:rPr>
        <w:t>Letter of Credit Application</w:t>
      </w:r>
      <w:r>
        <w:rPr>
          <w:rFonts w:ascii="Arial" w:cs="Arial" w:eastAsia="Arial" w:hAnsi="Arial"/>
          <w:sz w:val="11"/>
          <w:szCs w:val="11"/>
          <w:color w:val="auto"/>
        </w:rPr>
        <w:t>”). Borrower shall execute any further documentation in connection with the Letters of Credit as Bank may reasonably request. Borrower shall be bound by the regulations and interpretations of the issuer of any Letters of Credit guaranteed by Bank and issued for Borrower’s account or by Bank’s interpretations of any Letter of Credit issued by Bank for Borrower’s account. Bank shall not be liable for any error, negligence, or mistake, whether of omission or commission, in following Borrower’s instructions or those contained in the Letters of Credit or any modifications, amendments, or supplements thereto.</w:t>
      </w:r>
    </w:p>
    <w:p>
      <w:pPr>
        <w:spacing w:after="0" w:line="110" w:lineRule="exact"/>
        <w:rPr>
          <w:rFonts w:ascii="Arial" w:cs="Arial" w:eastAsia="Arial" w:hAnsi="Arial"/>
          <w:sz w:val="11"/>
          <w:szCs w:val="11"/>
          <w:color w:val="auto"/>
        </w:rPr>
      </w:pPr>
    </w:p>
    <w:p>
      <w:pPr>
        <w:ind w:firstLine="856"/>
        <w:spacing w:after="0" w:line="260" w:lineRule="auto"/>
        <w:tabs>
          <w:tab w:leader="none" w:pos="1292"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obligation of Borrower to immediately reimburse Bank for drawings made under Letters of Credit shall be absolute, unconditional, and irrevocable, and shall be performed strictly in accordance with the terms of this Agreement, such Letters of Credit, and the Letter of Credit Application.</w:t>
      </w:r>
    </w:p>
    <w:p>
      <w:pPr>
        <w:spacing w:after="0" w:line="115" w:lineRule="exact"/>
        <w:rPr>
          <w:rFonts w:ascii="Arial" w:cs="Arial" w:eastAsia="Arial" w:hAnsi="Arial"/>
          <w:sz w:val="12"/>
          <w:szCs w:val="12"/>
          <w:color w:val="auto"/>
        </w:rPr>
      </w:pPr>
    </w:p>
    <w:p>
      <w:pPr>
        <w:ind w:right="20" w:firstLine="856"/>
        <w:spacing w:after="0" w:line="260" w:lineRule="auto"/>
        <w:tabs>
          <w:tab w:leader="none" w:pos="1294" w:val="left"/>
        </w:tabs>
        <w:numPr>
          <w:ilvl w:val="0"/>
          <w:numId w:val="42"/>
        </w:numPr>
        <w:rPr>
          <w:rFonts w:ascii="Arial" w:cs="Arial" w:eastAsia="Arial" w:hAnsi="Arial"/>
          <w:sz w:val="12"/>
          <w:szCs w:val="12"/>
          <w:color w:val="auto"/>
        </w:rPr>
      </w:pPr>
      <w:r>
        <w:rPr>
          <w:rFonts w:ascii="Arial" w:cs="Arial" w:eastAsia="Arial" w:hAnsi="Arial"/>
          <w:sz w:val="12"/>
          <w:szCs w:val="12"/>
          <w:color w:val="auto"/>
        </w:rPr>
        <w:t>Borrower may request that Bank issue a Letter of Credit payable in a Foreign Currency. If a demand for payment is made under any such Letter of Credit, Bank shall treat such demand as an Advance to Borrower of the Dollar Equivalent of the amount thereof (plus fees and charges in connection therewith such as wire, cable, SWIFT or similar charges).</w:t>
      </w:r>
    </w:p>
    <w:p>
      <w:pPr>
        <w:sectPr>
          <w:pgSz w:w="11900" w:h="16838" w:orient="portrait"/>
          <w:cols w:equalWidth="0" w:num="1">
            <w:col w:w="11300"/>
          </w:cols>
          <w:pgMar w:left="300" w:top="991" w:right="299" w:bottom="1440" w:gutter="0" w:footer="0" w:header="0"/>
        </w:sectPr>
      </w:pPr>
    </w:p>
    <w:bookmarkStart w:id="97" w:name="page98"/>
    <w:bookmarkEnd w:id="97"/>
    <w:p>
      <w:pPr>
        <w:jc w:val="both"/>
        <w:ind w:firstLine="856"/>
        <w:spacing w:after="0" w:line="245" w:lineRule="auto"/>
        <w:tabs>
          <w:tab w:leader="none" w:pos="129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To guard against fluctuations in currency exchange rates, upon the issuance of any Letter of Credit payable in a Foreign Currency, Bank shall create a reserve (the “</w:t>
      </w:r>
      <w:r>
        <w:rPr>
          <w:rFonts w:ascii="Arial" w:cs="Arial" w:eastAsia="Arial" w:hAnsi="Arial"/>
          <w:sz w:val="12"/>
          <w:szCs w:val="12"/>
          <w:b w:val="1"/>
          <w:bCs w:val="1"/>
          <w:color w:val="auto"/>
        </w:rPr>
        <w:t>Letter of Credit Reserve</w:t>
      </w:r>
      <w:r>
        <w:rPr>
          <w:rFonts w:ascii="Arial" w:cs="Arial" w:eastAsia="Arial" w:hAnsi="Arial"/>
          <w:sz w:val="12"/>
          <w:szCs w:val="12"/>
          <w:color w:val="auto"/>
        </w:rPr>
        <w:t>”) under the Revolving Line in an amount equal to a percentage (which percentage shall be determined by Bank in its sole discretion) of the Dollar Equivalent of the face amount of such Letter of Credit. The amount of the Letter of Credit Reserve may be adjusted by Bank from time to time to account for fluctuations in the exchange rate. The availability of funds under the Revolving Line shall be reduced by the amount of such Letter of Credit Reserve for as long as such Letter of Credit remains outstanding.</w:t>
      </w:r>
    </w:p>
    <w:p>
      <w:pPr>
        <w:spacing w:after="0" w:line="121"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b w:val="1"/>
          <w:bCs w:val="1"/>
          <w:color w:val="auto"/>
        </w:rPr>
        <w:t xml:space="preserve">1.3 Cash Management Services Sublimit. </w:t>
      </w:r>
      <w:r>
        <w:rPr>
          <w:rFonts w:ascii="Arial" w:cs="Arial" w:eastAsia="Arial" w:hAnsi="Arial"/>
          <w:sz w:val="12"/>
          <w:szCs w:val="12"/>
          <w:color w:val="auto"/>
        </w:rPr>
        <w:t>As part of the Revolving Line, Bank shall permit Borrower to use Bank’s cash management services, which may include merchant services, direct deposit of payroll, business</w:t>
      </w:r>
      <w:r>
        <w:rPr>
          <w:rFonts w:ascii="Arial" w:cs="Arial" w:eastAsia="Arial" w:hAnsi="Arial"/>
          <w:sz w:val="12"/>
          <w:szCs w:val="12"/>
          <w:b w:val="1"/>
          <w:bCs w:val="1"/>
          <w:color w:val="auto"/>
        </w:rPr>
        <w:t xml:space="preserve"> </w:t>
      </w:r>
      <w:r>
        <w:rPr>
          <w:rFonts w:ascii="Arial" w:cs="Arial" w:eastAsia="Arial" w:hAnsi="Arial"/>
          <w:sz w:val="12"/>
          <w:szCs w:val="12"/>
          <w:color w:val="auto"/>
        </w:rPr>
        <w:t>credit card, and check cashing services identified in Bank’s various cash management services agreements (collectively, the “</w:t>
      </w:r>
      <w:r>
        <w:rPr>
          <w:rFonts w:ascii="Arial" w:cs="Arial" w:eastAsia="Arial" w:hAnsi="Arial"/>
          <w:sz w:val="12"/>
          <w:szCs w:val="12"/>
          <w:b w:val="1"/>
          <w:bCs w:val="1"/>
          <w:color w:val="auto"/>
        </w:rPr>
        <w:t>Cash Management Services</w:t>
      </w:r>
      <w:r>
        <w:rPr>
          <w:rFonts w:ascii="Arial" w:cs="Arial" w:eastAsia="Arial" w:hAnsi="Arial"/>
          <w:sz w:val="12"/>
          <w:szCs w:val="12"/>
          <w:color w:val="auto"/>
        </w:rPr>
        <w:t>”). The aggregate amount used for Cash Management Services at any one time may not exceed the Revolving Line, minus the sum of (x) all outstanding principal amounts of any Advances, and (y) the aggregate Dollar Equivalent of the face amount of outstanding Letters of Credit (including drawn but unreimbursed Letters of Credit and any Letter of Credit Reserve). In addition, the aggregate amount used for Cash Management Services at any one time is as set forth on Schedule I hereto. Any amounts needed to fully reimburse Bank for any amounts not paid by Borrower in connection with Cash Management Services which are not paid or reimbursed on or before the date when due will be treated as Advances under the Revolving Line and will accrue interest at the interest rate applicable to Advances.</w:t>
      </w:r>
    </w:p>
    <w:p>
      <w:pPr>
        <w:spacing w:after="0" w:line="12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0"/>
          <w:szCs w:val="10"/>
          <w:b w:val="1"/>
          <w:bCs w:val="1"/>
          <w:color w:val="auto"/>
        </w:rPr>
        <w:t>Payment of Interest on the Credit Extensions.</w:t>
      </w:r>
    </w:p>
    <w:p>
      <w:pPr>
        <w:spacing w:after="0" w:line="145" w:lineRule="exact"/>
        <w:rPr>
          <w:sz w:val="20"/>
          <w:szCs w:val="20"/>
          <w:color w:val="auto"/>
        </w:rPr>
      </w:pPr>
    </w:p>
    <w:p>
      <w:pPr>
        <w:ind w:left="1280" w:hanging="424"/>
        <w:spacing w:after="0"/>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Interest Payments</w:t>
      </w:r>
      <w:r>
        <w:rPr>
          <w:rFonts w:ascii="Arial" w:cs="Arial" w:eastAsia="Arial" w:hAnsi="Arial"/>
          <w:sz w:val="12"/>
          <w:szCs w:val="12"/>
          <w:color w:val="auto"/>
        </w:rPr>
        <w:t>. Interest on the principal amount of each Advance is payable as set forth on Schedule I hereto.</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Interest Rate</w:t>
      </w:r>
      <w:r>
        <w:rPr>
          <w:rFonts w:ascii="Arial" w:cs="Arial" w:eastAsia="Arial" w:hAnsi="Arial"/>
          <w:sz w:val="12"/>
          <w:szCs w:val="12"/>
          <w:color w:val="auto"/>
        </w:rPr>
        <w:t>.</w:t>
      </w:r>
    </w:p>
    <w:p>
      <w:pPr>
        <w:spacing w:after="0" w:line="141" w:lineRule="exact"/>
        <w:rPr>
          <w:rFonts w:ascii="Arial" w:cs="Arial" w:eastAsia="Arial" w:hAnsi="Arial"/>
          <w:sz w:val="12"/>
          <w:szCs w:val="12"/>
          <w:color w:val="auto"/>
        </w:rPr>
      </w:pPr>
    </w:p>
    <w:p>
      <w:pPr>
        <w:ind w:left="2140" w:hanging="420"/>
        <w:spacing w:after="0"/>
        <w:tabs>
          <w:tab w:leader="none" w:pos="2140" w:val="left"/>
        </w:tabs>
        <w:numPr>
          <w:ilvl w:val="1"/>
          <w:numId w:val="44"/>
        </w:numPr>
        <w:rPr>
          <w:rFonts w:ascii="Arial" w:cs="Arial" w:eastAsia="Arial" w:hAnsi="Arial"/>
          <w:sz w:val="12"/>
          <w:szCs w:val="12"/>
          <w:color w:val="auto"/>
        </w:rPr>
      </w:pPr>
      <w:r>
        <w:rPr>
          <w:rFonts w:ascii="Arial" w:cs="Arial" w:eastAsia="Arial" w:hAnsi="Arial"/>
          <w:sz w:val="12"/>
          <w:szCs w:val="12"/>
          <w:u w:val="single" w:color="auto"/>
          <w:color w:val="auto"/>
        </w:rPr>
        <w:t>Advances</w:t>
      </w:r>
      <w:r>
        <w:rPr>
          <w:rFonts w:ascii="Arial" w:cs="Arial" w:eastAsia="Arial" w:hAnsi="Arial"/>
          <w:sz w:val="12"/>
          <w:szCs w:val="12"/>
          <w:color w:val="auto"/>
        </w:rPr>
        <w:t>. Subject to Section 1.4(c), the outstanding principal amount of any Advance shall accrue interest as set forth on Schedule I hereto.</w:t>
      </w:r>
    </w:p>
    <w:p>
      <w:pPr>
        <w:spacing w:after="0" w:line="141" w:lineRule="exact"/>
        <w:rPr>
          <w:rFonts w:ascii="Arial" w:cs="Arial" w:eastAsia="Arial" w:hAnsi="Arial"/>
          <w:sz w:val="12"/>
          <w:szCs w:val="12"/>
          <w:color w:val="auto"/>
        </w:rPr>
      </w:pPr>
    </w:p>
    <w:p>
      <w:pPr>
        <w:ind w:left="1280" w:right="20" w:firstLine="440"/>
        <w:spacing w:after="0" w:line="260" w:lineRule="auto"/>
        <w:tabs>
          <w:tab w:leader="none" w:pos="2138" w:val="left"/>
        </w:tabs>
        <w:numPr>
          <w:ilvl w:val="1"/>
          <w:numId w:val="44"/>
        </w:numPr>
        <w:rPr>
          <w:rFonts w:ascii="Arial" w:cs="Arial" w:eastAsia="Arial" w:hAnsi="Arial"/>
          <w:sz w:val="12"/>
          <w:szCs w:val="12"/>
          <w:color w:val="auto"/>
        </w:rPr>
      </w:pPr>
      <w:r>
        <w:rPr>
          <w:rFonts w:ascii="Arial" w:cs="Arial" w:eastAsia="Arial" w:hAnsi="Arial"/>
          <w:sz w:val="12"/>
          <w:szCs w:val="12"/>
          <w:u w:val="single" w:color="auto"/>
          <w:color w:val="auto"/>
        </w:rPr>
        <w:t>All-In Rate</w:t>
      </w:r>
      <w:r>
        <w:rPr>
          <w:rFonts w:ascii="Arial" w:cs="Arial" w:eastAsia="Arial" w:hAnsi="Arial"/>
          <w:sz w:val="12"/>
          <w:szCs w:val="12"/>
          <w:color w:val="auto"/>
        </w:rPr>
        <w:t>. Notwithstanding any terms in this Agreement to the contrary, if at any time the interest rate applicable to any Obligations is less than 0.0%, such interest rate shall be deemed to be 0.0% for all purposes of this Agreement.</w:t>
      </w:r>
    </w:p>
    <w:p>
      <w:pPr>
        <w:spacing w:after="0" w:line="115" w:lineRule="exact"/>
        <w:rPr>
          <w:rFonts w:ascii="Arial" w:cs="Arial" w:eastAsia="Arial" w:hAnsi="Arial"/>
          <w:sz w:val="12"/>
          <w:szCs w:val="12"/>
          <w:color w:val="auto"/>
        </w:rPr>
      </w:pPr>
    </w:p>
    <w:p>
      <w:pPr>
        <w:jc w:val="both"/>
        <w:ind w:right="20" w:firstLine="856"/>
        <w:spacing w:after="0" w:line="272" w:lineRule="auto"/>
        <w:tabs>
          <w:tab w:leader="none" w:pos="1294" w:val="left"/>
        </w:tabs>
        <w:numPr>
          <w:ilvl w:val="0"/>
          <w:numId w:val="44"/>
        </w:numPr>
        <w:rPr>
          <w:rFonts w:ascii="Arial" w:cs="Arial" w:eastAsia="Arial" w:hAnsi="Arial"/>
          <w:sz w:val="11"/>
          <w:szCs w:val="11"/>
          <w:color w:val="auto"/>
        </w:rPr>
      </w:pPr>
      <w:r>
        <w:rPr>
          <w:rFonts w:ascii="Arial" w:cs="Arial" w:eastAsia="Arial" w:hAnsi="Arial"/>
          <w:sz w:val="11"/>
          <w:szCs w:val="11"/>
          <w:u w:val="single" w:color="auto"/>
          <w:color w:val="auto"/>
        </w:rPr>
        <w:t>Default Rate</w:t>
      </w:r>
      <w:r>
        <w:rPr>
          <w:rFonts w:ascii="Arial" w:cs="Arial" w:eastAsia="Arial" w:hAnsi="Arial"/>
          <w:sz w:val="11"/>
          <w:szCs w:val="11"/>
          <w:color w:val="auto"/>
        </w:rPr>
        <w:t>. Immediately upon the occurrence and during the continuance of an Event of Default, the outstanding Obligations shall bear interest at a rate per annum which is 5.0% above the rate that is otherwise applicable thereto (the “</w:t>
      </w:r>
      <w:r>
        <w:rPr>
          <w:rFonts w:ascii="Arial" w:cs="Arial" w:eastAsia="Arial" w:hAnsi="Arial"/>
          <w:sz w:val="11"/>
          <w:szCs w:val="11"/>
          <w:b w:val="1"/>
          <w:bCs w:val="1"/>
          <w:color w:val="auto"/>
        </w:rPr>
        <w:t>Default Rate</w:t>
      </w:r>
      <w:r>
        <w:rPr>
          <w:rFonts w:ascii="Arial" w:cs="Arial" w:eastAsia="Arial" w:hAnsi="Arial"/>
          <w:sz w:val="11"/>
          <w:szCs w:val="11"/>
          <w:color w:val="auto"/>
        </w:rPr>
        <w:t>”) unless Bank otherwise elects, in its sole discretion, to impose a lesser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1.4(c) is not a permitted alternative to timely payment and shall not constitute a waiver of any Event of Default or otherwise prejudice or limit any rights or remedies of Bank.</w:t>
      </w:r>
    </w:p>
    <w:p>
      <w:pPr>
        <w:spacing w:after="0" w:line="110" w:lineRule="exact"/>
        <w:rPr>
          <w:rFonts w:ascii="Arial" w:cs="Arial" w:eastAsia="Arial" w:hAnsi="Arial"/>
          <w:sz w:val="11"/>
          <w:szCs w:val="11"/>
          <w:color w:val="auto"/>
        </w:rPr>
      </w:pPr>
    </w:p>
    <w:p>
      <w:pPr>
        <w:ind w:right="20" w:firstLine="856"/>
        <w:spacing w:after="0" w:line="260" w:lineRule="auto"/>
        <w:tabs>
          <w:tab w:leader="none" w:pos="1292"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Adjustment to Interest Rate</w:t>
      </w:r>
      <w:r>
        <w:rPr>
          <w:rFonts w:ascii="Arial" w:cs="Arial" w:eastAsia="Arial" w:hAnsi="Arial"/>
          <w:sz w:val="12"/>
          <w:szCs w:val="12"/>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15" w:lineRule="exact"/>
        <w:rPr>
          <w:rFonts w:ascii="Arial" w:cs="Arial" w:eastAsia="Arial" w:hAnsi="Arial"/>
          <w:sz w:val="12"/>
          <w:szCs w:val="12"/>
          <w:color w:val="auto"/>
        </w:rPr>
      </w:pPr>
    </w:p>
    <w:p>
      <w:pPr>
        <w:ind w:firstLine="856"/>
        <w:spacing w:after="0" w:line="260" w:lineRule="auto"/>
        <w:tabs>
          <w:tab w:leader="none" w:pos="1294"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Interest Computation</w:t>
      </w:r>
      <w:r>
        <w:rPr>
          <w:rFonts w:ascii="Arial" w:cs="Arial" w:eastAsia="Arial" w:hAnsi="Arial"/>
          <w:sz w:val="12"/>
          <w:szCs w:val="12"/>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1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0"/>
          <w:szCs w:val="10"/>
          <w:b w:val="1"/>
          <w:bCs w:val="1"/>
          <w:color w:val="auto"/>
        </w:rPr>
        <w:t xml:space="preserve">Fees. </w:t>
      </w:r>
      <w:r>
        <w:rPr>
          <w:rFonts w:ascii="Arial" w:cs="Arial" w:eastAsia="Arial" w:hAnsi="Arial"/>
          <w:sz w:val="10"/>
          <w:szCs w:val="10"/>
          <w:color w:val="auto"/>
        </w:rPr>
        <w:t>Borrower shall pay to Bank:</w:t>
      </w:r>
    </w:p>
    <w:p>
      <w:pPr>
        <w:spacing w:after="0" w:line="145" w:lineRule="exact"/>
        <w:rPr>
          <w:sz w:val="20"/>
          <w:szCs w:val="20"/>
          <w:color w:val="auto"/>
        </w:rPr>
      </w:pPr>
    </w:p>
    <w:p>
      <w:pPr>
        <w:ind w:left="1280" w:hanging="424"/>
        <w:spacing w:after="0"/>
        <w:tabs>
          <w:tab w:leader="none" w:pos="1280"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Revolving Line Commitment Fee</w:t>
      </w:r>
      <w:r>
        <w:rPr>
          <w:rFonts w:ascii="Arial" w:cs="Arial" w:eastAsia="Arial" w:hAnsi="Arial"/>
          <w:sz w:val="12"/>
          <w:szCs w:val="12"/>
          <w:color w:val="auto"/>
        </w:rPr>
        <w:t>. A fully earned, non-refundable commitment fee as set forth on Schedule I hereto;</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70"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2"/>
          <w:szCs w:val="12"/>
          <w:color w:val="auto"/>
        </w:rPr>
        <w:t>2</w:t>
      </w:r>
    </w:p>
    <w:p>
      <w:pPr>
        <w:sectPr>
          <w:pgSz w:w="11900" w:h="16838" w:orient="portrait"/>
          <w:cols w:equalWidth="0" w:num="1">
            <w:col w:w="11300"/>
          </w:cols>
          <w:pgMar w:left="300" w:top="991" w:right="299" w:bottom="1440" w:gutter="0" w:footer="0" w:header="0"/>
        </w:sectPr>
      </w:pPr>
    </w:p>
    <w:bookmarkStart w:id="98" w:name="page99"/>
    <w:bookmarkEnd w:id="98"/>
    <w:p>
      <w:pPr>
        <w:jc w:val="both"/>
        <w:ind w:firstLine="856"/>
        <w:spacing w:after="0" w:line="251" w:lineRule="auto"/>
        <w:tabs>
          <w:tab w:leader="none" w:pos="1292"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Anniversary Fee</w:t>
      </w:r>
      <w:r>
        <w:rPr>
          <w:rFonts w:ascii="Arial" w:cs="Arial" w:eastAsia="Arial" w:hAnsi="Arial"/>
          <w:sz w:val="12"/>
          <w:szCs w:val="12"/>
          <w:color w:val="auto"/>
        </w:rPr>
        <w:t>s. For each twelve (12) month anniversary of the Effective Date, a non-refundable anniversary fee (each, an “</w:t>
      </w:r>
      <w:r>
        <w:rPr>
          <w:rFonts w:ascii="Arial" w:cs="Arial" w:eastAsia="Arial" w:hAnsi="Arial"/>
          <w:sz w:val="12"/>
          <w:szCs w:val="12"/>
          <w:b w:val="1"/>
          <w:bCs w:val="1"/>
          <w:color w:val="auto"/>
        </w:rPr>
        <w:t>Anniversary Fee</w:t>
      </w:r>
      <w:r>
        <w:rPr>
          <w:rFonts w:ascii="Arial" w:cs="Arial" w:eastAsia="Arial" w:hAnsi="Arial"/>
          <w:sz w:val="12"/>
          <w:szCs w:val="12"/>
          <w:color w:val="auto"/>
        </w:rPr>
        <w:t>” and, collectively, the “</w:t>
      </w:r>
      <w:r>
        <w:rPr>
          <w:rFonts w:ascii="Arial" w:cs="Arial" w:eastAsia="Arial" w:hAnsi="Arial"/>
          <w:sz w:val="12"/>
          <w:szCs w:val="12"/>
          <w:b w:val="1"/>
          <w:bCs w:val="1"/>
          <w:color w:val="auto"/>
        </w:rPr>
        <w:t>Anniversary Fees</w:t>
      </w:r>
      <w:r>
        <w:rPr>
          <w:rFonts w:ascii="Arial" w:cs="Arial" w:eastAsia="Arial" w:hAnsi="Arial"/>
          <w:sz w:val="12"/>
          <w:szCs w:val="12"/>
          <w:color w:val="auto"/>
        </w:rPr>
        <w:t>”) in an amount equal to $500,000.00, which shall be fully-earned and non-refundable as of the Effective Date and due and payable on the earliest to occur of (i) each such twelve (12) month anniversary of the Effective Date, (ii) the termination of this Agreement (iii) the Revolving Line Maturity Date, and (iv) the occurrence of an Event of Default;</w:t>
      </w:r>
    </w:p>
    <w:p>
      <w:pPr>
        <w:spacing w:after="0" w:line="120" w:lineRule="exact"/>
        <w:rPr>
          <w:rFonts w:ascii="Arial" w:cs="Arial" w:eastAsia="Arial" w:hAnsi="Arial"/>
          <w:sz w:val="12"/>
          <w:szCs w:val="12"/>
          <w:color w:val="auto"/>
        </w:rPr>
      </w:pPr>
    </w:p>
    <w:p>
      <w:pPr>
        <w:ind w:firstLine="856"/>
        <w:spacing w:after="0" w:line="260" w:lineRule="auto"/>
        <w:tabs>
          <w:tab w:leader="none" w:pos="1294"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Letter of Credit Fee</w:t>
      </w:r>
      <w:r>
        <w:rPr>
          <w:rFonts w:ascii="Arial" w:cs="Arial" w:eastAsia="Arial" w:hAnsi="Arial"/>
          <w:sz w:val="12"/>
          <w:szCs w:val="12"/>
          <w:color w:val="auto"/>
        </w:rPr>
        <w:t>. Bank’s customary fees and expenses for the issuance or renewal of Letters of Credit, including, without limitation, a Letter of Credit Fee with respect to each Letter of Credit payable upon the issuance, each anniversary of such issuance and any renewal thereof, which shall be fully earned and non-refundable as of such date;</w:t>
      </w:r>
    </w:p>
    <w:p>
      <w:pPr>
        <w:spacing w:after="0" w:line="115" w:lineRule="exact"/>
        <w:rPr>
          <w:rFonts w:ascii="Arial" w:cs="Arial" w:eastAsia="Arial" w:hAnsi="Arial"/>
          <w:sz w:val="12"/>
          <w:szCs w:val="12"/>
          <w:color w:val="auto"/>
        </w:rPr>
      </w:pPr>
    </w:p>
    <w:p>
      <w:pPr>
        <w:jc w:val="both"/>
        <w:ind w:firstLine="856"/>
        <w:spacing w:after="0" w:line="272" w:lineRule="auto"/>
        <w:tabs>
          <w:tab w:leader="none" w:pos="1292" w:val="left"/>
        </w:tabs>
        <w:numPr>
          <w:ilvl w:val="0"/>
          <w:numId w:val="46"/>
        </w:numPr>
        <w:rPr>
          <w:rFonts w:ascii="Arial" w:cs="Arial" w:eastAsia="Arial" w:hAnsi="Arial"/>
          <w:sz w:val="11"/>
          <w:szCs w:val="11"/>
          <w:color w:val="auto"/>
        </w:rPr>
      </w:pPr>
      <w:r>
        <w:rPr>
          <w:rFonts w:ascii="Arial" w:cs="Arial" w:eastAsia="Arial" w:hAnsi="Arial"/>
          <w:sz w:val="11"/>
          <w:szCs w:val="11"/>
          <w:u w:val="single" w:color="auto"/>
          <w:color w:val="auto"/>
        </w:rPr>
        <w:t>Termination Fee</w:t>
      </w:r>
      <w:r>
        <w:rPr>
          <w:rFonts w:ascii="Arial" w:cs="Arial" w:eastAsia="Arial" w:hAnsi="Arial"/>
          <w:sz w:val="11"/>
          <w:szCs w:val="11"/>
          <w:color w:val="auto"/>
        </w:rPr>
        <w:t>. Upon termination of this Agreement or the termination of the Revolving Line for any reason prior to the Revolving Line Maturity Date, in addition to the payment of any other amounts then-owing, a termination fee in an amount equal to (i) 1.50% of the Revolving Line if such termination occurs on or prior to the first anniversary of the Effective Date, (ii) 0.75% of the Revolving Line if such termination occurs at any time after the first anniversary of the Effective Date but on or prior to the second anniversary of the Effective Date, or (iii) 0.0% of the Revolving Line if such termination occurs at any time after the second anniversary of the Effective Date, which shall be fully earned and non-refundable as of such date (the “</w:t>
      </w:r>
      <w:r>
        <w:rPr>
          <w:rFonts w:ascii="Arial" w:cs="Arial" w:eastAsia="Arial" w:hAnsi="Arial"/>
          <w:sz w:val="11"/>
          <w:szCs w:val="11"/>
          <w:b w:val="1"/>
          <w:bCs w:val="1"/>
          <w:color w:val="auto"/>
        </w:rPr>
        <w:t>Termination Fee</w:t>
      </w:r>
      <w:r>
        <w:rPr>
          <w:rFonts w:ascii="Arial" w:cs="Arial" w:eastAsia="Arial" w:hAnsi="Arial"/>
          <w:sz w:val="11"/>
          <w:szCs w:val="11"/>
          <w:color w:val="auto"/>
        </w:rPr>
        <w:t>”); provided that no Termination Fee shall be charged if the credit facility hereunder is replaced with a new facility from Bank;</w:t>
      </w:r>
    </w:p>
    <w:p>
      <w:pPr>
        <w:spacing w:after="0" w:line="110" w:lineRule="exact"/>
        <w:rPr>
          <w:rFonts w:ascii="Arial" w:cs="Arial" w:eastAsia="Arial" w:hAnsi="Arial"/>
          <w:sz w:val="11"/>
          <w:szCs w:val="11"/>
          <w:color w:val="auto"/>
        </w:rPr>
      </w:pPr>
    </w:p>
    <w:p>
      <w:pPr>
        <w:jc w:val="both"/>
        <w:ind w:firstLine="856"/>
        <w:spacing w:after="0" w:line="268" w:lineRule="auto"/>
        <w:tabs>
          <w:tab w:leader="none" w:pos="1294" w:val="left"/>
        </w:tabs>
        <w:numPr>
          <w:ilvl w:val="0"/>
          <w:numId w:val="46"/>
        </w:numPr>
        <w:rPr>
          <w:rFonts w:ascii="Arial" w:cs="Arial" w:eastAsia="Arial" w:hAnsi="Arial"/>
          <w:sz w:val="11"/>
          <w:szCs w:val="11"/>
          <w:color w:val="auto"/>
        </w:rPr>
      </w:pPr>
      <w:r>
        <w:rPr>
          <w:rFonts w:ascii="Arial" w:cs="Arial" w:eastAsia="Arial" w:hAnsi="Arial"/>
          <w:sz w:val="11"/>
          <w:szCs w:val="11"/>
          <w:u w:val="single" w:color="auto"/>
          <w:color w:val="auto"/>
        </w:rPr>
        <w:t>Unused Revolving Line Facility Fee</w:t>
      </w:r>
      <w:r>
        <w:rPr>
          <w:rFonts w:ascii="Arial" w:cs="Arial" w:eastAsia="Arial" w:hAnsi="Arial"/>
          <w:sz w:val="11"/>
          <w:szCs w:val="11"/>
          <w:color w:val="auto"/>
        </w:rPr>
        <w:t>. Payable quarterly in arrears, on the last calendar day of each calendar quarter prior to the Revolving Line Maturity Date, and on the Revolving Line Maturity Date, a fee (the “</w:t>
      </w:r>
      <w:r>
        <w:rPr>
          <w:rFonts w:ascii="Arial" w:cs="Arial" w:eastAsia="Arial" w:hAnsi="Arial"/>
          <w:sz w:val="11"/>
          <w:szCs w:val="11"/>
          <w:b w:val="1"/>
          <w:bCs w:val="1"/>
          <w:color w:val="auto"/>
        </w:rPr>
        <w:t>Unused Revolving Line Facility Fee</w:t>
      </w:r>
      <w:r>
        <w:rPr>
          <w:rFonts w:ascii="Arial" w:cs="Arial" w:eastAsia="Arial" w:hAnsi="Arial"/>
          <w:sz w:val="11"/>
          <w:szCs w:val="11"/>
          <w:color w:val="auto"/>
        </w:rPr>
        <w:t>”) in an amount equal to 0.25% per annum of the average unused portion of the Revolving Line, as determined by Bank, computed on the basis of a year with the applicable number of days as set forth in Section 1.4(e), which shall be fully earned and non-refundable as of such date. The unused portion of the Revolving Line, for purposes of this calculation, shall be calculated on a calendar year basis and shall equal the difference between (i) the Revolving Line, and (ii) the average for the period of the daily closing balance of the Revolving Line outstanding plus the sum of (x) the aggregate Dollar Equivalent of the face amount of outstanding Letters of Credit (including drawn but unreimbursed Letters of Credit and any Letter of Credit Reserve), and (y) all amounts used for Cash Management Services;</w:t>
      </w:r>
    </w:p>
    <w:p>
      <w:pPr>
        <w:spacing w:after="0" w:line="112" w:lineRule="exact"/>
        <w:rPr>
          <w:rFonts w:ascii="Arial" w:cs="Arial" w:eastAsia="Arial" w:hAnsi="Arial"/>
          <w:sz w:val="11"/>
          <w:szCs w:val="11"/>
          <w:color w:val="auto"/>
        </w:rPr>
      </w:pPr>
    </w:p>
    <w:p>
      <w:pPr>
        <w:ind w:left="1280" w:hanging="424"/>
        <w:spacing w:after="0"/>
        <w:tabs>
          <w:tab w:leader="none" w:pos="1280" w:val="left"/>
        </w:tabs>
        <w:numPr>
          <w:ilvl w:val="0"/>
          <w:numId w:val="46"/>
        </w:numPr>
        <w:rPr>
          <w:rFonts w:ascii="Arial" w:cs="Arial" w:eastAsia="Arial" w:hAnsi="Arial"/>
          <w:sz w:val="11"/>
          <w:szCs w:val="11"/>
          <w:color w:val="auto"/>
        </w:rPr>
      </w:pPr>
      <w:r>
        <w:rPr>
          <w:rFonts w:ascii="Arial" w:cs="Arial" w:eastAsia="Arial" w:hAnsi="Arial"/>
          <w:sz w:val="11"/>
          <w:szCs w:val="11"/>
          <w:u w:val="single" w:color="auto"/>
          <w:color w:val="auto"/>
        </w:rPr>
        <w:t>Good Faith Deposit</w:t>
      </w:r>
      <w:r>
        <w:rPr>
          <w:rFonts w:ascii="Arial" w:cs="Arial" w:eastAsia="Arial" w:hAnsi="Arial"/>
          <w:sz w:val="11"/>
          <w:szCs w:val="11"/>
          <w:color w:val="auto"/>
        </w:rPr>
        <w:t>. Borrower has paid to Bank a good faith deposit of $100,000.00 prior to the date hereof which shall be applied towards Bank Expenses incurred through the Effective Date; and</w:t>
      </w:r>
    </w:p>
    <w:p>
      <w:pPr>
        <w:spacing w:after="0" w:line="152" w:lineRule="exact"/>
        <w:rPr>
          <w:rFonts w:ascii="Arial" w:cs="Arial" w:eastAsia="Arial" w:hAnsi="Arial"/>
          <w:sz w:val="11"/>
          <w:szCs w:val="11"/>
          <w:color w:val="auto"/>
        </w:rPr>
      </w:pPr>
    </w:p>
    <w:p>
      <w:pPr>
        <w:ind w:left="1280" w:hanging="424"/>
        <w:spacing w:after="0"/>
        <w:tabs>
          <w:tab w:leader="none" w:pos="1280"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Bank Expenses</w:t>
      </w:r>
      <w:r>
        <w:rPr>
          <w:rFonts w:ascii="Arial" w:cs="Arial" w:eastAsia="Arial" w:hAnsi="Arial"/>
          <w:sz w:val="12"/>
          <w:szCs w:val="12"/>
          <w:color w:val="auto"/>
        </w:rPr>
        <w:t>. All Bank Expenses incurred through and after the Effective Date, when due (or, if no stated due date, upon demand by Bank).</w:t>
      </w:r>
    </w:p>
    <w:p>
      <w:pPr>
        <w:spacing w:after="0" w:line="14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1.5 pursuant to the terms of Section 1.6(c). Bank shall provide Borrower written notice of deductions made pursuant to the terms of the clauses of this Section 1.5.</w:t>
      </w:r>
    </w:p>
    <w:p>
      <w:pPr>
        <w:spacing w:after="0" w:line="119"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0"/>
          <w:szCs w:val="10"/>
          <w:b w:val="1"/>
          <w:bCs w:val="1"/>
          <w:color w:val="auto"/>
        </w:rPr>
        <w:t>Payments; Application of Payments; Debit of Accounts.</w:t>
      </w:r>
    </w:p>
    <w:p>
      <w:pPr>
        <w:spacing w:after="0" w:line="145" w:lineRule="exact"/>
        <w:rPr>
          <w:sz w:val="20"/>
          <w:szCs w:val="20"/>
          <w:color w:val="auto"/>
        </w:rPr>
      </w:pPr>
    </w:p>
    <w:p>
      <w:pPr>
        <w:jc w:val="both"/>
        <w:ind w:firstLine="856"/>
        <w:spacing w:after="0" w:line="247" w:lineRule="auto"/>
        <w:tabs>
          <w:tab w:leader="none" w:pos="1294" w:val="left"/>
        </w:tabs>
        <w:numPr>
          <w:ilvl w:val="0"/>
          <w:numId w:val="47"/>
        </w:numPr>
        <w:rPr>
          <w:rFonts w:ascii="Arial" w:cs="Arial" w:eastAsia="Arial" w:hAnsi="Arial"/>
          <w:sz w:val="12"/>
          <w:szCs w:val="12"/>
          <w:color w:val="auto"/>
        </w:rPr>
      </w:pPr>
      <w:r>
        <w:rPr>
          <w:rFonts w:ascii="Arial" w:cs="Arial" w:eastAsia="Arial" w:hAnsi="Arial"/>
          <w:sz w:val="12"/>
          <w:szCs w:val="12"/>
          <w:color w:val="auto"/>
        </w:rPr>
        <w:t>All payments (including prepayments) to be made by Borrower under any Loan Document shall be made in immediately available funds in Dollars, without setoff, counterclaim, or deduction, before 12:00 p.m. Eastern time on the date when due.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22" w:lineRule="exact"/>
        <w:rPr>
          <w:rFonts w:ascii="Arial" w:cs="Arial" w:eastAsia="Arial" w:hAnsi="Arial"/>
          <w:sz w:val="12"/>
          <w:szCs w:val="12"/>
          <w:color w:val="auto"/>
        </w:rPr>
      </w:pPr>
    </w:p>
    <w:p>
      <w:pPr>
        <w:ind w:left="1280" w:hanging="424"/>
        <w:spacing w:after="0"/>
        <w:tabs>
          <w:tab w:leader="none" w:pos="12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Bank has the right to determine in its commercially reasonable discretion the order and manner in which all payments with respect to the Obligations may be applied. Borrower shall have no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991" w:right="299" w:bottom="1440" w:gutter="0" w:footer="0" w:header="0"/>
        </w:sectPr>
      </w:pPr>
    </w:p>
    <w:bookmarkStart w:id="99" w:name="page100"/>
    <w:bookmarkEnd w:id="99"/>
    <w:p>
      <w:pPr>
        <w:spacing w:after="0" w:line="260" w:lineRule="auto"/>
        <w:rPr>
          <w:sz w:val="20"/>
          <w:szCs w:val="20"/>
          <w:color w:val="auto"/>
        </w:rPr>
      </w:pPr>
      <w:r>
        <w:rPr>
          <w:rFonts w:ascii="Arial" w:cs="Arial" w:eastAsia="Arial" w:hAnsi="Arial"/>
          <w:sz w:val="12"/>
          <w:szCs w:val="12"/>
          <w:color w:val="auto"/>
        </w:rPr>
        <w:t>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15" w:lineRule="exact"/>
        <w:rPr>
          <w:sz w:val="20"/>
          <w:szCs w:val="20"/>
          <w:color w:val="auto"/>
        </w:rPr>
      </w:pPr>
    </w:p>
    <w:p>
      <w:pPr>
        <w:ind w:firstLine="856"/>
        <w:spacing w:after="0" w:line="306" w:lineRule="auto"/>
        <w:tabs>
          <w:tab w:leader="none" w:pos="1294" w:val="left"/>
        </w:tabs>
        <w:numPr>
          <w:ilvl w:val="0"/>
          <w:numId w:val="48"/>
        </w:numPr>
        <w:rPr>
          <w:rFonts w:ascii="Arial" w:cs="Arial" w:eastAsia="Arial" w:hAnsi="Arial"/>
          <w:sz w:val="11"/>
          <w:szCs w:val="11"/>
          <w:color w:val="auto"/>
        </w:rPr>
      </w:pPr>
      <w:r>
        <w:rPr>
          <w:rFonts w:ascii="Arial" w:cs="Arial" w:eastAsia="Arial" w:hAnsi="Arial"/>
          <w:sz w:val="11"/>
          <w:szCs w:val="11"/>
          <w:color w:val="auto"/>
        </w:rPr>
        <w:t>Bank may debit the Designated Deposit Account (or, if funds in the Designated Deposit Account are insufficient or if an Event of Default as occurred and is continuing, any other account of Borrower maintained with Bank (other than any Excluded Account)) for principal and interest payments or any other amounts Borrower owes Bank when due under the Loan Documents. These debits shall not constitute a set-off.</w:t>
      </w:r>
    </w:p>
    <w:p>
      <w:pPr>
        <w:spacing w:after="0" w:line="8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0"/>
          <w:szCs w:val="10"/>
          <w:b w:val="1"/>
          <w:bCs w:val="1"/>
          <w:color w:val="auto"/>
        </w:rPr>
        <w:t>Change in Circumstances.</w:t>
      </w:r>
    </w:p>
    <w:p>
      <w:pPr>
        <w:spacing w:after="0" w:line="145" w:lineRule="exact"/>
        <w:rPr>
          <w:sz w:val="20"/>
          <w:szCs w:val="20"/>
          <w:color w:val="auto"/>
        </w:rPr>
      </w:pPr>
    </w:p>
    <w:p>
      <w:pPr>
        <w:jc w:val="both"/>
        <w:ind w:firstLine="856"/>
        <w:spacing w:after="0" w:line="266" w:lineRule="auto"/>
        <w:tabs>
          <w:tab w:leader="none" w:pos="1294" w:val="left"/>
        </w:tabs>
        <w:numPr>
          <w:ilvl w:val="0"/>
          <w:numId w:val="49"/>
        </w:numPr>
        <w:rPr>
          <w:rFonts w:ascii="Arial" w:cs="Arial" w:eastAsia="Arial" w:hAnsi="Arial"/>
          <w:sz w:val="11"/>
          <w:szCs w:val="11"/>
          <w:color w:val="auto"/>
        </w:rPr>
      </w:pPr>
      <w:r>
        <w:rPr>
          <w:rFonts w:ascii="Arial" w:cs="Arial" w:eastAsia="Arial" w:hAnsi="Arial"/>
          <w:sz w:val="11"/>
          <w:szCs w:val="11"/>
          <w:u w:val="single" w:color="auto"/>
          <w:color w:val="auto"/>
        </w:rPr>
        <w:t>Increased Costs</w:t>
      </w:r>
      <w:r>
        <w:rPr>
          <w:rFonts w:ascii="Arial" w:cs="Arial" w:eastAsia="Arial" w:hAnsi="Arial"/>
          <w:sz w:val="11"/>
          <w:szCs w:val="11"/>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12" w:lineRule="exact"/>
        <w:rPr>
          <w:rFonts w:ascii="Arial" w:cs="Arial" w:eastAsia="Arial" w:hAnsi="Arial"/>
          <w:sz w:val="11"/>
          <w:szCs w:val="11"/>
          <w:color w:val="auto"/>
        </w:rPr>
      </w:pPr>
    </w:p>
    <w:p>
      <w:pPr>
        <w:jc w:val="both"/>
        <w:ind w:firstLine="856"/>
        <w:spacing w:after="0" w:line="243" w:lineRule="auto"/>
        <w:tabs>
          <w:tab w:leader="none" w:pos="1292"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Capital Requirements</w:t>
      </w:r>
      <w:r>
        <w:rPr>
          <w:rFonts w:ascii="Arial" w:cs="Arial" w:eastAsia="Arial" w:hAnsi="Arial"/>
          <w:sz w:val="12"/>
          <w:szCs w:val="12"/>
          <w:color w:val="auto"/>
        </w:rPr>
        <w:t>. If Bank determines that any Change in Law affecting Bank regarding capital or liquidity requirements, has or would have the effect of reducing the rate of return on Bank’s capital as a consequence of this Agreement, the Revolving Line,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25" w:lineRule="exact"/>
        <w:rPr>
          <w:rFonts w:ascii="Arial" w:cs="Arial" w:eastAsia="Arial" w:hAnsi="Arial"/>
          <w:sz w:val="12"/>
          <w:szCs w:val="12"/>
          <w:color w:val="auto"/>
        </w:rPr>
      </w:pPr>
    </w:p>
    <w:p>
      <w:pPr>
        <w:jc w:val="both"/>
        <w:ind w:firstLine="856"/>
        <w:spacing w:after="0" w:line="281" w:lineRule="auto"/>
        <w:tabs>
          <w:tab w:leader="none" w:pos="1294" w:val="left"/>
        </w:tabs>
        <w:numPr>
          <w:ilvl w:val="0"/>
          <w:numId w:val="49"/>
        </w:numPr>
        <w:rPr>
          <w:rFonts w:ascii="Arial" w:cs="Arial" w:eastAsia="Arial" w:hAnsi="Arial"/>
          <w:sz w:val="11"/>
          <w:szCs w:val="11"/>
          <w:color w:val="auto"/>
        </w:rPr>
      </w:pPr>
      <w:r>
        <w:rPr>
          <w:rFonts w:ascii="Arial" w:cs="Arial" w:eastAsia="Arial" w:hAnsi="Arial"/>
          <w:sz w:val="11"/>
          <w:szCs w:val="11"/>
          <w:u w:val="single" w:color="auto"/>
          <w:color w:val="auto"/>
        </w:rPr>
        <w:t>Delay in Requests</w:t>
      </w:r>
      <w:r>
        <w:rPr>
          <w:rFonts w:ascii="Arial" w:cs="Arial" w:eastAsia="Arial" w:hAnsi="Arial"/>
          <w:sz w:val="11"/>
          <w:szCs w:val="11"/>
          <w:color w:val="auto"/>
        </w:rPr>
        <w:t>. Failure or delay on the part of Bank to demand compensation pursuant to this Section 1.7 shall not constitute a waiver of Bank’s right to demand such compensation; provided that Borrower shall not be required to compensate Bank pursuant to subsection (a) for any increased costs incurred or reductions suffered more than 9 months prior to the date that Bank notifies Borrower of the Change in Law giving rise to such increased costs or reductions (except that if the Change in Law giving rise to such increased costs or reductions is retroactive, then the 9-month period shall be extended to include the period of retroactive effect).</w:t>
      </w:r>
    </w:p>
    <w:p>
      <w:pPr>
        <w:spacing w:after="0" w:line="10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1.8</w:t>
      </w:r>
      <w:r>
        <w:rPr>
          <w:sz w:val="20"/>
          <w:szCs w:val="20"/>
          <w:color w:val="auto"/>
        </w:rPr>
        <w:tab/>
      </w:r>
      <w:r>
        <w:rPr>
          <w:rFonts w:ascii="Arial" w:cs="Arial" w:eastAsia="Arial" w:hAnsi="Arial"/>
          <w:sz w:val="10"/>
          <w:szCs w:val="10"/>
          <w:b w:val="1"/>
          <w:bCs w:val="1"/>
          <w:color w:val="auto"/>
        </w:rPr>
        <w:t>Taxes.</w:t>
      </w:r>
    </w:p>
    <w:p>
      <w:pPr>
        <w:spacing w:after="0" w:line="145" w:lineRule="exact"/>
        <w:rPr>
          <w:sz w:val="20"/>
          <w:szCs w:val="20"/>
          <w:color w:val="auto"/>
        </w:rPr>
      </w:pPr>
    </w:p>
    <w:p>
      <w:pPr>
        <w:jc w:val="both"/>
        <w:ind w:firstLine="856"/>
        <w:spacing w:after="0" w:line="241" w:lineRule="auto"/>
        <w:tabs>
          <w:tab w:leader="none" w:pos="1294"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Payments Free of Taxes</w:t>
      </w:r>
      <w:r>
        <w:rPr>
          <w:rFonts w:ascii="Arial" w:cs="Arial" w:eastAsia="Arial" w:hAnsi="Arial"/>
          <w:sz w:val="12"/>
          <w:szCs w:val="12"/>
          <w:color w:val="auto"/>
        </w:rPr>
        <w:t>. Any and all payments by or on account of any Obligation of Borrower under any Loan Document shall be made without deduction or withholding for any Taxes, except as required by Applicable Law. If any Applicable Law (as determined in the good-faith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1.8), Bank receives an amount equal to the sum it would have received had no such deduction or withholding been made.</w:t>
      </w:r>
    </w:p>
    <w:p>
      <w:pPr>
        <w:spacing w:after="0" w:line="126" w:lineRule="exact"/>
        <w:rPr>
          <w:rFonts w:ascii="Arial" w:cs="Arial" w:eastAsia="Arial" w:hAnsi="Arial"/>
          <w:sz w:val="12"/>
          <w:szCs w:val="12"/>
          <w:color w:val="auto"/>
        </w:rPr>
      </w:pPr>
    </w:p>
    <w:p>
      <w:pPr>
        <w:ind w:left="1280" w:hanging="424"/>
        <w:spacing w:after="0"/>
        <w:tabs>
          <w:tab w:leader="none" w:pos="1280" w:val="left"/>
        </w:tabs>
        <w:numPr>
          <w:ilvl w:val="0"/>
          <w:numId w:val="50"/>
        </w:numPr>
        <w:rPr>
          <w:rFonts w:ascii="Arial" w:cs="Arial" w:eastAsia="Arial" w:hAnsi="Arial"/>
          <w:sz w:val="11"/>
          <w:szCs w:val="11"/>
          <w:color w:val="auto"/>
        </w:rPr>
      </w:pPr>
      <w:r>
        <w:rPr>
          <w:rFonts w:ascii="Arial" w:cs="Arial" w:eastAsia="Arial" w:hAnsi="Arial"/>
          <w:sz w:val="11"/>
          <w:szCs w:val="11"/>
          <w:u w:val="single" w:color="auto"/>
          <w:color w:val="auto"/>
        </w:rPr>
        <w:t>Payment of Other Taxes by Borrower</w:t>
      </w:r>
      <w:r>
        <w:rPr>
          <w:rFonts w:ascii="Arial" w:cs="Arial" w:eastAsia="Arial" w:hAnsi="Arial"/>
          <w:sz w:val="11"/>
          <w:szCs w:val="11"/>
          <w:color w:val="auto"/>
        </w:rPr>
        <w:t>. Without limiting the provisions of subsection (a) above, Borrower shall timely pay any Other Taxes to the relevant Governmental Authority in accordance with</w:t>
      </w:r>
    </w:p>
    <w:p>
      <w:pPr>
        <w:spacing w:after="0" w:line="1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995" w:right="299" w:bottom="1440" w:gutter="0" w:footer="0" w:header="0"/>
        </w:sectPr>
      </w:pPr>
    </w:p>
    <w:bookmarkStart w:id="100" w:name="page101"/>
    <w:bookmarkEnd w:id="100"/>
    <w:p>
      <w:pPr>
        <w:jc w:val="both"/>
        <w:ind w:firstLine="856"/>
        <w:spacing w:after="0" w:line="243" w:lineRule="auto"/>
        <w:tabs>
          <w:tab w:leader="none" w:pos="1294"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Tax Indemnification</w:t>
      </w:r>
      <w:r>
        <w:rPr>
          <w:rFonts w:ascii="Arial" w:cs="Arial" w:eastAsia="Arial" w:hAnsi="Arial"/>
          <w:sz w:val="12"/>
          <w:szCs w:val="12"/>
          <w:color w:val="auto"/>
        </w:rPr>
        <w:t>. Without limiting the provisions of subsections (a) and (b) above, Borrower shall, and does hereby, indemnify Bank, within 10 days after demand therefor, for the full amount of any Indemnified Taxes (including Indemnified Taxes imposed or asserted on or attributable to amounts payable under this Section 1.8)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25" w:lineRule="exact"/>
        <w:rPr>
          <w:rFonts w:ascii="Arial" w:cs="Arial" w:eastAsia="Arial" w:hAnsi="Arial"/>
          <w:sz w:val="12"/>
          <w:szCs w:val="12"/>
          <w:color w:val="auto"/>
        </w:rPr>
      </w:pPr>
    </w:p>
    <w:p>
      <w:pPr>
        <w:ind w:firstLine="856"/>
        <w:spacing w:after="0" w:line="260" w:lineRule="auto"/>
        <w:tabs>
          <w:tab w:leader="none" w:pos="1292"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Evidence of Payments</w:t>
      </w:r>
      <w:r>
        <w:rPr>
          <w:rFonts w:ascii="Arial" w:cs="Arial" w:eastAsia="Arial" w:hAnsi="Arial"/>
          <w:sz w:val="12"/>
          <w:szCs w:val="12"/>
          <w:color w:val="auto"/>
        </w:rPr>
        <w:t>. As soon as practicable after any payment of Taxes by Borrower to a Governmental Authority pursuant to this Section 1.8, Borrower shall deliver to Bank a certified copy of a receipt issued by such Governmental Authority evidencing such payment, a copy of the return reporting such payment, or other evidence of such payment reasonably satisfactory to Bank.</w:t>
      </w:r>
    </w:p>
    <w:p>
      <w:pPr>
        <w:spacing w:after="0" w:line="115" w:lineRule="exact"/>
        <w:rPr>
          <w:rFonts w:ascii="Arial" w:cs="Arial" w:eastAsia="Arial" w:hAnsi="Arial"/>
          <w:sz w:val="12"/>
          <w:szCs w:val="12"/>
          <w:color w:val="auto"/>
        </w:rPr>
      </w:pPr>
    </w:p>
    <w:p>
      <w:pPr>
        <w:jc w:val="both"/>
        <w:ind w:firstLine="856"/>
        <w:spacing w:after="0" w:line="261" w:lineRule="auto"/>
        <w:tabs>
          <w:tab w:leader="none" w:pos="1294" w:val="left"/>
        </w:tabs>
        <w:numPr>
          <w:ilvl w:val="0"/>
          <w:numId w:val="51"/>
        </w:numPr>
        <w:rPr>
          <w:rFonts w:ascii="Arial" w:cs="Arial" w:eastAsia="Arial" w:hAnsi="Arial"/>
          <w:sz w:val="11"/>
          <w:szCs w:val="11"/>
          <w:color w:val="auto"/>
        </w:rPr>
      </w:pPr>
      <w:r>
        <w:rPr>
          <w:rFonts w:ascii="Arial" w:cs="Arial" w:eastAsia="Arial" w:hAnsi="Arial"/>
          <w:sz w:val="11"/>
          <w:szCs w:val="11"/>
          <w:u w:val="single" w:color="auto"/>
          <w:color w:val="auto"/>
        </w:rPr>
        <w:t>Status of Bank</w:t>
      </w:r>
      <w:r>
        <w:rPr>
          <w:rFonts w:ascii="Arial" w:cs="Arial" w:eastAsia="Arial" w:hAnsi="Arial"/>
          <w:sz w:val="11"/>
          <w:szCs w:val="11"/>
          <w:color w:val="auto"/>
        </w:rPr>
        <w:t>. If Bank (including any assignee or successor) is entitled to an exemption from or reduction of withholding tax with respect to payments made under any Loan Document, Bank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 Bank agrees that if any form or certification it previously delivered expires or becomes obsolete or inaccurate in any respect, it shall update such form or certification or promptly notify Borrower in writing of its legal inability to do so.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Bank’s obligations under FATCA or to determine the amount, if any, to deduct and withhold from such payment. Solely for purposes of the preceding sentence, “FATCA” shall include any amendments made to FATCA after the date of this Agreement.</w:t>
      </w:r>
    </w:p>
    <w:p>
      <w:pPr>
        <w:spacing w:after="0" w:line="118" w:lineRule="exact"/>
        <w:rPr>
          <w:rFonts w:ascii="Arial" w:cs="Arial" w:eastAsia="Arial" w:hAnsi="Arial"/>
          <w:sz w:val="11"/>
          <w:szCs w:val="11"/>
          <w:color w:val="auto"/>
        </w:rPr>
      </w:pPr>
    </w:p>
    <w:p>
      <w:pPr>
        <w:jc w:val="both"/>
        <w:ind w:firstLine="856"/>
        <w:spacing w:after="0" w:line="238" w:lineRule="auto"/>
        <w:tabs>
          <w:tab w:leader="none" w:pos="129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If Bank determines, in its sole discretion exercised in good faith, that it has received a refund of any Taxes as to which it has been indemnified pursuant to this Section (including by the payment of additional amounts pursuant to this Section), it shall pay to Borrower an amount equal to such refund (but only to the extent of indemnity payments made under this Section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Bank to make available its Tax returns (or any other information relating to its Taxes that it deems confidential) to Borrower or any other Person.</w:t>
      </w:r>
    </w:p>
    <w:p>
      <w:pPr>
        <w:spacing w:after="0" w:line="12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1.9</w:t>
      </w:r>
      <w:r>
        <w:rPr>
          <w:sz w:val="20"/>
          <w:szCs w:val="20"/>
          <w:color w:val="auto"/>
        </w:rPr>
        <w:tab/>
      </w:r>
      <w:r>
        <w:rPr>
          <w:rFonts w:ascii="Arial" w:cs="Arial" w:eastAsia="Arial" w:hAnsi="Arial"/>
          <w:sz w:val="10"/>
          <w:szCs w:val="10"/>
          <w:b w:val="1"/>
          <w:bCs w:val="1"/>
          <w:color w:val="auto"/>
        </w:rPr>
        <w:t>Procedures for Borrowing.</w:t>
      </w:r>
    </w:p>
    <w:p>
      <w:pPr>
        <w:spacing w:after="0" w:line="145" w:lineRule="exact"/>
        <w:rPr>
          <w:sz w:val="20"/>
          <w:szCs w:val="20"/>
          <w:color w:val="auto"/>
        </w:rPr>
      </w:pPr>
    </w:p>
    <w:p>
      <w:pPr>
        <w:ind w:firstLine="856"/>
        <w:spacing w:after="0" w:line="260" w:lineRule="auto"/>
        <w:tabs>
          <w:tab w:leader="none" w:pos="1294" w:val="left"/>
        </w:tabs>
        <w:numPr>
          <w:ilvl w:val="0"/>
          <w:numId w:val="52"/>
        </w:numPr>
        <w:rPr>
          <w:rFonts w:ascii="Arial" w:cs="Arial" w:eastAsia="Arial" w:hAnsi="Arial"/>
          <w:sz w:val="12"/>
          <w:szCs w:val="12"/>
          <w:color w:val="auto"/>
        </w:rPr>
      </w:pPr>
      <w:r>
        <w:rPr>
          <w:rFonts w:ascii="Arial" w:cs="Arial" w:eastAsia="Arial" w:hAnsi="Arial"/>
          <w:sz w:val="12"/>
          <w:szCs w:val="12"/>
          <w:color w:val="auto"/>
        </w:rPr>
        <w:t>Subject to the prior satisfaction of all other applicable conditions to the making of an Advance set forth in this Agreement (which must be satisfied no later than 12:00 p.m. Eastern time on the applicable Funding Date), to obtain an Advance (other than under Sections 1.2 or 1.3), Borrower (via an individual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995" w:right="299" w:bottom="1440" w:gutter="0" w:footer="0" w:header="0"/>
        </w:sectPr>
      </w:pPr>
    </w:p>
    <w:bookmarkStart w:id="101" w:name="page102"/>
    <w:bookmarkEnd w:id="101"/>
    <w:p>
      <w:pPr>
        <w:jc w:val="both"/>
        <w:spacing w:after="0" w:line="241" w:lineRule="auto"/>
        <w:rPr>
          <w:sz w:val="20"/>
          <w:szCs w:val="20"/>
          <w:color w:val="auto"/>
        </w:rPr>
      </w:pPr>
      <w:r>
        <w:rPr>
          <w:rFonts w:ascii="Arial" w:cs="Arial" w:eastAsia="Arial" w:hAnsi="Arial"/>
          <w:sz w:val="12"/>
          <w:szCs w:val="12"/>
          <w:color w:val="auto"/>
        </w:rPr>
        <w:t>authorized by an Administrator) shall notify Bank (which notice shall be irrevocable) by 12:00 p.m. Eastern time on the Funding Date of the Advance. Such notice shall be made through Bank’s online banking program, provided, however, if Borrower is not utilizing Bank’s online banking program, then such notice shall be in a written format acceptable to Bank that is executed by an Authorized Signer. In connection with any such notification, Borrower shall deliver to Bank by electronic mail or through Bank’s online banking program such reports and information, including without limitation, sales journals, cash receipts journals, accounts receivable aging reports, as Bank may reasonably request. Bank shall have received satisfactory evidence that the Board has approved that such Authorized Signer may provide such notices and request Advances (which requirement may be deemed satisfied by the prior delivery of Borrowing Resolutions or a secretary’s certificate that certifies as to such Board approval).</w:t>
      </w:r>
    </w:p>
    <w:p>
      <w:pPr>
        <w:spacing w:after="0" w:line="126" w:lineRule="exact"/>
        <w:rPr>
          <w:sz w:val="20"/>
          <w:szCs w:val="20"/>
          <w:color w:val="auto"/>
        </w:rPr>
      </w:pPr>
    </w:p>
    <w:p>
      <w:pPr>
        <w:ind w:firstLine="856"/>
        <w:spacing w:after="0" w:line="260" w:lineRule="auto"/>
        <w:tabs>
          <w:tab w:leader="none" w:pos="1292"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Bank shall credit proceeds of a Credit Extension to the Designated Deposit Account. Bank may make Advances under this Agreement based on instructions from an Authorized Signer or without instructions if such Advances are necessary to meet Obligations which have become due.</w:t>
      </w:r>
    </w:p>
    <w:p>
      <w:pPr>
        <w:spacing w:after="0" w:line="111" w:lineRule="exact"/>
        <w:rPr>
          <w:sz w:val="20"/>
          <w:szCs w:val="20"/>
          <w:color w:val="auto"/>
        </w:rPr>
      </w:pPr>
    </w:p>
    <w:p>
      <w:pPr>
        <w:ind w:left="860" w:hanging="436"/>
        <w:spacing w:after="0"/>
        <w:tabs>
          <w:tab w:leader="none" w:pos="860"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CONDITIONS OF CREDIT EXTENSIONS</w:t>
      </w:r>
    </w:p>
    <w:p>
      <w:pPr>
        <w:spacing w:after="0" w:line="14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b w:val="1"/>
          <w:bCs w:val="1"/>
          <w:color w:val="auto"/>
        </w:rPr>
        <w:t xml:space="preserve">Conditions Precedent to Initial Credit Extension. </w:t>
      </w:r>
      <w:r>
        <w:rPr>
          <w:rFonts w:ascii="Arial" w:cs="Arial" w:eastAsia="Arial" w:hAnsi="Arial"/>
          <w:sz w:val="11"/>
          <w:szCs w:val="11"/>
          <w:color w:val="auto"/>
        </w:rPr>
        <w:t>Bank’s obligation to make the initial Credit Extension is subject to the condition precedent that Bank shall have received, in form and substance satisfactory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Bank, such documents, and completion of such other matters, as Bank may have reasonably requested, including, without limitation:</w:t>
      </w:r>
    </w:p>
    <w:p>
      <w:pPr>
        <w:spacing w:after="0" w:line="131" w:lineRule="exact"/>
        <w:rPr>
          <w:sz w:val="20"/>
          <w:szCs w:val="20"/>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duly executed Loan Documents;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duly executed Control Agreements required by Bank;</w:t>
      </w:r>
    </w:p>
    <w:p>
      <w:pPr>
        <w:spacing w:after="0" w:line="141" w:lineRule="exact"/>
        <w:rPr>
          <w:rFonts w:ascii="Arial" w:cs="Arial" w:eastAsia="Arial" w:hAnsi="Arial"/>
          <w:sz w:val="12"/>
          <w:szCs w:val="12"/>
          <w:color w:val="auto"/>
        </w:rPr>
      </w:pPr>
    </w:p>
    <w:p>
      <w:pPr>
        <w:jc w:val="both"/>
        <w:ind w:firstLine="856"/>
        <w:spacing w:after="0" w:line="247" w:lineRule="auto"/>
        <w:tabs>
          <w:tab w:leader="none" w:pos="1294"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Operating Documents of each Borrower and (i) a long-form good standing certificate of each Borrower certified by the Secretary of State of the State of Delaware and (ii) good standing/foreign qualification certificates certified by the Secretary of State (or equivalent agency) of each other jurisdiction in which each Borrower is qualified to conduct business, in the case of (i) and (ii), each as of a date no earlier than 30 days prior to the Effective Date;</w:t>
      </w:r>
    </w:p>
    <w:p>
      <w:pPr>
        <w:spacing w:after="0" w:line="122"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certificate duly executed by a Responsible Officer or secretary of each Borrower with respect to such Borrower’s (i) Operating Documents and (ii) Borrowing Resolutions;</w:t>
      </w:r>
    </w:p>
    <w:p>
      <w:pPr>
        <w:spacing w:after="0" w:line="137" w:lineRule="exact"/>
        <w:rPr>
          <w:rFonts w:ascii="Arial" w:cs="Arial" w:eastAsia="Arial" w:hAnsi="Arial"/>
          <w:sz w:val="12"/>
          <w:szCs w:val="12"/>
          <w:color w:val="auto"/>
        </w:rPr>
      </w:pPr>
    </w:p>
    <w:p>
      <w:pPr>
        <w:ind w:firstLine="856"/>
        <w:spacing w:after="0" w:line="267" w:lineRule="auto"/>
        <w:tabs>
          <w:tab w:leader="none" w:pos="1294" w:val="left"/>
        </w:tabs>
        <w:numPr>
          <w:ilvl w:val="0"/>
          <w:numId w:val="55"/>
        </w:numPr>
        <w:rPr>
          <w:rFonts w:ascii="Arial" w:cs="Arial" w:eastAsia="Arial" w:hAnsi="Arial"/>
          <w:sz w:val="12"/>
          <w:szCs w:val="12"/>
          <w:color w:val="auto"/>
        </w:rPr>
      </w:pPr>
      <w:r>
        <w:rPr>
          <w:rFonts w:ascii="Arial" w:cs="Arial" w:eastAsia="Arial" w:hAnsi="Arial"/>
          <w:sz w:val="12"/>
          <w:szCs w:val="12"/>
          <w:color w:val="auto"/>
        </w:rPr>
        <w:t>duly executed subordination agreement by Connecticut Department of Economics and Community Development (“</w:t>
      </w:r>
      <w:r>
        <w:rPr>
          <w:rFonts w:ascii="Arial" w:cs="Arial" w:eastAsia="Arial" w:hAnsi="Arial"/>
          <w:sz w:val="12"/>
          <w:szCs w:val="12"/>
          <w:b w:val="1"/>
          <w:bCs w:val="1"/>
          <w:color w:val="auto"/>
        </w:rPr>
        <w:t>CDEC</w:t>
      </w:r>
      <w:r>
        <w:rPr>
          <w:rFonts w:ascii="Arial" w:cs="Arial" w:eastAsia="Arial" w:hAnsi="Arial"/>
          <w:sz w:val="12"/>
          <w:szCs w:val="12"/>
          <w:color w:val="auto"/>
        </w:rPr>
        <w:t>”) in favor of Bank (the “</w:t>
      </w:r>
      <w:r>
        <w:rPr>
          <w:rFonts w:ascii="Arial" w:cs="Arial" w:eastAsia="Arial" w:hAnsi="Arial"/>
          <w:sz w:val="12"/>
          <w:szCs w:val="12"/>
          <w:b w:val="1"/>
          <w:bCs w:val="1"/>
          <w:color w:val="auto"/>
        </w:rPr>
        <w:t>CDEC Subordination Agreement</w:t>
      </w:r>
      <w:r>
        <w:rPr>
          <w:rFonts w:ascii="Arial" w:cs="Arial" w:eastAsia="Arial" w:hAnsi="Arial"/>
          <w:sz w:val="12"/>
          <w:szCs w:val="12"/>
          <w:color w:val="auto"/>
        </w:rPr>
        <w:t>”), together with copies of the underlying documents evidencing Borrower’s Indebtedness with CDEC;</w:t>
      </w:r>
    </w:p>
    <w:p>
      <w:pPr>
        <w:spacing w:after="0" w:line="110" w:lineRule="exact"/>
        <w:rPr>
          <w:rFonts w:ascii="Arial" w:cs="Arial" w:eastAsia="Arial" w:hAnsi="Arial"/>
          <w:sz w:val="12"/>
          <w:szCs w:val="12"/>
          <w:color w:val="auto"/>
        </w:rPr>
      </w:pPr>
    </w:p>
    <w:p>
      <w:pPr>
        <w:ind w:firstLine="856"/>
        <w:spacing w:after="0" w:line="260" w:lineRule="auto"/>
        <w:tabs>
          <w:tab w:leader="none" w:pos="129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duly executed Perfection Certificate of each Borrower;</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legal opinion of Borrower’s counsel dated as of the Effective Date;</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evidence satisfactory to Bank that the insurance policies required by Section 5.6 hereof are in full force and effect;</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with respect to the initial Advance, the completion of the Initial Audit; and</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payment of the fees and Bank Expenses then due as specified in Section 1.5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995" w:right="299" w:bottom="1440" w:gutter="0" w:footer="0" w:header="0"/>
        </w:sectPr>
      </w:pPr>
    </w:p>
    <w:bookmarkStart w:id="102" w:name="page103"/>
    <w:bookmarkEnd w:id="102"/>
    <w:p>
      <w:pPr>
        <w:ind w:left="420"/>
        <w:spacing w:after="0"/>
        <w:tabs>
          <w:tab w:leader="none" w:pos="84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b w:val="1"/>
          <w:bCs w:val="1"/>
          <w:color w:val="auto"/>
        </w:rPr>
        <w:t xml:space="preserve">Conditions Precedent to all Credit Extensions. </w:t>
      </w:r>
      <w:r>
        <w:rPr>
          <w:rFonts w:ascii="Arial" w:cs="Arial" w:eastAsia="Arial" w:hAnsi="Arial"/>
          <w:sz w:val="10"/>
          <w:szCs w:val="10"/>
          <w:color w:val="auto"/>
        </w:rPr>
        <w:t>Bank’s obligation to make each Credit Extension, including the initial Credit Extension, is subject to the following conditions precedent:</w:t>
      </w:r>
    </w:p>
    <w:p>
      <w:pPr>
        <w:spacing w:after="0" w:line="145" w:lineRule="exact"/>
        <w:rPr>
          <w:sz w:val="20"/>
          <w:szCs w:val="20"/>
          <w:color w:val="auto"/>
        </w:rPr>
      </w:pPr>
    </w:p>
    <w:p>
      <w:pPr>
        <w:ind w:left="1280" w:hanging="424"/>
        <w:spacing w:after="0"/>
        <w:tabs>
          <w:tab w:leader="none" w:pos="12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receipt of Borrower’s Credit Extension request and the related materials and documents as required by and in accordance with Section 1.9;</w:t>
      </w:r>
    </w:p>
    <w:p>
      <w:pPr>
        <w:spacing w:after="0" w:line="141" w:lineRule="exact"/>
        <w:rPr>
          <w:rFonts w:ascii="Arial" w:cs="Arial" w:eastAsia="Arial" w:hAnsi="Arial"/>
          <w:sz w:val="12"/>
          <w:szCs w:val="12"/>
          <w:color w:val="auto"/>
        </w:rPr>
      </w:pPr>
    </w:p>
    <w:p>
      <w:pPr>
        <w:jc w:val="both"/>
        <w:ind w:firstLine="856"/>
        <w:spacing w:after="0" w:line="239" w:lineRule="auto"/>
        <w:tabs>
          <w:tab w:leader="none" w:pos="1292"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are true and correct in all material respects as of such date;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29" w:lineRule="exact"/>
        <w:rPr>
          <w:rFonts w:ascii="Arial" w:cs="Arial" w:eastAsia="Arial" w:hAnsi="Arial"/>
          <w:sz w:val="12"/>
          <w:szCs w:val="12"/>
          <w:color w:val="auto"/>
        </w:rPr>
      </w:pPr>
    </w:p>
    <w:p>
      <w:pPr>
        <w:ind w:left="1280" w:hanging="424"/>
        <w:spacing w:after="0"/>
        <w:tabs>
          <w:tab w:leader="none" w:pos="12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 Material Adverse Change shall not have occurred and be continuing.</w:t>
      </w:r>
    </w:p>
    <w:p>
      <w:pPr>
        <w:spacing w:after="0" w:line="137" w:lineRule="exact"/>
        <w:rPr>
          <w:sz w:val="20"/>
          <w:szCs w:val="20"/>
          <w:color w:val="auto"/>
        </w:rPr>
      </w:pPr>
    </w:p>
    <w:p>
      <w:pPr>
        <w:ind w:firstLine="432"/>
        <w:spacing w:after="0" w:line="313" w:lineRule="auto"/>
        <w:rPr>
          <w:sz w:val="20"/>
          <w:szCs w:val="20"/>
          <w:color w:val="auto"/>
        </w:rPr>
      </w:pPr>
      <w:r>
        <w:rPr>
          <w:rFonts w:ascii="Arial" w:cs="Arial" w:eastAsia="Arial" w:hAnsi="Arial"/>
          <w:sz w:val="11"/>
          <w:szCs w:val="11"/>
          <w:b w:val="1"/>
          <w:bCs w:val="1"/>
          <w:color w:val="auto"/>
        </w:rPr>
        <w:t xml:space="preserve">2.3 Covenant to Deliver. </w:t>
      </w:r>
      <w:r>
        <w:rPr>
          <w:rFonts w:ascii="Arial" w:cs="Arial" w:eastAsia="Arial" w:hAnsi="Arial"/>
          <w:sz w:val="11"/>
          <w:szCs w:val="11"/>
          <w:color w:val="auto"/>
        </w:rPr>
        <w:t>Borrower shall deliver to Bank each item required to be delivered to Bank under this Agreement as a condition precedent to any Credit Extension. A Credit Extension made prior to the receipt by</w:t>
      </w:r>
      <w:r>
        <w:rPr>
          <w:rFonts w:ascii="Arial" w:cs="Arial" w:eastAsia="Arial" w:hAnsi="Arial"/>
          <w:sz w:val="11"/>
          <w:szCs w:val="11"/>
          <w:b w:val="1"/>
          <w:bCs w:val="1"/>
          <w:color w:val="auto"/>
        </w:rPr>
        <w:t xml:space="preserve"> </w:t>
      </w:r>
      <w:r>
        <w:rPr>
          <w:rFonts w:ascii="Arial" w:cs="Arial" w:eastAsia="Arial" w:hAnsi="Arial"/>
          <w:sz w:val="11"/>
          <w:szCs w:val="11"/>
          <w:color w:val="auto"/>
        </w:rPr>
        <w:t>Bank of any such item shall not constitute a waiver by Bank of Borrower’s obligation to deliver such item, and the making of any Credit Extension in the absence of a required item shall be in Bank’s sole discretion.</w:t>
      </w:r>
    </w:p>
    <w:p>
      <w:pPr>
        <w:spacing w:after="0" w:line="84" w:lineRule="exact"/>
        <w:rPr>
          <w:sz w:val="20"/>
          <w:szCs w:val="20"/>
          <w:color w:val="auto"/>
        </w:rPr>
      </w:pPr>
    </w:p>
    <w:p>
      <w:pPr>
        <w:ind w:left="860" w:hanging="436"/>
        <w:spacing w:after="0"/>
        <w:tabs>
          <w:tab w:leader="none" w:pos="860"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CREATION OF SECURITY INTEREST</w:t>
      </w:r>
    </w:p>
    <w:p>
      <w:pPr>
        <w:spacing w:after="0" w:line="141"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3.1</w:t>
      </w:r>
      <w:r>
        <w:rPr>
          <w:rFonts w:ascii="Arial" w:cs="Arial" w:eastAsia="Arial" w:hAnsi="Arial"/>
          <w:sz w:val="10"/>
          <w:szCs w:val="10"/>
          <w:b w:val="1"/>
          <w:bCs w:val="1"/>
          <w:color w:val="auto"/>
        </w:rPr>
        <w:t>Grant of Security Interest.</w:t>
      </w:r>
    </w:p>
    <w:p>
      <w:pPr>
        <w:spacing w:after="0" w:line="145" w:lineRule="exact"/>
        <w:rPr>
          <w:rFonts w:ascii="Arial" w:cs="Arial" w:eastAsia="Arial" w:hAnsi="Arial"/>
          <w:sz w:val="12"/>
          <w:szCs w:val="12"/>
          <w:b w:val="1"/>
          <w:bCs w:val="1"/>
          <w:color w:val="auto"/>
        </w:rPr>
      </w:pPr>
    </w:p>
    <w:p>
      <w:pPr>
        <w:ind w:right="20" w:firstLine="856"/>
        <w:spacing w:after="0" w:line="260" w:lineRule="auto"/>
        <w:tabs>
          <w:tab w:leader="none" w:pos="1294" w:val="left"/>
        </w:tabs>
        <w:numPr>
          <w:ilvl w:val="1"/>
          <w:numId w:val="57"/>
        </w:numPr>
        <w:rPr>
          <w:rFonts w:ascii="Arial" w:cs="Arial" w:eastAsia="Arial" w:hAnsi="Arial"/>
          <w:sz w:val="12"/>
          <w:szCs w:val="12"/>
          <w:color w:val="auto"/>
        </w:rPr>
      </w:pPr>
      <w:r>
        <w:rPr>
          <w:rFonts w:ascii="Arial" w:cs="Arial" w:eastAsia="Arial" w:hAnsi="Arial"/>
          <w:sz w:val="12"/>
          <w:szCs w:val="12"/>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15" w:lineRule="exact"/>
        <w:rPr>
          <w:rFonts w:ascii="Arial" w:cs="Arial" w:eastAsia="Arial" w:hAnsi="Arial"/>
          <w:sz w:val="12"/>
          <w:szCs w:val="12"/>
          <w:color w:val="auto"/>
        </w:rPr>
      </w:pPr>
    </w:p>
    <w:p>
      <w:pPr>
        <w:jc w:val="both"/>
        <w:ind w:firstLine="856"/>
        <w:spacing w:after="0" w:line="247" w:lineRule="auto"/>
        <w:tabs>
          <w:tab w:leader="none" w:pos="1292" w:val="left"/>
        </w:tabs>
        <w:numPr>
          <w:ilvl w:val="1"/>
          <w:numId w:val="57"/>
        </w:numPr>
        <w:rPr>
          <w:rFonts w:ascii="Arial" w:cs="Arial" w:eastAsia="Arial" w:hAnsi="Arial"/>
          <w:sz w:val="12"/>
          <w:szCs w:val="12"/>
          <w:color w:val="auto"/>
        </w:rPr>
      </w:pPr>
      <w:r>
        <w:rPr>
          <w:rFonts w:ascii="Arial" w:cs="Arial" w:eastAsia="Arial" w:hAnsi="Arial"/>
          <w:sz w:val="12"/>
          <w:szCs w:val="12"/>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19"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3.2 Authorization to File Financing Statements. </w:t>
      </w:r>
      <w:r>
        <w:rPr>
          <w:rFonts w:ascii="Arial" w:cs="Arial" w:eastAsia="Arial" w:hAnsi="Arial"/>
          <w:sz w:val="12"/>
          <w:szCs w:val="12"/>
          <w:color w:val="auto"/>
        </w:rPr>
        <w:t>Borrower hereby authorizes Bank to file financing statements, without notice to Borrower, with all jurisdictions deemed necessary or appropriate by Bank to perfect or</w:t>
      </w:r>
      <w:r>
        <w:rPr>
          <w:rFonts w:ascii="Arial" w:cs="Arial" w:eastAsia="Arial" w:hAnsi="Arial"/>
          <w:sz w:val="12"/>
          <w:szCs w:val="12"/>
          <w:b w:val="1"/>
          <w:bCs w:val="1"/>
          <w:color w:val="auto"/>
        </w:rPr>
        <w:t xml:space="preserve"> </w:t>
      </w:r>
      <w:r>
        <w:rPr>
          <w:rFonts w:ascii="Arial" w:cs="Arial" w:eastAsia="Arial" w:hAnsi="Arial"/>
          <w:sz w:val="12"/>
          <w:szCs w:val="12"/>
          <w:color w:val="auto"/>
        </w:rPr>
        <w:t>protect Bank’s interest or rights hereunder, including a notice that any disposition of the Collateral in violation of this Agreement, by either Borrower or any other Person, shall be deemed to violate the rights of Bank under the Code. Such financing statements may indicate the Collateral as “all assets of the Debtor” or words of similar effect.</w:t>
      </w:r>
    </w:p>
    <w:p>
      <w:pPr>
        <w:spacing w:after="0" w:line="116"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b w:val="1"/>
          <w:bCs w:val="1"/>
          <w:color w:val="auto"/>
        </w:rPr>
        <w:t>1.3 Termination</w:t>
      </w:r>
      <w:r>
        <w:rPr>
          <w:rFonts w:ascii="Arial" w:cs="Arial" w:eastAsia="Arial" w:hAnsi="Arial"/>
          <w:sz w:val="12"/>
          <w:szCs w:val="12"/>
          <w:color w:val="auto"/>
        </w:rPr>
        <w:t>. If this Agreement is terminated, Bank’s Lien in the Collateral shall continue until the Obligations (other than inchoate indemnity or other obligations which, by their terms, survive termination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are repaid in full in cash. Upon payment in full in cash of the Obligations (other than inchoate indemnity or other obligations which, by their terms, survive termination of this Agreement) and at such time as Bank’s obligation to make Credit Extensions has terminated, Bank shall, at Borrower’s sole cost and expense, terminate its security interest in the Collateral and all rights therein shall revert to Borrower, and Bank shall take such actions as may be reasonably requested by Borrower to evidence such repayment and release (including delivery of a payoff letter and filing of UCC-3 termination statements (or authorizing Borrower to file such UCC-3 termination statements)) and all of Borrower’s obligations pursuant to Sections 5 and 6 herein shall terminate. In the event (a) all Obligations (other than inchoate indemnity or other obligations which, by their terms, survive termination of this Agreement), except for Bank Services, are satisfied in full, and (b) this Agreement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991" w:right="299" w:bottom="1440" w:gutter="0" w:footer="0" w:header="0"/>
        </w:sectPr>
      </w:pPr>
    </w:p>
    <w:bookmarkStart w:id="103" w:name="page104"/>
    <w:bookmarkEnd w:id="103"/>
    <w:p>
      <w:pPr>
        <w:jc w:val="both"/>
        <w:spacing w:after="0" w:line="243" w:lineRule="auto"/>
        <w:rPr>
          <w:sz w:val="20"/>
          <w:szCs w:val="20"/>
          <w:color w:val="auto"/>
        </w:rPr>
      </w:pPr>
      <w:r>
        <w:rPr>
          <w:rFonts w:ascii="Arial" w:cs="Arial" w:eastAsia="Arial" w:hAnsi="Arial"/>
          <w:sz w:val="12"/>
          <w:szCs w:val="12"/>
          <w:color w:val="auto"/>
        </w:rPr>
        <w:t>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(x) 105.0% of the face amount of all such Letters of Credit denominated in Dollars and (y) 110.0%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21" w:lineRule="exact"/>
        <w:rPr>
          <w:sz w:val="20"/>
          <w:szCs w:val="20"/>
          <w:color w:val="auto"/>
        </w:rPr>
      </w:pPr>
    </w:p>
    <w:p>
      <w:pPr>
        <w:ind w:left="860" w:hanging="436"/>
        <w:spacing w:after="0"/>
        <w:tabs>
          <w:tab w:leader="none" w:pos="860" w:val="left"/>
        </w:tabs>
        <w:numPr>
          <w:ilvl w:val="0"/>
          <w:numId w:val="5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Borrower represents and warrants as follows:</w:t>
      </w:r>
    </w:p>
    <w:p>
      <w:pPr>
        <w:spacing w:after="0" w:line="13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1"/>
          <w:szCs w:val="11"/>
          <w:b w:val="1"/>
          <w:bCs w:val="1"/>
          <w:color w:val="auto"/>
        </w:rPr>
        <w:t>Due Organization, Authorization; Power and Authority.</w:t>
      </w:r>
    </w:p>
    <w:p>
      <w:pPr>
        <w:spacing w:after="0" w:line="145" w:lineRule="exact"/>
        <w:rPr>
          <w:sz w:val="20"/>
          <w:szCs w:val="20"/>
          <w:color w:val="auto"/>
        </w:rPr>
      </w:pPr>
    </w:p>
    <w:p>
      <w:pPr>
        <w:jc w:val="both"/>
        <w:ind w:firstLine="856"/>
        <w:spacing w:after="0" w:line="247" w:lineRule="auto"/>
        <w:tabs>
          <w:tab w:leader="none" w:pos="1294" w:val="left"/>
        </w:tabs>
        <w:numPr>
          <w:ilvl w:val="0"/>
          <w:numId w:val="59"/>
        </w:numPr>
        <w:rPr>
          <w:rFonts w:ascii="Arial" w:cs="Arial" w:eastAsia="Arial" w:hAnsi="Arial"/>
          <w:sz w:val="12"/>
          <w:szCs w:val="12"/>
          <w:color w:val="auto"/>
        </w:rPr>
      </w:pPr>
      <w:r>
        <w:rPr>
          <w:rFonts w:ascii="Arial" w:cs="Arial" w:eastAsia="Arial" w:hAnsi="Arial"/>
          <w:sz w:val="12"/>
          <w:szCs w:val="12"/>
          <w:color w:val="auto"/>
        </w:rPr>
        <w:t>Each Borrower and each of its Subsidiaries are each duly existing and in good standing as a Registered Organization in their respective jurisdiction of formation and are qualified and licensed to do business and are in good standing in any jurisdiction in which the conduct of their respective business or their ownership of property requires that they be qualified, except where the failure to do so could not reasonably be expected to have a material adverse effect on such Borrower’s business or operations.</w:t>
      </w:r>
    </w:p>
    <w:p>
      <w:pPr>
        <w:spacing w:after="0" w:line="122" w:lineRule="exact"/>
        <w:rPr>
          <w:rFonts w:ascii="Arial" w:cs="Arial" w:eastAsia="Arial" w:hAnsi="Arial"/>
          <w:sz w:val="12"/>
          <w:szCs w:val="12"/>
          <w:color w:val="auto"/>
        </w:rPr>
      </w:pPr>
    </w:p>
    <w:p>
      <w:pPr>
        <w:jc w:val="both"/>
        <w:ind w:firstLine="856"/>
        <w:spacing w:after="0" w:line="247" w:lineRule="auto"/>
        <w:tabs>
          <w:tab w:leader="none" w:pos="1292" w:val="left"/>
        </w:tabs>
        <w:numPr>
          <w:ilvl w:val="0"/>
          <w:numId w:val="59"/>
        </w:numPr>
        <w:rPr>
          <w:rFonts w:ascii="Arial" w:cs="Arial" w:eastAsia="Arial" w:hAnsi="Arial"/>
          <w:sz w:val="12"/>
          <w:szCs w:val="12"/>
          <w:color w:val="auto"/>
        </w:rPr>
      </w:pPr>
      <w:r>
        <w:rPr>
          <w:rFonts w:ascii="Arial" w:cs="Arial" w:eastAsia="Arial" w:hAnsi="Arial"/>
          <w:sz w:val="12"/>
          <w:szCs w:val="12"/>
          <w:color w:val="auto"/>
        </w:rPr>
        <w:t>All information set forth on the Perfection Certificate pertaining to such Borrower and each of its Subsidiaries is true and correct in all material respects (it being understood and agreed that such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22" w:lineRule="exact"/>
        <w:rPr>
          <w:rFonts w:ascii="Arial" w:cs="Arial" w:eastAsia="Arial" w:hAnsi="Arial"/>
          <w:sz w:val="12"/>
          <w:szCs w:val="12"/>
          <w:color w:val="auto"/>
        </w:rPr>
      </w:pPr>
    </w:p>
    <w:p>
      <w:pPr>
        <w:jc w:val="both"/>
        <w:ind w:firstLine="856"/>
        <w:spacing w:after="0" w:line="239" w:lineRule="auto"/>
        <w:tabs>
          <w:tab w:leader="none" w:pos="1294"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execution, delivery, and performance by Borrower and each of its Subsidiaries of the Loan Documents to which they are parties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are bound or affected, (iv) require any action by, filing, registration, or qualification with, or Governmental Approval from, any Governmental Authority (except financing statements filed in connection herewith and such Governmental Approvals which have already been obtained and are in full force and effect or are to be obtained pursuant to Section 5.2(b)),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they are parties or by which it is bound in which the default could reasonably be expected to have a material adverse effect on Borrower’s or any of its Subsidiary’s business or operations.</w:t>
      </w:r>
    </w:p>
    <w:p>
      <w:pPr>
        <w:spacing w:after="0" w:line="12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1"/>
          <w:szCs w:val="11"/>
          <w:b w:val="1"/>
          <w:bCs w:val="1"/>
          <w:color w:val="auto"/>
        </w:rPr>
        <w:t>Collateral.</w:t>
      </w:r>
    </w:p>
    <w:p>
      <w:pPr>
        <w:spacing w:after="0" w:line="145" w:lineRule="exact"/>
        <w:rPr>
          <w:sz w:val="20"/>
          <w:szCs w:val="20"/>
          <w:color w:val="auto"/>
        </w:rPr>
      </w:pPr>
    </w:p>
    <w:p>
      <w:pPr>
        <w:ind w:firstLine="856"/>
        <w:spacing w:after="0" w:line="260" w:lineRule="auto"/>
        <w:tabs>
          <w:tab w:leader="none" w:pos="1294"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15" w:lineRule="exact"/>
        <w:rPr>
          <w:rFonts w:ascii="Arial" w:cs="Arial" w:eastAsia="Arial" w:hAnsi="Arial"/>
          <w:sz w:val="12"/>
          <w:szCs w:val="12"/>
          <w:color w:val="auto"/>
        </w:rPr>
      </w:pPr>
    </w:p>
    <w:p>
      <w:pPr>
        <w:jc w:val="both"/>
        <w:ind w:firstLine="856"/>
        <w:spacing w:after="0" w:line="247" w:lineRule="auto"/>
        <w:tabs>
          <w:tab w:leader="none" w:pos="1292" w:val="left"/>
        </w:tabs>
        <w:numPr>
          <w:ilvl w:val="0"/>
          <w:numId w:val="60"/>
        </w:numPr>
        <w:rPr>
          <w:rFonts w:ascii="Arial" w:cs="Arial" w:eastAsia="Arial" w:hAnsi="Arial"/>
          <w:sz w:val="12"/>
          <w:szCs w:val="12"/>
          <w:color w:val="auto"/>
        </w:rPr>
      </w:pPr>
      <w:r>
        <w:rPr>
          <w:rFonts w:ascii="Arial" w:cs="Arial" w:eastAsia="Arial" w:hAnsi="Arial"/>
          <w:sz w:val="12"/>
          <w:szCs w:val="12"/>
          <w:color w:val="auto"/>
        </w:rPr>
        <w:t>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reasonably requested by Bank and necessary to give Bank a perfected security interest therein, to the extent required by and pursuant to the terms of Section 5.7(c). To Borrower’s knowledge, the Accounts are bona fide, existing obligations of the Account Debtors.</w:t>
      </w:r>
    </w:p>
    <w:p>
      <w:pPr>
        <w:spacing w:after="0" w:line="122" w:lineRule="exact"/>
        <w:rPr>
          <w:rFonts w:ascii="Arial" w:cs="Arial" w:eastAsia="Arial" w:hAnsi="Arial"/>
          <w:sz w:val="12"/>
          <w:szCs w:val="12"/>
          <w:color w:val="auto"/>
        </w:rPr>
      </w:pPr>
    </w:p>
    <w:p>
      <w:pPr>
        <w:ind w:right="20" w:firstLine="856"/>
        <w:spacing w:after="0" w:line="260" w:lineRule="auto"/>
        <w:tabs>
          <w:tab w:leader="none" w:pos="1294"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Collateral is not in the possession of any third-party bailee (such as a warehouse) except as otherwise provided in the Perfection Certificate or as permitted pursuant to Section 6.2. None of the components of the Collateral (other than mobile equipment such as laptop computers and personal digital assistants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995" w:right="29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color w:val="auto"/>
        </w:rPr>
        <w:t>in the possession of Borrower’s employees or agents) shall be maintained at locations other than as provided in the Perfection Certificate or as permitted pursuant to Section 6.2.</w:t>
      </w:r>
    </w:p>
    <w:p>
      <w:pPr>
        <w:spacing w:after="0" w:line="141" w:lineRule="exact"/>
        <w:rPr>
          <w:sz w:val="20"/>
          <w:szCs w:val="20"/>
          <w:color w:val="auto"/>
        </w:rPr>
      </w:pPr>
    </w:p>
    <w:p>
      <w:pPr>
        <w:ind w:left="1280" w:hanging="424"/>
        <w:spacing w:after="0"/>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Inventory is in all material respects of good and marketable quality, free from material defects.</w:t>
      </w:r>
    </w:p>
    <w:p>
      <w:pPr>
        <w:spacing w:after="0" w:line="141" w:lineRule="exact"/>
        <w:rPr>
          <w:rFonts w:ascii="Arial" w:cs="Arial" w:eastAsia="Arial" w:hAnsi="Arial"/>
          <w:sz w:val="12"/>
          <w:szCs w:val="12"/>
          <w:color w:val="auto"/>
        </w:rPr>
      </w:pPr>
    </w:p>
    <w:p>
      <w:pPr>
        <w:jc w:val="both"/>
        <w:ind w:firstLine="856"/>
        <w:spacing w:after="0" w:line="321" w:lineRule="auto"/>
        <w:tabs>
          <w:tab w:leader="none" w:pos="1294" w:val="left"/>
        </w:tabs>
        <w:numPr>
          <w:ilvl w:val="0"/>
          <w:numId w:val="61"/>
        </w:numPr>
        <w:rPr>
          <w:rFonts w:ascii="Arial" w:cs="Arial" w:eastAsia="Arial" w:hAnsi="Arial"/>
          <w:sz w:val="10"/>
          <w:szCs w:val="10"/>
          <w:color w:val="auto"/>
        </w:rPr>
      </w:pPr>
      <w:r>
        <w:rPr>
          <w:rFonts w:ascii="Arial" w:cs="Arial" w:eastAsia="Arial" w:hAnsi="Arial"/>
          <w:sz w:val="10"/>
          <w:szCs w:val="10"/>
          <w:color w:val="auto"/>
        </w:rPr>
        <w:t>Borrower owns, or possesses the right to use to the extent necessary in its business, all Intellectual Property, licenses, and other intangible assets that are used in the conduct of its business as now operated, except to the extent that such failure to own or possess the right to use such asset would not reasonably be expected to have a material adverse effect on Borrower’s business or operations, and no such asset, to the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87" w:lineRule="exact"/>
        <w:rPr>
          <w:rFonts w:ascii="Arial" w:cs="Arial" w:eastAsia="Arial" w:hAnsi="Arial"/>
          <w:sz w:val="10"/>
          <w:szCs w:val="10"/>
          <w:color w:val="auto"/>
        </w:rPr>
      </w:pPr>
    </w:p>
    <w:p>
      <w:pPr>
        <w:ind w:left="1280" w:hanging="424"/>
        <w:spacing w:after="0"/>
        <w:tabs>
          <w:tab w:leader="none" w:pos="12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Except as noted on the Perfection Certificate or for which notice has been given to Bank pursuant to and in accordance with Section 5.9(b). Borrower is not a party to, nor is it bound by, any Restricted</w:t>
      </w:r>
    </w:p>
    <w:p>
      <w:pPr>
        <w:spacing w:after="0" w:line="1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License.</w:t>
      </w:r>
    </w:p>
    <w:p>
      <w:pPr>
        <w:spacing w:after="0" w:line="127"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4.3 Litigation. </w:t>
      </w:r>
      <w:r>
        <w:rPr>
          <w:rFonts w:ascii="Arial" w:cs="Arial" w:eastAsia="Arial" w:hAnsi="Arial"/>
          <w:sz w:val="12"/>
          <w:szCs w:val="12"/>
          <w:color w:val="auto"/>
        </w:rPr>
        <w:t>Other than as set forth in the Perfection Certificate or as disclosed to Bank pursuant to Section 5.3(i), there are no actions, investigations or proceedings pending or, to the knowledge of any Responsible</w:t>
      </w:r>
      <w:r>
        <w:rPr>
          <w:rFonts w:ascii="Arial" w:cs="Arial" w:eastAsia="Arial" w:hAnsi="Arial"/>
          <w:sz w:val="12"/>
          <w:szCs w:val="12"/>
          <w:b w:val="1"/>
          <w:bCs w:val="1"/>
          <w:color w:val="auto"/>
        </w:rPr>
        <w:t xml:space="preserve"> </w:t>
      </w:r>
      <w:r>
        <w:rPr>
          <w:rFonts w:ascii="Arial" w:cs="Arial" w:eastAsia="Arial" w:hAnsi="Arial"/>
          <w:sz w:val="12"/>
          <w:szCs w:val="12"/>
          <w:color w:val="auto"/>
        </w:rPr>
        <w:t>Officer, threatened in writing by or against Borrower or any of its Subsidiaries involving more than, individually or in the aggregate, $1,250,000.00 not covered by independent third party insurance as to which liability has been accepted by the carrier providing such insurance.</w:t>
      </w:r>
    </w:p>
    <w:p>
      <w:pPr>
        <w:spacing w:after="0" w:line="116"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b w:val="1"/>
          <w:bCs w:val="1"/>
          <w:color w:val="auto"/>
        </w:rPr>
        <w:t xml:space="preserve">4.4 Financial Statements; Financial Condition. </w:t>
      </w:r>
      <w:r>
        <w:rPr>
          <w:rFonts w:ascii="Arial" w:cs="Arial" w:eastAsia="Arial" w:hAnsi="Arial"/>
          <w:sz w:val="12"/>
          <w:szCs w:val="12"/>
          <w:color w:val="auto"/>
        </w:rPr>
        <w:t>All consolidated financial statements for Borrower and any of its Subsidiaries delivered to Bank by submission to the Financial Statement Repository or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submitted to Bank fairly present in all material respects Borrower’s consolidated financial condition as of the date thereof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 by Borrower.</w:t>
      </w:r>
    </w:p>
    <w:p>
      <w:pPr>
        <w:spacing w:after="0" w:line="12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4.5 Solvency. </w:t>
      </w:r>
      <w:r>
        <w:rPr>
          <w:rFonts w:ascii="Arial" w:cs="Arial" w:eastAsia="Arial" w:hAnsi="Arial"/>
          <w:sz w:val="12"/>
          <w:szCs w:val="12"/>
          <w:color w:val="auto"/>
        </w:rPr>
        <w:t>The fair salable value of Borrower’s consolidated assets (including goodwill minus disposition costs) exceeds the fair value of Borrower’s liabilities; Borrower is not left with unreasonably small capital after</w:t>
      </w:r>
      <w:r>
        <w:rPr>
          <w:rFonts w:ascii="Arial" w:cs="Arial" w:eastAsia="Arial" w:hAnsi="Arial"/>
          <w:sz w:val="12"/>
          <w:szCs w:val="12"/>
          <w:b w:val="1"/>
          <w:bCs w:val="1"/>
          <w:color w:val="auto"/>
        </w:rPr>
        <w:t xml:space="preserve"> </w:t>
      </w:r>
      <w:r>
        <w:rPr>
          <w:rFonts w:ascii="Arial" w:cs="Arial" w:eastAsia="Arial" w:hAnsi="Arial"/>
          <w:sz w:val="12"/>
          <w:szCs w:val="12"/>
          <w:color w:val="auto"/>
        </w:rPr>
        <w:t>the transactions in this Agreement; and Borrower and each of its Subsidiaries are able to pay their debts (including trade debts) as they mature.</w:t>
      </w:r>
    </w:p>
    <w:p>
      <w:pPr>
        <w:spacing w:after="0" w:line="10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1"/>
          <w:szCs w:val="11"/>
          <w:b w:val="1"/>
          <w:bCs w:val="1"/>
          <w:color w:val="auto"/>
        </w:rPr>
        <w:t xml:space="preserve">1.6 Regulatory Compliance. </w:t>
      </w:r>
      <w:r>
        <w:rPr>
          <w:rFonts w:ascii="Arial" w:cs="Arial" w:eastAsia="Arial" w:hAnsi="Arial"/>
          <w:sz w:val="11"/>
          <w:szCs w:val="11"/>
          <w:color w:val="auto"/>
        </w:rPr>
        <w:t>Borrower is not an “investment company” or a company “controlled” by an “investment company” under the Investment Company Act of 1940, as amended. Borrower is not engaged as one</w:t>
      </w:r>
      <w:r>
        <w:rPr>
          <w:rFonts w:ascii="Arial" w:cs="Arial" w:eastAsia="Arial" w:hAnsi="Arial"/>
          <w:sz w:val="11"/>
          <w:szCs w:val="11"/>
          <w:b w:val="1"/>
          <w:bCs w:val="1"/>
          <w:color w:val="auto"/>
        </w:rPr>
        <w:t xml:space="preserve"> </w:t>
      </w:r>
      <w:r>
        <w:rPr>
          <w:rFonts w:ascii="Arial" w:cs="Arial" w:eastAsia="Arial" w:hAnsi="Arial"/>
          <w:sz w:val="11"/>
          <w:szCs w:val="11"/>
          <w:color w:val="auto"/>
        </w:rPr>
        <w:t>of its important activities in extending credit for margin stock (under Regulations X, T and U of the Federal Reserve Board of Governors). Borrower and each of its Subsidiaries (a) have complied in all material respects with all Applicable Law, including Healthcare Laws, and (b) have not violated any Applicable Law (including Healthcare Laws)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except where the failure to obtain or make or file the same would not reasonably be expected to have a material adverse effect on Borrower’s business or operations. Borrower and each of its Subsidiaries have obtained all consents, including Healthcare Permits,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995" w:right="299" w:bottom="1440" w:gutter="0" w:footer="0" w:header="0"/>
        </w:sectPr>
      </w:pPr>
    </w:p>
    <w:bookmarkStart w:id="105" w:name="page106"/>
    <w:bookmarkEnd w:id="105"/>
    <w:p>
      <w:pPr>
        <w:jc w:val="both"/>
        <w:ind w:firstLine="432"/>
        <w:spacing w:after="0" w:line="260" w:lineRule="auto"/>
        <w:rPr>
          <w:sz w:val="20"/>
          <w:szCs w:val="20"/>
          <w:color w:val="auto"/>
        </w:rPr>
      </w:pPr>
      <w:r>
        <w:rPr>
          <w:rFonts w:ascii="Arial" w:cs="Arial" w:eastAsia="Arial" w:hAnsi="Arial"/>
          <w:sz w:val="11"/>
          <w:szCs w:val="11"/>
          <w:color w:val="auto"/>
        </w:rPr>
        <w:t>Without limiting the generality of the foregoing: (i) neither Borrower nor any Subsidiary nor Affiliate of Borrower, nor to the knowledge of Borrower, any individual employed by Borrower or any Subsidiary, would reasonably be expected to have criminal culpability or to be excluded from participation in any Medical Reimbursement Program for corporate or individual actions or failures to act known to Borrower or any Subsidiary where such culpability or exclusion has resulted or could reasonably be expected to result in an Exclusion Event and neither Borrower nor any Subsidiary nor, to the knowledge of the Borrower, any individual employed by Borrower or any Subsidiary has been subject to sanction or been indicted or convicted of a crime, or pled nolo contendere or to sufficient facts, in connection with any allegation of violation of any Medical Reimbursement Program or Healthcare Law; (ii) to the knowledge of Borrower, no officer or other member of management of Borrower or any Subsidiary could reasonably be expected to have individual culpability for matters under investigation by the OIG or other Governmental Authority unless such officer or other member of management has been, within a reasonable period of time after discovery of such actual or potential culpability, either suspended or removed from positions of responsibility related to those activities under challenge by the OIG or other Governmental Authority; (iii) current billing policies, arrangements, protocols, practices and instructions of Borrower and its Subsidiaries comply with requirements of Medical Reimbursement Programs and are administered by properly trained personnel; (iv) current arrangements of Borrower and its Subsidiaries and Affiliates with physicians and other healthcare providers and referral sources comply with all Healthcare Laws; (v) neither Borrower nor any Subsidiary or Affiliate of Borrower (A) is or has within the last five (5) years been a party to a Corporate Integrity Agreement with the OIG that imposes restrictions or costs on such Person nor (B) has or has had within the last five (5) years any reporting obligations pursuant to a settlement agreement, plan of correction or other remedial measure entered into with any Governmental Authority; (vi) neither Borrower nor any Subsidiary or Affiliate of Borrower is in receipt of any written notice of any violation of any Requirement of Law, judgment, order writ, decree, permit, concession, franchise or other governmental approval applicable to it or any of its property; (vii) neither Borrower nor any Subsidiary or Affiliate of Borrower (A) failed to repay any overpayments received from, or has failed to refund any amount due to, any Medical Reimbursement Program in violation of any Healthcare Law nor (B) received written notice of, or has any knowledge of, any overpayment or refunds due to any Medical Reimbursement Program, other than notices of a non-material nature received in the ordinary course of business; and (viii) neither Borrower nor any Subsidiary of Borrower is affiliated in any way with a Person that currently is the subject of an Exclusion Event.</w:t>
      </w:r>
    </w:p>
    <w:p>
      <w:pPr>
        <w:spacing w:after="0" w:line="13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0"/>
          <w:szCs w:val="10"/>
          <w:b w:val="1"/>
          <w:bCs w:val="1"/>
          <w:color w:val="auto"/>
        </w:rPr>
        <w:t xml:space="preserve">Subsidiaries; Investments. </w:t>
      </w:r>
      <w:r>
        <w:rPr>
          <w:rFonts w:ascii="Arial" w:cs="Arial" w:eastAsia="Arial" w:hAnsi="Arial"/>
          <w:sz w:val="10"/>
          <w:szCs w:val="10"/>
          <w:color w:val="auto"/>
        </w:rPr>
        <w:t>Borrower does not own any stock, partnership, or other ownership interest or other equity securities except for Permitted Investments.</w:t>
      </w:r>
    </w:p>
    <w:p>
      <w:pPr>
        <w:spacing w:after="0" w:line="14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4.8</w:t>
      </w:r>
      <w:r>
        <w:rPr>
          <w:sz w:val="20"/>
          <w:szCs w:val="20"/>
          <w:color w:val="auto"/>
        </w:rPr>
        <w:tab/>
      </w:r>
      <w:r>
        <w:rPr>
          <w:rFonts w:ascii="Arial" w:cs="Arial" w:eastAsia="Arial" w:hAnsi="Arial"/>
          <w:sz w:val="10"/>
          <w:szCs w:val="10"/>
          <w:b w:val="1"/>
          <w:bCs w:val="1"/>
          <w:color w:val="auto"/>
        </w:rPr>
        <w:t>Tax Returns and Payments; Pension Contributions.</w:t>
      </w:r>
    </w:p>
    <w:p>
      <w:pPr>
        <w:spacing w:after="0" w:line="145" w:lineRule="exact"/>
        <w:rPr>
          <w:sz w:val="20"/>
          <w:szCs w:val="20"/>
          <w:color w:val="auto"/>
        </w:rPr>
      </w:pPr>
    </w:p>
    <w:p>
      <w:pPr>
        <w:jc w:val="both"/>
        <w:ind w:firstLine="856"/>
        <w:spacing w:after="0" w:line="241" w:lineRule="auto"/>
        <w:tabs>
          <w:tab w:leader="none" w:pos="1294" w:val="left"/>
        </w:tabs>
        <w:numPr>
          <w:ilvl w:val="0"/>
          <w:numId w:val="62"/>
        </w:numPr>
        <w:rPr>
          <w:rFonts w:ascii="Arial" w:cs="Arial" w:eastAsia="Arial" w:hAnsi="Arial"/>
          <w:sz w:val="12"/>
          <w:szCs w:val="12"/>
          <w:color w:val="auto"/>
        </w:rPr>
      </w:pPr>
      <w:r>
        <w:rPr>
          <w:rFonts w:ascii="Arial" w:cs="Arial" w:eastAsia="Arial" w:hAnsi="Arial"/>
          <w:sz w:val="12"/>
          <w:szCs w:val="12"/>
          <w:color w:val="auto"/>
        </w:rPr>
        <w:t>Borrower and each of its Subsidiaries have timely filed (subject to validly filed extensions), or submitted extensions for, all required tax returns and reports, and Borrower and each of its Subsidiaries have timely paid all foreign, federal, state and local taxes, assessments, deposits, and contributions owed by Borrower and each of its Subsidiaries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$100,000.00. Borrower is unaware of any claims or adjustments proposed for any of Borrower’s or any of its Subsidiary’s prior tax years which could result in additional taxes becoming due and payable by Borrower or any of its Subsidiaries in excess of $100,000.00 in the aggregate.</w:t>
      </w:r>
    </w:p>
    <w:p>
      <w:pPr>
        <w:spacing w:after="0" w:line="126" w:lineRule="exact"/>
        <w:rPr>
          <w:rFonts w:ascii="Arial" w:cs="Arial" w:eastAsia="Arial" w:hAnsi="Arial"/>
          <w:sz w:val="12"/>
          <w:szCs w:val="12"/>
          <w:color w:val="auto"/>
        </w:rPr>
      </w:pPr>
    </w:p>
    <w:p>
      <w:pPr>
        <w:jc w:val="both"/>
        <w:ind w:firstLine="856"/>
        <w:spacing w:after="0" w:line="281" w:lineRule="auto"/>
        <w:tabs>
          <w:tab w:leader="none" w:pos="1292" w:val="left"/>
        </w:tabs>
        <w:numPr>
          <w:ilvl w:val="0"/>
          <w:numId w:val="62"/>
        </w:numPr>
        <w:rPr>
          <w:rFonts w:ascii="Arial" w:cs="Arial" w:eastAsia="Arial" w:hAnsi="Arial"/>
          <w:sz w:val="11"/>
          <w:szCs w:val="11"/>
          <w:color w:val="auto"/>
        </w:rPr>
      </w:pPr>
      <w:r>
        <w:rPr>
          <w:rFonts w:ascii="Arial" w:cs="Arial" w:eastAsia="Arial" w:hAnsi="Arial"/>
          <w:sz w:val="11"/>
          <w:szCs w:val="11"/>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01" w:lineRule="exact"/>
        <w:rPr>
          <w:sz w:val="20"/>
          <w:szCs w:val="20"/>
          <w:color w:val="auto"/>
        </w:rPr>
      </w:pPr>
    </w:p>
    <w:p>
      <w:pPr>
        <w:ind w:right="20" w:firstLine="432"/>
        <w:spacing w:after="0" w:line="313" w:lineRule="auto"/>
        <w:rPr>
          <w:sz w:val="20"/>
          <w:szCs w:val="20"/>
          <w:color w:val="auto"/>
        </w:rPr>
      </w:pPr>
      <w:r>
        <w:rPr>
          <w:rFonts w:ascii="Arial" w:cs="Arial" w:eastAsia="Arial" w:hAnsi="Arial"/>
          <w:sz w:val="11"/>
          <w:szCs w:val="11"/>
          <w:b w:val="1"/>
          <w:bCs w:val="1"/>
          <w:color w:val="auto"/>
        </w:rPr>
        <w:t xml:space="preserve">4.9 Full Disclosure. </w:t>
      </w:r>
      <w:r>
        <w:rPr>
          <w:rFonts w:ascii="Arial" w:cs="Arial" w:eastAsia="Arial" w:hAnsi="Arial"/>
          <w:sz w:val="11"/>
          <w:szCs w:val="11"/>
          <w:color w:val="auto"/>
        </w:rPr>
        <w:t>No written representation, warranty, or other statement of Borrower or any of its Subsidiaries in any report, certificate, or written statement submitted to the Financial Statement Repository or</w:t>
      </w:r>
      <w:r>
        <w:rPr>
          <w:rFonts w:ascii="Arial" w:cs="Arial" w:eastAsia="Arial" w:hAnsi="Arial"/>
          <w:sz w:val="11"/>
          <w:szCs w:val="11"/>
          <w:b w:val="1"/>
          <w:bCs w:val="1"/>
          <w:color w:val="auto"/>
        </w:rPr>
        <w:t xml:space="preserve"> </w:t>
      </w:r>
      <w:r>
        <w:rPr>
          <w:rFonts w:ascii="Arial" w:cs="Arial" w:eastAsia="Arial" w:hAnsi="Arial"/>
          <w:sz w:val="11"/>
          <w:szCs w:val="11"/>
          <w:color w:val="auto"/>
        </w:rPr>
        <w:t>otherwise submitted to Bank by Borrower in connection with the Loan Documents, as of the date such representation, warranty, or other statement was made, taken together with all such reports, certificates, and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995" w:right="299" w:bottom="1440" w:gutter="0" w:footer="0" w:header="0"/>
        </w:sectPr>
      </w:pPr>
    </w:p>
    <w:bookmarkStart w:id="106" w:name="page107"/>
    <w:bookmarkEnd w:id="106"/>
    <w:p>
      <w:pPr>
        <w:jc w:val="both"/>
        <w:spacing w:after="0" w:line="243" w:lineRule="auto"/>
        <w:rPr>
          <w:sz w:val="20"/>
          <w:szCs w:val="20"/>
          <w:color w:val="auto"/>
        </w:rPr>
      </w:pPr>
      <w:r>
        <w:rPr>
          <w:rFonts w:ascii="Arial" w:cs="Arial" w:eastAsia="Arial" w:hAnsi="Arial"/>
          <w:sz w:val="12"/>
          <w:szCs w:val="12"/>
          <w:color w:val="auto"/>
        </w:rPr>
        <w:t>statements submitted to the Financial Statement Repository or otherwise submitted to Bank by Borrower in connection with the Loan Documents,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b w:val="1"/>
          <w:bCs w:val="1"/>
          <w:color w:val="auto"/>
        </w:rPr>
        <w:t>4.10 Sanctions</w:t>
      </w:r>
      <w:r>
        <w:rPr>
          <w:rFonts w:ascii="Arial" w:cs="Arial" w:eastAsia="Arial" w:hAnsi="Arial"/>
          <w:sz w:val="11"/>
          <w:szCs w:val="11"/>
          <w:color w:val="auto"/>
        </w:rPr>
        <w:t>. Neither Borrower nor any of its Subsidiaries is: (a) in violation of any Sanctions; or (b) a Sanctioned Person. Neither Borrower nor any of its Subsidiaries, directors, or officers, or to the knowledge of</w:t>
      </w:r>
      <w:r>
        <w:rPr>
          <w:rFonts w:ascii="Arial" w:cs="Arial" w:eastAsia="Arial" w:hAnsi="Arial"/>
          <w:sz w:val="11"/>
          <w:szCs w:val="11"/>
          <w:b w:val="1"/>
          <w:bCs w:val="1"/>
          <w:color w:val="auto"/>
        </w:rPr>
        <w:t xml:space="preserve"> </w:t>
      </w:r>
      <w:r>
        <w:rPr>
          <w:rFonts w:ascii="Arial" w:cs="Arial" w:eastAsia="Arial" w:hAnsi="Arial"/>
          <w:sz w:val="11"/>
          <w:szCs w:val="11"/>
          <w:color w:val="auto"/>
        </w:rPr>
        <w:t>Borrower, any of its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04"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b w:val="1"/>
          <w:bCs w:val="1"/>
          <w:color w:val="auto"/>
        </w:rPr>
        <w:t>1.11 Healthcare Permits</w:t>
      </w:r>
      <w:r>
        <w:rPr>
          <w:rFonts w:ascii="Arial" w:cs="Arial" w:eastAsia="Arial" w:hAnsi="Arial"/>
          <w:sz w:val="12"/>
          <w:szCs w:val="12"/>
          <w:color w:val="auto"/>
        </w:rPr>
        <w:t>. (a) Borrower has obtained all Healthcare Permits and other rights from, and has made all declarations and filings with, all applicable Governmental Authorities, all self-regulatory authorities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all courts and other tribunals necessary to engage in the management and/or operation of their respective business; (b) each such Healthcare Permit is valid and in full force and effect, and Borrower is in compliance with the terms and conditions of all such Healthcare Permits; and (c) Borrower has not received notice from any Governmental Authority with respect to the revocation, suspension, restriction, limitation or termination of any Healthcare Permit nor, to the knowledge of Borrower, is any such action proposed or threatened in writing.</w:t>
      </w:r>
    </w:p>
    <w:p>
      <w:pPr>
        <w:spacing w:after="0" w:line="121"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b w:val="1"/>
          <w:bCs w:val="1"/>
          <w:color w:val="auto"/>
        </w:rPr>
        <w:t>4.12</w:t>
      </w:r>
      <w:r>
        <w:rPr>
          <w:sz w:val="20"/>
          <w:szCs w:val="20"/>
          <w:color w:val="auto"/>
        </w:rPr>
        <w:tab/>
      </w:r>
      <w:r>
        <w:rPr>
          <w:rFonts w:ascii="Arial" w:cs="Arial" w:eastAsia="Arial" w:hAnsi="Arial"/>
          <w:sz w:val="10"/>
          <w:szCs w:val="10"/>
          <w:b w:val="1"/>
          <w:bCs w:val="1"/>
          <w:color w:val="auto"/>
        </w:rPr>
        <w:t>Compliance with Healthcare Laws.</w:t>
      </w:r>
    </w:p>
    <w:p>
      <w:pPr>
        <w:spacing w:after="0" w:line="145" w:lineRule="exact"/>
        <w:rPr>
          <w:sz w:val="20"/>
          <w:szCs w:val="20"/>
          <w:color w:val="auto"/>
        </w:rPr>
      </w:pPr>
    </w:p>
    <w:p>
      <w:pPr>
        <w:jc w:val="both"/>
        <w:ind w:firstLine="856"/>
        <w:spacing w:after="0" w:line="247" w:lineRule="auto"/>
        <w:tabs>
          <w:tab w:leader="none" w:pos="1294" w:val="left"/>
        </w:tabs>
        <w:numPr>
          <w:ilvl w:val="0"/>
          <w:numId w:val="63"/>
        </w:numPr>
        <w:rPr>
          <w:rFonts w:ascii="Arial" w:cs="Arial" w:eastAsia="Arial" w:hAnsi="Arial"/>
          <w:sz w:val="12"/>
          <w:szCs w:val="12"/>
          <w:color w:val="auto"/>
        </w:rPr>
      </w:pPr>
      <w:r>
        <w:rPr>
          <w:rFonts w:ascii="Arial" w:cs="Arial" w:eastAsia="Arial" w:hAnsi="Arial"/>
          <w:sz w:val="12"/>
          <w:szCs w:val="12"/>
          <w:color w:val="auto"/>
        </w:rPr>
        <w:t>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122" w:lineRule="exact"/>
        <w:rPr>
          <w:rFonts w:ascii="Arial" w:cs="Arial" w:eastAsia="Arial" w:hAnsi="Arial"/>
          <w:sz w:val="12"/>
          <w:szCs w:val="12"/>
          <w:color w:val="auto"/>
        </w:rPr>
      </w:pPr>
    </w:p>
    <w:p>
      <w:pPr>
        <w:ind w:firstLine="856"/>
        <w:spacing w:after="0" w:line="260" w:lineRule="auto"/>
        <w:tabs>
          <w:tab w:leader="none" w:pos="1292" w:val="left"/>
        </w:tabs>
        <w:numPr>
          <w:ilvl w:val="0"/>
          <w:numId w:val="63"/>
        </w:numPr>
        <w:rPr>
          <w:rFonts w:ascii="Arial" w:cs="Arial" w:eastAsia="Arial" w:hAnsi="Arial"/>
          <w:sz w:val="12"/>
          <w:szCs w:val="12"/>
          <w:color w:val="auto"/>
        </w:rPr>
      </w:pPr>
      <w:r>
        <w:rPr>
          <w:rFonts w:ascii="Arial" w:cs="Arial" w:eastAsia="Arial" w:hAnsi="Arial"/>
          <w:sz w:val="12"/>
          <w:szCs w:val="12"/>
          <w:color w:val="auto"/>
        </w:rPr>
        <w:t>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63"/>
        </w:numPr>
        <w:rPr>
          <w:rFonts w:ascii="Arial" w:cs="Arial" w:eastAsia="Arial" w:hAnsi="Arial"/>
          <w:sz w:val="11"/>
          <w:szCs w:val="11"/>
          <w:color w:val="auto"/>
        </w:rPr>
      </w:pPr>
      <w:r>
        <w:rPr>
          <w:rFonts w:ascii="Arial" w:cs="Arial" w:eastAsia="Arial" w:hAnsi="Arial"/>
          <w:sz w:val="11"/>
          <w:szCs w:val="11"/>
          <w:color w:val="auto"/>
        </w:rPr>
        <w:t>Borrower is not a party to any corporate integrity agreements, deferred prosecution agreements, monitoring agreements, consent decrees, settlement orders or similar agreements with or imposed by any</w:t>
      </w:r>
    </w:p>
    <w:p>
      <w:pPr>
        <w:spacing w:after="0" w:line="1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Governmental Authority.</w:t>
      </w:r>
    </w:p>
    <w:p>
      <w:pPr>
        <w:spacing w:after="0" w:line="127" w:lineRule="exact"/>
        <w:rPr>
          <w:sz w:val="20"/>
          <w:szCs w:val="20"/>
          <w:color w:val="auto"/>
        </w:rPr>
      </w:pPr>
    </w:p>
    <w:p>
      <w:pPr>
        <w:ind w:left="860" w:hanging="436"/>
        <w:spacing w:after="0"/>
        <w:tabs>
          <w:tab w:leader="none" w:pos="860"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AFFIRMATIVE COVENANTS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Borrower shall do all of the following:</w:t>
      </w:r>
    </w:p>
    <w:p>
      <w:pPr>
        <w:spacing w:after="0" w:line="13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 xml:space="preserve">Use of Proceeds. </w:t>
      </w:r>
      <w:r>
        <w:rPr>
          <w:rFonts w:ascii="Arial" w:cs="Arial" w:eastAsia="Arial" w:hAnsi="Arial"/>
          <w:sz w:val="10"/>
          <w:szCs w:val="10"/>
          <w:color w:val="auto"/>
        </w:rPr>
        <w:t>Cause the proceeds of the Credit Extensions to be used solely (a) as working capital or (b) to fund its general business purposes, and not for personal, family, household or agricultural purposes.</w:t>
      </w:r>
    </w:p>
    <w:p>
      <w:pPr>
        <w:spacing w:after="0" w:line="14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0"/>
          <w:szCs w:val="10"/>
          <w:b w:val="1"/>
          <w:bCs w:val="1"/>
          <w:color w:val="auto"/>
        </w:rPr>
        <w:t>Government Compliance.</w:t>
      </w:r>
    </w:p>
    <w:p>
      <w:pPr>
        <w:spacing w:after="0" w:line="145" w:lineRule="exact"/>
        <w:rPr>
          <w:sz w:val="20"/>
          <w:szCs w:val="20"/>
          <w:color w:val="auto"/>
        </w:rPr>
      </w:pPr>
    </w:p>
    <w:p>
      <w:pPr>
        <w:ind w:firstLine="856"/>
        <w:spacing w:after="0" w:line="306" w:lineRule="auto"/>
        <w:tabs>
          <w:tab w:leader="none" w:pos="1294" w:val="left"/>
        </w:tabs>
        <w:numPr>
          <w:ilvl w:val="0"/>
          <w:numId w:val="65"/>
        </w:numPr>
        <w:rPr>
          <w:rFonts w:ascii="Arial" w:cs="Arial" w:eastAsia="Arial" w:hAnsi="Arial"/>
          <w:sz w:val="11"/>
          <w:szCs w:val="11"/>
          <w:color w:val="auto"/>
        </w:rPr>
      </w:pPr>
      <w:r>
        <w:rPr>
          <w:rFonts w:ascii="Arial" w:cs="Arial" w:eastAsia="Arial" w:hAnsi="Arial"/>
          <w:sz w:val="11"/>
          <w:szCs w:val="11"/>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995" w:right="299"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color w:val="auto"/>
        </w:rPr>
        <w:t>all material respects, with all laws, ordinances and regulations to which it is subject, the failure to comply with which could reasonably be expected to have a material adverse effect on Borrower’s business or operations.</w:t>
      </w:r>
    </w:p>
    <w:p>
      <w:pPr>
        <w:spacing w:after="0" w:line="153" w:lineRule="exact"/>
        <w:rPr>
          <w:sz w:val="20"/>
          <w:szCs w:val="20"/>
          <w:color w:val="auto"/>
        </w:rPr>
      </w:pPr>
    </w:p>
    <w:p>
      <w:pPr>
        <w:ind w:firstLine="856"/>
        <w:spacing w:after="0" w:line="260" w:lineRule="auto"/>
        <w:tabs>
          <w:tab w:leader="none" w:pos="1292" w:val="left"/>
        </w:tabs>
        <w:numPr>
          <w:ilvl w:val="0"/>
          <w:numId w:val="66"/>
        </w:numPr>
        <w:rPr>
          <w:rFonts w:ascii="Arial" w:cs="Arial" w:eastAsia="Arial" w:hAnsi="Arial"/>
          <w:sz w:val="12"/>
          <w:szCs w:val="12"/>
          <w:color w:val="auto"/>
        </w:rPr>
      </w:pPr>
      <w:r>
        <w:rPr>
          <w:rFonts w:ascii="Arial" w:cs="Arial" w:eastAsia="Arial" w:hAnsi="Arial"/>
          <w:sz w:val="12"/>
          <w:szCs w:val="12"/>
          <w:color w:val="auto"/>
        </w:rPr>
        <w:t>Obtain all of the Governmental Approvals necessary for the performance by Borrower and each of its Subsidiaries of their obligations under the Loan Documents to which they are parties, including any grant of a security interest to Bank in the Collateral. Borrower shall promptly provide copies of any such obtained Governmental Approvals to Bank.</w:t>
      </w:r>
    </w:p>
    <w:p>
      <w:pPr>
        <w:spacing w:after="0" w:line="115" w:lineRule="exact"/>
        <w:rPr>
          <w:rFonts w:ascii="Arial" w:cs="Arial" w:eastAsia="Arial" w:hAnsi="Arial"/>
          <w:sz w:val="12"/>
          <w:szCs w:val="12"/>
          <w:color w:val="auto"/>
        </w:rPr>
      </w:pPr>
    </w:p>
    <w:p>
      <w:pPr>
        <w:jc w:val="both"/>
        <w:ind w:firstLine="856"/>
        <w:spacing w:after="0" w:line="241" w:lineRule="auto"/>
        <w:tabs>
          <w:tab w:leader="none" w:pos="1294" w:val="left"/>
        </w:tabs>
        <w:numPr>
          <w:ilvl w:val="0"/>
          <w:numId w:val="66"/>
        </w:numPr>
        <w:rPr>
          <w:rFonts w:ascii="Arial" w:cs="Arial" w:eastAsia="Arial" w:hAnsi="Arial"/>
          <w:sz w:val="12"/>
          <w:szCs w:val="12"/>
          <w:color w:val="auto"/>
        </w:rPr>
      </w:pPr>
      <w:r>
        <w:rPr>
          <w:rFonts w:ascii="Arial" w:cs="Arial" w:eastAsia="Arial" w:hAnsi="Arial"/>
          <w:sz w:val="12"/>
          <w:szCs w:val="12"/>
          <w:color w:val="auto"/>
        </w:rPr>
        <w:t>Cause the operations and property of Borrower, each of its Subsidiaries, to comply with all applicable Healthcare Laws. Without limiting the foregoing, the operations and property of Borrower and each of its Subsidiaries shall comply with HIPAA in all material respects. Borrower has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As of the Effective Date, Borrower has delivered to Bank an accurate and complete copy of each material report, study, survey or other document of which Borrower has knowledge that addresses or otherwise relates to the compliance by Borrower and each of its Subsidiaries, with applicable Healthcare Laws.</w:t>
      </w:r>
    </w:p>
    <w:p>
      <w:pPr>
        <w:spacing w:after="0" w:line="12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0"/>
          <w:szCs w:val="10"/>
          <w:b w:val="1"/>
          <w:bCs w:val="1"/>
          <w:color w:val="auto"/>
        </w:rPr>
        <w:t xml:space="preserve">Financial Statements, Reports. </w:t>
      </w:r>
      <w:r>
        <w:rPr>
          <w:rFonts w:ascii="Arial" w:cs="Arial" w:eastAsia="Arial" w:hAnsi="Arial"/>
          <w:sz w:val="10"/>
          <w:szCs w:val="10"/>
          <w:color w:val="auto"/>
        </w:rPr>
        <w:t>Deliver to Bank by submitting to the Financial Statement Repository:</w:t>
      </w:r>
    </w:p>
    <w:p>
      <w:pPr>
        <w:spacing w:after="0" w:line="145" w:lineRule="exact"/>
        <w:rPr>
          <w:sz w:val="20"/>
          <w:szCs w:val="20"/>
          <w:color w:val="auto"/>
        </w:rPr>
      </w:pPr>
    </w:p>
    <w:p>
      <w:pPr>
        <w:ind w:right="20" w:firstLine="856"/>
        <w:spacing w:after="0" w:line="260" w:lineRule="auto"/>
        <w:tabs>
          <w:tab w:leader="none" w:pos="1294"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Monthly Financial Statements</w:t>
      </w:r>
      <w:r>
        <w:rPr>
          <w:rFonts w:ascii="Arial" w:cs="Arial" w:eastAsia="Arial" w:hAnsi="Arial"/>
          <w:sz w:val="12"/>
          <w:szCs w:val="12"/>
          <w:color w:val="auto"/>
        </w:rPr>
        <w:t>. As soon as available, but no later than 30 days after the last day of each month, a company prepared consolidated balance sheet and income statement covering Borrower’s consolidated operations for such month and in a form reasonably acceptable to Bank;</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67"/>
        </w:numPr>
        <w:rPr>
          <w:rFonts w:ascii="Arial" w:cs="Arial" w:eastAsia="Arial" w:hAnsi="Arial"/>
          <w:sz w:val="10"/>
          <w:szCs w:val="10"/>
          <w:color w:val="auto"/>
        </w:rPr>
      </w:pPr>
      <w:r>
        <w:rPr>
          <w:rFonts w:ascii="Arial" w:cs="Arial" w:eastAsia="Arial" w:hAnsi="Arial"/>
          <w:sz w:val="10"/>
          <w:szCs w:val="10"/>
          <w:u w:val="single" w:color="auto"/>
          <w:color w:val="auto"/>
        </w:rPr>
        <w:t>Compliance Statement</w:t>
      </w:r>
      <w:r>
        <w:rPr>
          <w:rFonts w:ascii="Arial" w:cs="Arial" w:eastAsia="Arial" w:hAnsi="Arial"/>
          <w:sz w:val="10"/>
          <w:szCs w:val="10"/>
          <w:color w:val="auto"/>
        </w:rPr>
        <w:t xml:space="preserve">. Within 30 days after the last day of each month and together with the statements set forth in Section 5.3(a), a duly completed Compliance Statement in substantially the form of </w:t>
      </w:r>
      <w:r>
        <w:rPr>
          <w:rFonts w:ascii="Arial" w:cs="Arial" w:eastAsia="Arial" w:hAnsi="Arial"/>
          <w:sz w:val="10"/>
          <w:szCs w:val="10"/>
          <w:u w:val="single" w:color="auto"/>
          <w:color w:val="auto"/>
        </w:rPr>
        <w:t>Exhibit</w:t>
      </w:r>
    </w:p>
    <w:p>
      <w:pPr>
        <w:spacing w:after="0" w:line="30"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u w:val="single" w:color="auto"/>
          <w:color w:val="auto"/>
        </w:rPr>
        <w:t>A</w:t>
      </w:r>
      <w:r>
        <w:rPr>
          <w:rFonts w:ascii="Arial" w:cs="Arial" w:eastAsia="Arial" w:hAnsi="Arial"/>
          <w:sz w:val="12"/>
          <w:szCs w:val="12"/>
          <w:color w:val="auto"/>
        </w:rPr>
        <w:t>;</w:t>
      </w:r>
    </w:p>
    <w:p>
      <w:pPr>
        <w:spacing w:after="0" w:line="131" w:lineRule="exact"/>
        <w:rPr>
          <w:rFonts w:ascii="Arial" w:cs="Arial" w:eastAsia="Arial" w:hAnsi="Arial"/>
          <w:sz w:val="10"/>
          <w:szCs w:val="10"/>
          <w:color w:val="auto"/>
        </w:rPr>
      </w:pPr>
    </w:p>
    <w:p>
      <w:pPr>
        <w:ind w:right="20" w:firstLine="856"/>
        <w:spacing w:after="0" w:line="260" w:lineRule="auto"/>
        <w:tabs>
          <w:tab w:leader="none" w:pos="1294"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10-Q reports</w:t>
      </w:r>
      <w:r>
        <w:rPr>
          <w:rFonts w:ascii="Arial" w:cs="Arial" w:eastAsia="Arial" w:hAnsi="Arial"/>
          <w:sz w:val="12"/>
          <w:szCs w:val="12"/>
          <w:color w:val="auto"/>
        </w:rPr>
        <w:t>. Within 45 days after the end of the first 3 fiscal quarters of Borrower, a company prepared consolidated balance sheet and income statement covering Borrower’s consolidated operations for such quarter, consistent with such quarterly financial statements submitted to the SEC, in a form of presentation reasonably acceptable to Bank;</w:t>
      </w:r>
    </w:p>
    <w:p>
      <w:pPr>
        <w:spacing w:after="0" w:line="115" w:lineRule="exact"/>
        <w:rPr>
          <w:rFonts w:ascii="Arial" w:cs="Arial" w:eastAsia="Arial" w:hAnsi="Arial"/>
          <w:sz w:val="12"/>
          <w:szCs w:val="12"/>
          <w:color w:val="auto"/>
        </w:rPr>
      </w:pPr>
    </w:p>
    <w:p>
      <w:pPr>
        <w:jc w:val="both"/>
        <w:ind w:firstLine="856"/>
        <w:spacing w:after="0" w:line="281" w:lineRule="auto"/>
        <w:tabs>
          <w:tab w:leader="none" w:pos="1292" w:val="left"/>
        </w:tabs>
        <w:numPr>
          <w:ilvl w:val="0"/>
          <w:numId w:val="67"/>
        </w:numPr>
        <w:rPr>
          <w:rFonts w:ascii="Arial" w:cs="Arial" w:eastAsia="Arial" w:hAnsi="Arial"/>
          <w:sz w:val="11"/>
          <w:szCs w:val="11"/>
          <w:color w:val="auto"/>
        </w:rPr>
      </w:pPr>
      <w:r>
        <w:rPr>
          <w:rFonts w:ascii="Arial" w:cs="Arial" w:eastAsia="Arial" w:hAnsi="Arial"/>
          <w:sz w:val="11"/>
          <w:szCs w:val="11"/>
          <w:u w:val="single" w:color="auto"/>
          <w:color w:val="auto"/>
        </w:rPr>
        <w:t>Annual Operating Budget and Financial Projections</w:t>
      </w:r>
      <w:r>
        <w:rPr>
          <w:rFonts w:ascii="Arial" w:cs="Arial" w:eastAsia="Arial" w:hAnsi="Arial"/>
          <w:sz w:val="11"/>
          <w:szCs w:val="11"/>
          <w:color w:val="auto"/>
        </w:rPr>
        <w:t>. As soon as available, and in any event within 60 days after the last day of each fiscal year of Borrower, and contemporaneously with any updates or amendments thereto, (A) annual operating budgets (including income statements, balance sheets and cash flow statements, by month) for the current fiscal year of Borrower, and (B) annual financial projections for the current fiscal year (on a quarterly basis), in each case as approved by the Board, together with any related business forecasts used in the preparation of such annual financial projections;</w:t>
      </w:r>
    </w:p>
    <w:p>
      <w:pPr>
        <w:spacing w:after="0" w:line="104" w:lineRule="exact"/>
        <w:rPr>
          <w:rFonts w:ascii="Arial" w:cs="Arial" w:eastAsia="Arial" w:hAnsi="Arial"/>
          <w:sz w:val="11"/>
          <w:szCs w:val="11"/>
          <w:color w:val="auto"/>
        </w:rPr>
      </w:pPr>
    </w:p>
    <w:p>
      <w:pPr>
        <w:ind w:firstLine="856"/>
        <w:spacing w:after="0" w:line="306" w:lineRule="auto"/>
        <w:tabs>
          <w:tab w:leader="none" w:pos="1294" w:val="left"/>
        </w:tabs>
        <w:numPr>
          <w:ilvl w:val="0"/>
          <w:numId w:val="67"/>
        </w:numPr>
        <w:rPr>
          <w:rFonts w:ascii="Arial" w:cs="Arial" w:eastAsia="Arial" w:hAnsi="Arial"/>
          <w:sz w:val="11"/>
          <w:szCs w:val="11"/>
          <w:color w:val="auto"/>
        </w:rPr>
      </w:pPr>
      <w:r>
        <w:rPr>
          <w:rFonts w:ascii="Arial" w:cs="Arial" w:eastAsia="Arial" w:hAnsi="Arial"/>
          <w:sz w:val="11"/>
          <w:szCs w:val="11"/>
          <w:u w:val="single" w:color="auto"/>
          <w:color w:val="auto"/>
        </w:rPr>
        <w:t>10-K Reports and Annual Audited Financial Statements</w:t>
      </w:r>
      <w:r>
        <w:rPr>
          <w:rFonts w:ascii="Arial" w:cs="Arial" w:eastAsia="Arial" w:hAnsi="Arial"/>
          <w:sz w:val="11"/>
          <w:szCs w:val="11"/>
          <w:color w:val="auto"/>
        </w:rPr>
        <w:t>. As soon as available, and in any event within 90 days following the end of Borrower’s fiscal year, Borrower’s 10-K report, together with audited consolidated financial statements prepared under GAAP, consistently applied, together with an unqualified opinion on the financial statements from an independent certified public accounting firm reasonably acceptable to Bank;</w:t>
      </w:r>
    </w:p>
    <w:p>
      <w:pPr>
        <w:spacing w:after="0" w:line="91" w:lineRule="exact"/>
        <w:rPr>
          <w:rFonts w:ascii="Arial" w:cs="Arial" w:eastAsia="Arial" w:hAnsi="Arial"/>
          <w:sz w:val="11"/>
          <w:szCs w:val="11"/>
          <w:color w:val="auto"/>
        </w:rPr>
      </w:pPr>
    </w:p>
    <w:p>
      <w:pPr>
        <w:jc w:val="both"/>
        <w:ind w:firstLine="856"/>
        <w:spacing w:after="0" w:line="272" w:lineRule="auto"/>
        <w:tabs>
          <w:tab w:leader="none" w:pos="1290" w:val="left"/>
        </w:tabs>
        <w:numPr>
          <w:ilvl w:val="0"/>
          <w:numId w:val="67"/>
        </w:numPr>
        <w:rPr>
          <w:rFonts w:ascii="Arial" w:cs="Arial" w:eastAsia="Arial" w:hAnsi="Arial"/>
          <w:sz w:val="11"/>
          <w:szCs w:val="11"/>
          <w:color w:val="auto"/>
        </w:rPr>
      </w:pPr>
      <w:r>
        <w:rPr>
          <w:rFonts w:ascii="Arial" w:cs="Arial" w:eastAsia="Arial" w:hAnsi="Arial"/>
          <w:sz w:val="11"/>
          <w:szCs w:val="11"/>
          <w:u w:val="single" w:color="auto"/>
          <w:color w:val="auto"/>
        </w:rPr>
        <w:t>SEC Filings</w:t>
      </w:r>
      <w:r>
        <w:rPr>
          <w:rFonts w:ascii="Arial" w:cs="Arial" w:eastAsia="Arial" w:hAnsi="Arial"/>
          <w:sz w:val="11"/>
          <w:szCs w:val="11"/>
          <w:color w:val="auto"/>
        </w:rPr>
        <w:t>. Within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995" w:right="2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color w:val="auto"/>
        </w:rPr>
        <w:t>however, Borrower shall promptly notify Bank in writing (which may be by electronic mail) of the posting of any such documents;</w:t>
      </w:r>
    </w:p>
    <w:p>
      <w:pPr>
        <w:spacing w:after="0" w:line="141" w:lineRule="exact"/>
        <w:rPr>
          <w:sz w:val="20"/>
          <w:szCs w:val="20"/>
          <w:color w:val="auto"/>
        </w:rPr>
      </w:pPr>
    </w:p>
    <w:p>
      <w:pPr>
        <w:ind w:firstLine="856"/>
        <w:spacing w:after="0" w:line="260" w:lineRule="auto"/>
        <w:tabs>
          <w:tab w:leader="none" w:pos="1292"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Security Holder and Subordinated Debt Holder Reports</w:t>
      </w:r>
      <w:r>
        <w:rPr>
          <w:rFonts w:ascii="Arial" w:cs="Arial" w:eastAsia="Arial" w:hAnsi="Arial"/>
          <w:sz w:val="12"/>
          <w:szCs w:val="12"/>
          <w:color w:val="auto"/>
        </w:rPr>
        <w:t>. Within 5 days of delivery, copies of all statements, reports, and notices made available to Borrower’s security holders or to any holders of Subordinated Debt (solely in their capacities as security holders or holders of Subordinated Debt and not in any other role);</w:t>
      </w:r>
    </w:p>
    <w:p>
      <w:pPr>
        <w:spacing w:after="0" w:line="115" w:lineRule="exact"/>
        <w:rPr>
          <w:rFonts w:ascii="Arial" w:cs="Arial" w:eastAsia="Arial" w:hAnsi="Arial"/>
          <w:sz w:val="12"/>
          <w:szCs w:val="12"/>
          <w:color w:val="auto"/>
        </w:rPr>
      </w:pPr>
    </w:p>
    <w:p>
      <w:pPr>
        <w:ind w:firstLine="856"/>
        <w:spacing w:after="0" w:line="306" w:lineRule="auto"/>
        <w:tabs>
          <w:tab w:leader="none" w:pos="1292" w:val="left"/>
        </w:tabs>
        <w:numPr>
          <w:ilvl w:val="0"/>
          <w:numId w:val="68"/>
        </w:numPr>
        <w:rPr>
          <w:rFonts w:ascii="Arial" w:cs="Arial" w:eastAsia="Arial" w:hAnsi="Arial"/>
          <w:sz w:val="11"/>
          <w:szCs w:val="11"/>
          <w:color w:val="auto"/>
        </w:rPr>
      </w:pPr>
      <w:r>
        <w:rPr>
          <w:rFonts w:ascii="Arial" w:cs="Arial" w:eastAsia="Arial" w:hAnsi="Arial"/>
          <w:sz w:val="11"/>
          <w:szCs w:val="11"/>
          <w:u w:val="single" w:color="auto"/>
          <w:color w:val="auto"/>
        </w:rPr>
        <w:t>Beneficial Ownership Information</w:t>
      </w:r>
      <w:r>
        <w:rPr>
          <w:rFonts w:ascii="Arial" w:cs="Arial" w:eastAsia="Arial" w:hAnsi="Arial"/>
          <w:sz w:val="11"/>
          <w:szCs w:val="11"/>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91" w:lineRule="exact"/>
        <w:rPr>
          <w:rFonts w:ascii="Arial" w:cs="Arial" w:eastAsia="Arial" w:hAnsi="Arial"/>
          <w:sz w:val="11"/>
          <w:szCs w:val="11"/>
          <w:color w:val="auto"/>
        </w:rPr>
      </w:pPr>
    </w:p>
    <w:p>
      <w:pPr>
        <w:ind w:firstLine="856"/>
        <w:spacing w:after="0" w:line="260" w:lineRule="auto"/>
        <w:tabs>
          <w:tab w:leader="none" w:pos="1292"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Legal Action Notice</w:t>
      </w:r>
      <w:r>
        <w:rPr>
          <w:rFonts w:ascii="Arial" w:cs="Arial" w:eastAsia="Arial" w:hAnsi="Arial"/>
          <w:sz w:val="12"/>
          <w:szCs w:val="12"/>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$1,250,000.00 or more;</w:t>
      </w:r>
    </w:p>
    <w:p>
      <w:pPr>
        <w:spacing w:after="0" w:line="115" w:lineRule="exact"/>
        <w:rPr>
          <w:rFonts w:ascii="Arial" w:cs="Arial" w:eastAsia="Arial" w:hAnsi="Arial"/>
          <w:sz w:val="12"/>
          <w:szCs w:val="12"/>
          <w:color w:val="auto"/>
        </w:rPr>
      </w:pPr>
    </w:p>
    <w:p>
      <w:pPr>
        <w:ind w:firstLine="856"/>
        <w:spacing w:after="0" w:line="306" w:lineRule="auto"/>
        <w:tabs>
          <w:tab w:leader="none" w:pos="1292" w:val="left"/>
        </w:tabs>
        <w:numPr>
          <w:ilvl w:val="0"/>
          <w:numId w:val="68"/>
        </w:numPr>
        <w:rPr>
          <w:rFonts w:ascii="Arial" w:cs="Arial" w:eastAsia="Arial" w:hAnsi="Arial"/>
          <w:sz w:val="11"/>
          <w:szCs w:val="11"/>
          <w:color w:val="auto"/>
        </w:rPr>
      </w:pPr>
      <w:r>
        <w:rPr>
          <w:rFonts w:ascii="Arial" w:cs="Arial" w:eastAsia="Arial" w:hAnsi="Arial"/>
          <w:sz w:val="11"/>
          <w:szCs w:val="11"/>
          <w:u w:val="single" w:color="auto"/>
          <w:color w:val="auto"/>
        </w:rPr>
        <w:t>Tort Claim Notice</w:t>
      </w:r>
      <w:r>
        <w:rPr>
          <w:rFonts w:ascii="Arial" w:cs="Arial" w:eastAsia="Arial" w:hAnsi="Arial"/>
          <w:sz w:val="11"/>
          <w:szCs w:val="11"/>
          <w:color w:val="auto"/>
        </w:rPr>
        <w:t>. If Borrower shall acquire a commercial tort claim with a value in excess of $500,000.00,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91" w:lineRule="exact"/>
        <w:rPr>
          <w:rFonts w:ascii="Arial" w:cs="Arial" w:eastAsia="Arial" w:hAnsi="Arial"/>
          <w:sz w:val="11"/>
          <w:szCs w:val="11"/>
          <w:color w:val="auto"/>
        </w:rPr>
      </w:pPr>
    </w:p>
    <w:p>
      <w:pPr>
        <w:jc w:val="both"/>
        <w:ind w:firstLine="856"/>
        <w:spacing w:after="0" w:line="247" w:lineRule="auto"/>
        <w:tabs>
          <w:tab w:leader="none" w:pos="1292"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Government Filings</w:t>
      </w:r>
      <w:r>
        <w:rPr>
          <w:rFonts w:ascii="Arial" w:cs="Arial" w:eastAsia="Arial" w:hAnsi="Arial"/>
          <w:sz w:val="12"/>
          <w:szCs w:val="12"/>
          <w:color w:val="auto"/>
        </w:rPr>
        <w:t>. Within 5 Business Days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w:t>
      </w:r>
    </w:p>
    <w:p>
      <w:pPr>
        <w:spacing w:after="0" w:line="122" w:lineRule="exact"/>
        <w:rPr>
          <w:rFonts w:ascii="Arial" w:cs="Arial" w:eastAsia="Arial" w:hAnsi="Arial"/>
          <w:sz w:val="12"/>
          <w:szCs w:val="12"/>
          <w:color w:val="auto"/>
        </w:rPr>
      </w:pPr>
    </w:p>
    <w:p>
      <w:pPr>
        <w:ind w:firstLine="856"/>
        <w:spacing w:after="0" w:line="260" w:lineRule="auto"/>
        <w:tabs>
          <w:tab w:leader="none" w:pos="1292"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Registered Organization</w:t>
      </w:r>
      <w:r>
        <w:rPr>
          <w:rFonts w:ascii="Arial" w:cs="Arial" w:eastAsia="Arial" w:hAnsi="Arial"/>
          <w:sz w:val="12"/>
          <w:szCs w:val="12"/>
          <w:color w:val="auto"/>
        </w:rPr>
        <w:t>. If Borrower is not a Registered Organization as of the Effective Date but later becomes one, promptly notify Bank of such occurrence and provide Bank with Borrower’s organizational identification number;</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Default</w:t>
      </w:r>
      <w:r>
        <w:rPr>
          <w:rFonts w:ascii="Arial" w:cs="Arial" w:eastAsia="Arial" w:hAnsi="Arial"/>
          <w:sz w:val="12"/>
          <w:szCs w:val="12"/>
          <w:color w:val="auto"/>
        </w:rPr>
        <w:t>. Prompt written notice of the occurrence of a Default or Event of Default; and</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68"/>
        </w:numPr>
        <w:rPr>
          <w:rFonts w:ascii="Arial" w:cs="Arial" w:eastAsia="Arial" w:hAnsi="Arial"/>
          <w:sz w:val="11"/>
          <w:szCs w:val="11"/>
          <w:color w:val="auto"/>
        </w:rPr>
      </w:pPr>
      <w:r>
        <w:rPr>
          <w:rFonts w:ascii="Arial" w:cs="Arial" w:eastAsia="Arial" w:hAnsi="Arial"/>
          <w:sz w:val="11"/>
          <w:szCs w:val="11"/>
          <w:u w:val="single" w:color="auto"/>
          <w:color w:val="auto"/>
        </w:rPr>
        <w:t>Other Information</w:t>
      </w:r>
      <w:r>
        <w:rPr>
          <w:rFonts w:ascii="Arial" w:cs="Arial" w:eastAsia="Arial" w:hAnsi="Arial"/>
          <w:sz w:val="11"/>
          <w:szCs w:val="11"/>
          <w:color w:val="auto"/>
        </w:rPr>
        <w:t>. Promptly, from time to time, such other financial information regarding Borrower or any of its Subsidiaries or compliance with the terms of any Loan Documents as reasonably requested</w:t>
      </w:r>
    </w:p>
    <w:p>
      <w:pPr>
        <w:spacing w:after="0" w:line="1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by Bank.</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compliance with all required covenants except as noted in such Compliance Statement or other financial statement, as applicable, (iii) as of the date of such submission, no Events of Default have occurred and are continuing, (iv) all representations and warranties other than any representations or warranties that are made as of a specific date in Section 4 are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1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0"/>
          <w:szCs w:val="10"/>
          <w:b w:val="1"/>
          <w:bCs w:val="1"/>
          <w:color w:val="auto"/>
        </w:rPr>
        <w:t>Taxes; Pensions.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995" w:right="299" w:bottom="1440" w:gutter="0" w:footer="0" w:header="0"/>
        </w:sectPr>
      </w:pPr>
    </w:p>
    <w:bookmarkStart w:id="109" w:name="page110"/>
    <w:bookmarkEnd w:id="109"/>
    <w:p>
      <w:pPr>
        <w:jc w:val="both"/>
        <w:ind w:firstLine="856"/>
        <w:spacing w:after="0" w:line="272" w:lineRule="auto"/>
        <w:tabs>
          <w:tab w:leader="none" w:pos="1294" w:val="left"/>
        </w:tabs>
        <w:numPr>
          <w:ilvl w:val="0"/>
          <w:numId w:val="69"/>
        </w:numPr>
        <w:rPr>
          <w:rFonts w:ascii="Arial" w:cs="Arial" w:eastAsia="Arial" w:hAnsi="Arial"/>
          <w:sz w:val="11"/>
          <w:szCs w:val="11"/>
          <w:color w:val="auto"/>
        </w:rPr>
      </w:pPr>
      <w:r>
        <w:rPr>
          <w:rFonts w:ascii="Arial" w:cs="Arial" w:eastAsia="Arial" w:hAnsi="Arial"/>
          <w:sz w:val="11"/>
          <w:szCs w:val="11"/>
          <w:color w:val="auto"/>
        </w:rPr>
        <w:t>Timely file, and require each of its Subsidiaries to timely file (in each case, unless subject to a valid extension), all required tax returns and reports and timely pay, and require each of its Subsidiaries to timely pay (subject to validly filed extensions), all foreign, federal, state, and local taxes, assessments, deposits, and contributions owed by Borrower and each of its Subsidiaries, except for (i) deferred payment of any taxes contested pursuant to the terms of Section 4.8(a) hereof, and (ii) if such taxes, assessments, deposits, and contributions do not individually or in the aggregate exceed $100,000.00,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10" w:lineRule="exact"/>
        <w:rPr>
          <w:rFonts w:ascii="Arial" w:cs="Arial" w:eastAsia="Arial" w:hAnsi="Arial"/>
          <w:sz w:val="11"/>
          <w:szCs w:val="11"/>
          <w:color w:val="auto"/>
        </w:rPr>
      </w:pPr>
    </w:p>
    <w:p>
      <w:pPr>
        <w:ind w:firstLine="856"/>
        <w:spacing w:after="0" w:line="306" w:lineRule="auto"/>
        <w:tabs>
          <w:tab w:leader="none" w:pos="1292" w:val="left"/>
        </w:tabs>
        <w:numPr>
          <w:ilvl w:val="0"/>
          <w:numId w:val="69"/>
        </w:numPr>
        <w:rPr>
          <w:rFonts w:ascii="Arial" w:cs="Arial" w:eastAsia="Arial" w:hAnsi="Arial"/>
          <w:sz w:val="11"/>
          <w:szCs w:val="11"/>
          <w:color w:val="auto"/>
        </w:rPr>
      </w:pPr>
      <w:r>
        <w:rPr>
          <w:rFonts w:ascii="Arial" w:cs="Arial" w:eastAsia="Arial" w:hAnsi="Arial"/>
          <w:sz w:val="11"/>
          <w:szCs w:val="11"/>
          <w:color w:val="auto"/>
        </w:rPr>
        <w:t>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8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1"/>
          <w:szCs w:val="11"/>
          <w:b w:val="1"/>
          <w:bCs w:val="1"/>
          <w:color w:val="auto"/>
        </w:rPr>
        <w:t xml:space="preserve">5.5 Access to Collateral; Books and Records. </w:t>
      </w:r>
      <w:r>
        <w:rPr>
          <w:rFonts w:ascii="Arial" w:cs="Arial" w:eastAsia="Arial" w:hAnsi="Arial"/>
          <w:sz w:val="11"/>
          <w:szCs w:val="11"/>
          <w:color w:val="auto"/>
        </w:rPr>
        <w:t>At reasonable times, on 5 Business Days’ notice (provided no notice is required if an Event of Default has occurred and is continuing), Bank, or its agents, shall have the</w:t>
      </w:r>
      <w:r>
        <w:rPr>
          <w:rFonts w:ascii="Arial" w:cs="Arial" w:eastAsia="Arial" w:hAnsi="Arial"/>
          <w:sz w:val="11"/>
          <w:szCs w:val="11"/>
          <w:b w:val="1"/>
          <w:bCs w:val="1"/>
          <w:color w:val="auto"/>
        </w:rPr>
        <w:t xml:space="preserve"> </w:t>
      </w:r>
      <w:r>
        <w:rPr>
          <w:rFonts w:ascii="Arial" w:cs="Arial" w:eastAsia="Arial" w:hAnsi="Arial"/>
          <w:sz w:val="11"/>
          <w:szCs w:val="11"/>
          <w:color w:val="auto"/>
        </w:rPr>
        <w:t>right to inspect the Collateral and the right to audit and copy Borrower’s Books. Such inspections and audits shall be conducted no more often than once every 12 months, unless an Event of Default has occurred and is continuing, in which case such inspections and audits shall occur as often as Bank shall determine is necessary. The foregoing inspections and audits shall be conducted at Borrower’s expense and the charge therefor shall be $1,000.00 per person per day (or such higher amount as shall represent Bank’s then-current standard charge for the same), plus reasonable documented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$2,000.00 plus any reasonable documented out-of-pocket expenses incurred by Bank to compensate Bank for the anticipated costs and expenses of the cancellation or rescheduling.</w:t>
      </w:r>
    </w:p>
    <w:p>
      <w:pPr>
        <w:spacing w:after="0" w:line="11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0"/>
          <w:szCs w:val="10"/>
          <w:b w:val="1"/>
          <w:bCs w:val="1"/>
          <w:color w:val="auto"/>
        </w:rPr>
        <w:t>Insurance.</w:t>
      </w:r>
    </w:p>
    <w:p>
      <w:pPr>
        <w:spacing w:after="0" w:line="145" w:lineRule="exact"/>
        <w:rPr>
          <w:sz w:val="20"/>
          <w:szCs w:val="20"/>
          <w:color w:val="auto"/>
        </w:rPr>
      </w:pPr>
    </w:p>
    <w:p>
      <w:pPr>
        <w:ind w:firstLine="856"/>
        <w:spacing w:after="0" w:line="260" w:lineRule="auto"/>
        <w:tabs>
          <w:tab w:leader="none" w:pos="1294" w:val="left"/>
        </w:tabs>
        <w:numPr>
          <w:ilvl w:val="0"/>
          <w:numId w:val="70"/>
        </w:numPr>
        <w:rPr>
          <w:rFonts w:ascii="Arial" w:cs="Arial" w:eastAsia="Arial" w:hAnsi="Arial"/>
          <w:sz w:val="12"/>
          <w:szCs w:val="12"/>
          <w:color w:val="auto"/>
        </w:rPr>
      </w:pPr>
      <w:r>
        <w:rPr>
          <w:rFonts w:ascii="Arial" w:cs="Arial" w:eastAsia="Arial" w:hAnsi="Arial"/>
          <w:sz w:val="12"/>
          <w:szCs w:val="12"/>
          <w:color w:val="auto"/>
        </w:rPr>
        <w:t>Keep its business and the Collateral insured for risks and in amounts standard for companies of Borrower’s size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115" w:lineRule="exact"/>
        <w:rPr>
          <w:rFonts w:ascii="Arial" w:cs="Arial" w:eastAsia="Arial" w:hAnsi="Arial"/>
          <w:sz w:val="12"/>
          <w:szCs w:val="12"/>
          <w:color w:val="auto"/>
        </w:rPr>
      </w:pPr>
    </w:p>
    <w:p>
      <w:pPr>
        <w:ind w:firstLine="856"/>
        <w:spacing w:after="0" w:line="260" w:lineRule="auto"/>
        <w:tabs>
          <w:tab w:leader="none" w:pos="1292" w:val="left"/>
        </w:tabs>
        <w:numPr>
          <w:ilvl w:val="0"/>
          <w:numId w:val="70"/>
        </w:numPr>
        <w:rPr>
          <w:rFonts w:ascii="Arial" w:cs="Arial" w:eastAsia="Arial" w:hAnsi="Arial"/>
          <w:sz w:val="12"/>
          <w:szCs w:val="12"/>
          <w:color w:val="auto"/>
        </w:rPr>
      </w:pPr>
      <w:r>
        <w:rPr>
          <w:rFonts w:ascii="Arial" w:cs="Arial" w:eastAsia="Arial" w:hAnsi="Arial"/>
          <w:sz w:val="12"/>
          <w:szCs w:val="12"/>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15" w:lineRule="exact"/>
        <w:rPr>
          <w:rFonts w:ascii="Arial" w:cs="Arial" w:eastAsia="Arial" w:hAnsi="Arial"/>
          <w:sz w:val="12"/>
          <w:szCs w:val="12"/>
          <w:color w:val="auto"/>
        </w:rPr>
      </w:pPr>
    </w:p>
    <w:p>
      <w:pPr>
        <w:jc w:val="both"/>
        <w:ind w:firstLine="856"/>
        <w:spacing w:after="0" w:line="268" w:lineRule="auto"/>
        <w:tabs>
          <w:tab w:leader="none" w:pos="1294" w:val="left"/>
        </w:tabs>
        <w:numPr>
          <w:ilvl w:val="0"/>
          <w:numId w:val="70"/>
        </w:numPr>
        <w:rPr>
          <w:rFonts w:ascii="Arial" w:cs="Arial" w:eastAsia="Arial" w:hAnsi="Arial"/>
          <w:sz w:val="11"/>
          <w:szCs w:val="11"/>
          <w:color w:val="auto"/>
        </w:rPr>
      </w:pPr>
      <w:r>
        <w:rPr>
          <w:rFonts w:ascii="Arial" w:cs="Arial" w:eastAsia="Arial" w:hAnsi="Arial"/>
          <w:sz w:val="11"/>
          <w:szCs w:val="11"/>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$750,000.00 with respect to any loss, but not exceeding $1,250,000.00 in the aggregate for all losses under all casualty policies in any 12 month period,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(subject only to Permitted Liens that are permitted pursuant to the terms of this Agreement to have superior priority to Bank’s Lien), and (b) after the occurrence and during the continuance of an Event of Default, all proceeds payable under such casualty policy shall, at the option of Bank, be payable to Bank on account of the Obligations then due.</w:t>
      </w:r>
    </w:p>
    <w:p>
      <w:pPr>
        <w:spacing w:after="0" w:line="112" w:lineRule="exact"/>
        <w:rPr>
          <w:rFonts w:ascii="Arial" w:cs="Arial" w:eastAsia="Arial" w:hAnsi="Arial"/>
          <w:sz w:val="11"/>
          <w:szCs w:val="11"/>
          <w:color w:val="auto"/>
        </w:rPr>
      </w:pPr>
    </w:p>
    <w:p>
      <w:pPr>
        <w:jc w:val="both"/>
        <w:ind w:firstLine="856"/>
        <w:spacing w:after="0" w:line="247" w:lineRule="auto"/>
        <w:tabs>
          <w:tab w:leader="none" w:pos="1292" w:val="left"/>
        </w:tabs>
        <w:numPr>
          <w:ilvl w:val="0"/>
          <w:numId w:val="70"/>
        </w:numPr>
        <w:rPr>
          <w:rFonts w:ascii="Arial" w:cs="Arial" w:eastAsia="Arial" w:hAnsi="Arial"/>
          <w:sz w:val="12"/>
          <w:szCs w:val="12"/>
          <w:color w:val="auto"/>
        </w:rPr>
      </w:pPr>
      <w:r>
        <w:rPr>
          <w:rFonts w:ascii="Arial" w:cs="Arial" w:eastAsia="Arial" w:hAnsi="Arial"/>
          <w:sz w:val="12"/>
          <w:szCs w:val="12"/>
          <w:color w:val="auto"/>
        </w:rPr>
        <w:t>At Bank’s reasonable request, Borrower shall deliver certified copies of insurance policies and evidence of all premium payments. Each provider of any such insurance required under this Section 5.6 shall agree, by endorsement upon the policy or policies issued by it or by independent instruments furnished to Bank, that it will give Bank 30 days’ prior written notice before any such policy or policies shall be canceled. If Borrower fails to obtain insurance as required under this Section 5.6 or to pay any amount or furnish any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995" w:right="299" w:bottom="1440" w:gutter="0" w:footer="0" w:header="0"/>
        </w:sectPr>
      </w:pPr>
    </w:p>
    <w:bookmarkStart w:id="110" w:name="page111"/>
    <w:bookmarkEnd w:id="110"/>
    <w:p>
      <w:pPr>
        <w:ind w:left="8"/>
        <w:spacing w:after="0"/>
        <w:rPr>
          <w:sz w:val="20"/>
          <w:szCs w:val="20"/>
          <w:color w:val="auto"/>
        </w:rPr>
      </w:pPr>
      <w:r>
        <w:rPr>
          <w:rFonts w:ascii="Arial" w:cs="Arial" w:eastAsia="Arial" w:hAnsi="Arial"/>
          <w:sz w:val="12"/>
          <w:szCs w:val="12"/>
          <w:color w:val="auto"/>
        </w:rPr>
        <w:t>proof of payment to third persons and Bank, Bank may make all or part of such payment or obtain such insurance policies required in this Section 5.6, and take any action under the policies Bank deems prudent.</w:t>
      </w:r>
    </w:p>
    <w:p>
      <w:pPr>
        <w:spacing w:after="0" w:line="137"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0"/>
          <w:szCs w:val="10"/>
          <w:b w:val="1"/>
          <w:bCs w:val="1"/>
          <w:color w:val="auto"/>
        </w:rPr>
        <w:t>Accounts.</w:t>
      </w:r>
    </w:p>
    <w:p>
      <w:pPr>
        <w:spacing w:after="0" w:line="145" w:lineRule="exact"/>
        <w:rPr>
          <w:sz w:val="20"/>
          <w:szCs w:val="20"/>
          <w:color w:val="auto"/>
        </w:rPr>
      </w:pPr>
    </w:p>
    <w:p>
      <w:pPr>
        <w:jc w:val="both"/>
        <w:ind w:left="8" w:firstLine="856"/>
        <w:spacing w:after="0" w:line="243" w:lineRule="auto"/>
        <w:tabs>
          <w:tab w:leader="none" w:pos="1302" w:val="left"/>
        </w:tabs>
        <w:numPr>
          <w:ilvl w:val="0"/>
          <w:numId w:val="71"/>
        </w:numPr>
        <w:rPr>
          <w:rFonts w:ascii="Arial" w:cs="Arial" w:eastAsia="Arial" w:hAnsi="Arial"/>
          <w:sz w:val="12"/>
          <w:szCs w:val="12"/>
          <w:color w:val="auto"/>
        </w:rPr>
      </w:pPr>
      <w:r>
        <w:rPr>
          <w:rFonts w:ascii="Arial" w:cs="Arial" w:eastAsia="Arial" w:hAnsi="Arial"/>
          <w:sz w:val="12"/>
          <w:szCs w:val="12"/>
          <w:color w:val="auto"/>
        </w:rPr>
        <w:t>Maintain all of Borrower’s, any of its Subsidiaries’, and any Guarantor’s operating accounts, depository accounts and excess cash with Bank or Bank’s Affiliates. Notwithstanding the foregoing, Borrower shall be permitted to maintain (i) payment transmitter accounts with Stripe (the “</w:t>
      </w:r>
      <w:r>
        <w:rPr>
          <w:rFonts w:ascii="Arial" w:cs="Arial" w:eastAsia="Arial" w:hAnsi="Arial"/>
          <w:sz w:val="12"/>
          <w:szCs w:val="12"/>
          <w:b w:val="1"/>
          <w:bCs w:val="1"/>
          <w:color w:val="auto"/>
        </w:rPr>
        <w:t>Stripe Account</w:t>
      </w:r>
      <w:r>
        <w:rPr>
          <w:rFonts w:ascii="Arial" w:cs="Arial" w:eastAsia="Arial" w:hAnsi="Arial"/>
          <w:sz w:val="12"/>
          <w:szCs w:val="12"/>
          <w:color w:val="auto"/>
        </w:rPr>
        <w:t>”), and (ii) payment transmitter accounts with Chase Orbital (the “</w:t>
      </w:r>
      <w:r>
        <w:rPr>
          <w:rFonts w:ascii="Arial" w:cs="Arial" w:eastAsia="Arial" w:hAnsi="Arial"/>
          <w:sz w:val="12"/>
          <w:szCs w:val="12"/>
          <w:b w:val="1"/>
          <w:bCs w:val="1"/>
          <w:color w:val="auto"/>
        </w:rPr>
        <w:t>Chase Account</w:t>
      </w:r>
      <w:r>
        <w:rPr>
          <w:rFonts w:ascii="Arial" w:cs="Arial" w:eastAsia="Arial" w:hAnsi="Arial"/>
          <w:sz w:val="12"/>
          <w:szCs w:val="12"/>
          <w:color w:val="auto"/>
        </w:rPr>
        <w:t>” together with the Stripe Account, the “</w:t>
      </w:r>
      <w:r>
        <w:rPr>
          <w:rFonts w:ascii="Arial" w:cs="Arial" w:eastAsia="Arial" w:hAnsi="Arial"/>
          <w:sz w:val="12"/>
          <w:szCs w:val="12"/>
          <w:b w:val="1"/>
          <w:bCs w:val="1"/>
          <w:color w:val="auto"/>
        </w:rPr>
        <w:t>Permitted</w:t>
      </w:r>
      <w:r>
        <w:rPr>
          <w:rFonts w:ascii="Arial" w:cs="Arial" w:eastAsia="Arial" w:hAnsi="Arial"/>
          <w:sz w:val="12"/>
          <w:szCs w:val="12"/>
          <w:color w:val="auto"/>
        </w:rPr>
        <w:t xml:space="preserve"> </w:t>
      </w:r>
      <w:r>
        <w:rPr>
          <w:rFonts w:ascii="Arial" w:cs="Arial" w:eastAsia="Arial" w:hAnsi="Arial"/>
          <w:sz w:val="12"/>
          <w:szCs w:val="12"/>
          <w:b w:val="1"/>
          <w:bCs w:val="1"/>
          <w:color w:val="auto"/>
        </w:rPr>
        <w:t>Accounts</w:t>
      </w:r>
      <w:r>
        <w:rPr>
          <w:rFonts w:ascii="Arial" w:cs="Arial" w:eastAsia="Arial" w:hAnsi="Arial"/>
          <w:sz w:val="12"/>
          <w:szCs w:val="12"/>
          <w:color w:val="auto"/>
        </w:rPr>
        <w:t>”), provided that, (x) any and all funds held in or deposited into the Permitted Accounts shall be transferred to an account of Borrower maintained with Bank at least every 3 Business Days, and (y) the aggregate balance in the</w:t>
      </w:r>
      <w:r>
        <w:rPr>
          <w:rFonts w:ascii="Arial" w:cs="Arial" w:eastAsia="Arial" w:hAnsi="Arial"/>
          <w:sz w:val="12"/>
          <w:szCs w:val="12"/>
          <w:b w:val="1"/>
          <w:bCs w:val="1"/>
          <w:color w:val="auto"/>
        </w:rPr>
        <w:t xml:space="preserve"> </w:t>
      </w:r>
      <w:r>
        <w:rPr>
          <w:rFonts w:ascii="Arial" w:cs="Arial" w:eastAsia="Arial" w:hAnsi="Arial"/>
          <w:sz w:val="12"/>
          <w:szCs w:val="12"/>
          <w:color w:val="auto"/>
        </w:rPr>
        <w:t>Permitted Accounts shall not exceed $250,000.00 at any time.</w:t>
      </w:r>
    </w:p>
    <w:p>
      <w:pPr>
        <w:spacing w:after="0" w:line="125" w:lineRule="exact"/>
        <w:rPr>
          <w:rFonts w:ascii="Arial" w:cs="Arial" w:eastAsia="Arial" w:hAnsi="Arial"/>
          <w:sz w:val="12"/>
          <w:szCs w:val="12"/>
          <w:color w:val="auto"/>
        </w:rPr>
      </w:pPr>
    </w:p>
    <w:p>
      <w:pPr>
        <w:ind w:left="1288" w:hanging="424"/>
        <w:spacing w:after="0"/>
        <w:tabs>
          <w:tab w:leader="none" w:pos="1288"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addition to the foregoing, Borrower, any Subsidiary of Borrower, and any Guarantor shall obtain any business credit card and any letter of credit exclusively from Bank.</w:t>
      </w:r>
    </w:p>
    <w:p>
      <w:pPr>
        <w:spacing w:after="0" w:line="141" w:lineRule="exact"/>
        <w:rPr>
          <w:rFonts w:ascii="Arial" w:cs="Arial" w:eastAsia="Arial" w:hAnsi="Arial"/>
          <w:sz w:val="12"/>
          <w:szCs w:val="12"/>
          <w:color w:val="auto"/>
        </w:rPr>
      </w:pPr>
    </w:p>
    <w:p>
      <w:pPr>
        <w:jc w:val="both"/>
        <w:ind w:left="8" w:firstLine="856"/>
        <w:spacing w:after="0" w:line="266" w:lineRule="auto"/>
        <w:tabs>
          <w:tab w:leader="none" w:pos="1302" w:val="left"/>
        </w:tabs>
        <w:numPr>
          <w:ilvl w:val="0"/>
          <w:numId w:val="71"/>
        </w:numPr>
        <w:rPr>
          <w:rFonts w:ascii="Arial" w:cs="Arial" w:eastAsia="Arial" w:hAnsi="Arial"/>
          <w:sz w:val="11"/>
          <w:szCs w:val="11"/>
          <w:color w:val="auto"/>
        </w:rPr>
      </w:pPr>
      <w:r>
        <w:rPr>
          <w:rFonts w:ascii="Arial" w:cs="Arial" w:eastAsia="Arial" w:hAnsi="Arial"/>
          <w:sz w:val="11"/>
          <w:szCs w:val="11"/>
          <w:color w:val="auto"/>
        </w:rPr>
        <w:t>In addition to and without limiting the restrictions in (a), Borrower shall provide Bank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the Permitted Accounts, (ii) deposit accounts exclusively used for payroll, payroll taxes, and other employee wage and benefit payments to or for the benefit of Borrower’s employees and identified to Bank by Borrower as such, (iii) deposit accounts holding funds in trust or escrow funds for the benefit or payable to Borrower’s customers or other third parties identified to Bank by Borrower as such in writing, provided that such accounts shall not hold any funds of Borrower, and (iv) all Governmental Collection Accounts (the “</w:t>
      </w:r>
      <w:r>
        <w:rPr>
          <w:rFonts w:ascii="Arial" w:cs="Arial" w:eastAsia="Arial" w:hAnsi="Arial"/>
          <w:sz w:val="11"/>
          <w:szCs w:val="11"/>
          <w:b w:val="1"/>
          <w:bCs w:val="1"/>
          <w:color w:val="auto"/>
        </w:rPr>
        <w:t>Excluded Accounts</w:t>
      </w:r>
      <w:r>
        <w:rPr>
          <w:rFonts w:ascii="Arial" w:cs="Arial" w:eastAsia="Arial" w:hAnsi="Arial"/>
          <w:sz w:val="11"/>
          <w:szCs w:val="11"/>
          <w:color w:val="auto"/>
        </w:rPr>
        <w:t>”).</w:t>
      </w:r>
    </w:p>
    <w:p>
      <w:pPr>
        <w:spacing w:after="0" w:line="112" w:lineRule="exact"/>
        <w:rPr>
          <w:rFonts w:ascii="Arial" w:cs="Arial" w:eastAsia="Arial" w:hAnsi="Arial"/>
          <w:sz w:val="11"/>
          <w:szCs w:val="11"/>
          <w:color w:val="auto"/>
        </w:rPr>
      </w:pPr>
    </w:p>
    <w:p>
      <w:pPr>
        <w:jc w:val="both"/>
        <w:ind w:left="8" w:firstLine="856"/>
        <w:spacing w:after="0" w:line="243" w:lineRule="auto"/>
        <w:tabs>
          <w:tab w:leader="none" w:pos="13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Upon the expiration of the Transition Period, Borrower shall cause all payments in respect of Accounts payable by Governmental Account Debtors, and only such payments, owing to Borrower to be wire transferred or sent via automated clearing house (ACH) directly to the applicable Governmental Collection Account. All amounts collected into the Governmental Collection Accounts shall be transferred to an account of Borrower maintained at Bank on a daily basis. Borrower shall immediately notify Bank in the event a sweep agreement affiliated with a Governmental Collection Account is rescinded for any reason by any party. Bank hereby disclaims any right or interest (including any security interest or right of offset (or set-off) in or to such Governmental Collection Accounts.</w:t>
      </w:r>
    </w:p>
    <w:p>
      <w:pPr>
        <w:spacing w:after="0" w:line="121"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b w:val="1"/>
          <w:bCs w:val="1"/>
          <w:color w:val="auto"/>
        </w:rPr>
        <w:t>5.8</w:t>
      </w:r>
      <w:r>
        <w:rPr>
          <w:sz w:val="20"/>
          <w:szCs w:val="20"/>
          <w:color w:val="auto"/>
        </w:rPr>
        <w:tab/>
      </w:r>
      <w:r>
        <w:rPr>
          <w:rFonts w:ascii="Arial" w:cs="Arial" w:eastAsia="Arial" w:hAnsi="Arial"/>
          <w:sz w:val="10"/>
          <w:szCs w:val="10"/>
          <w:b w:val="1"/>
          <w:bCs w:val="1"/>
          <w:color w:val="auto"/>
        </w:rPr>
        <w:t>Financial Covenants.</w:t>
      </w:r>
    </w:p>
    <w:p>
      <w:pPr>
        <w:spacing w:after="0" w:line="141" w:lineRule="exact"/>
        <w:rPr>
          <w:sz w:val="20"/>
          <w:szCs w:val="20"/>
          <w:color w:val="auto"/>
        </w:rPr>
      </w:pPr>
    </w:p>
    <w:p>
      <w:pPr>
        <w:ind w:left="1288" w:hanging="424"/>
        <w:spacing w:after="0"/>
        <w:tabs>
          <w:tab w:leader="none" w:pos="1288" w:val="left"/>
        </w:tabs>
        <w:numPr>
          <w:ilvl w:val="1"/>
          <w:numId w:val="72"/>
        </w:numPr>
        <w:rPr>
          <w:rFonts w:ascii="Arial" w:cs="Arial" w:eastAsia="Arial" w:hAnsi="Arial"/>
          <w:sz w:val="11"/>
          <w:szCs w:val="11"/>
          <w:color w:val="auto"/>
        </w:rPr>
      </w:pPr>
      <w:r>
        <w:rPr>
          <w:rFonts w:ascii="Arial" w:cs="Arial" w:eastAsia="Arial" w:hAnsi="Arial"/>
          <w:sz w:val="11"/>
          <w:szCs w:val="11"/>
          <w:b w:val="1"/>
          <w:bCs w:val="1"/>
          <w:color w:val="auto"/>
        </w:rPr>
        <w:t>Adjusted Quick Ratio</w:t>
      </w:r>
      <w:r>
        <w:rPr>
          <w:rFonts w:ascii="Arial" w:cs="Arial" w:eastAsia="Arial" w:hAnsi="Arial"/>
          <w:sz w:val="11"/>
          <w:szCs w:val="11"/>
          <w:color w:val="auto"/>
        </w:rPr>
        <w:t>. At all times when Liquidity is less than $135,000,000.00, maintain, to be tested as of the last day of each month, an Adjusted Quick Ratio of greater than or equal to 1.25 to 1.0.</w:t>
      </w:r>
    </w:p>
    <w:p>
      <w:pPr>
        <w:spacing w:after="0" w:line="152" w:lineRule="exact"/>
        <w:rPr>
          <w:rFonts w:ascii="Arial" w:cs="Arial" w:eastAsia="Arial" w:hAnsi="Arial"/>
          <w:sz w:val="11"/>
          <w:szCs w:val="11"/>
          <w:color w:val="auto"/>
        </w:rPr>
      </w:pPr>
    </w:p>
    <w:p>
      <w:pPr>
        <w:ind w:left="1288" w:hanging="424"/>
        <w:spacing w:after="0"/>
        <w:tabs>
          <w:tab w:leader="none" w:pos="1288" w:val="left"/>
        </w:tabs>
        <w:numPr>
          <w:ilvl w:val="1"/>
          <w:numId w:val="72"/>
        </w:numPr>
        <w:rPr>
          <w:rFonts w:ascii="Arial" w:cs="Arial" w:eastAsia="Arial" w:hAnsi="Arial"/>
          <w:sz w:val="11"/>
          <w:szCs w:val="11"/>
          <w:color w:val="auto"/>
        </w:rPr>
      </w:pPr>
      <w:r>
        <w:rPr>
          <w:rFonts w:ascii="Arial" w:cs="Arial" w:eastAsia="Arial" w:hAnsi="Arial"/>
          <w:sz w:val="11"/>
          <w:szCs w:val="11"/>
          <w:b w:val="1"/>
          <w:bCs w:val="1"/>
          <w:color w:val="auto"/>
        </w:rPr>
        <w:t>Minimum Revenue</w:t>
      </w:r>
      <w:r>
        <w:rPr>
          <w:rFonts w:ascii="Arial" w:cs="Arial" w:eastAsia="Arial" w:hAnsi="Arial"/>
          <w:sz w:val="11"/>
          <w:szCs w:val="11"/>
          <w:color w:val="auto"/>
        </w:rPr>
        <w:t>. At all times when (i) Liquidity is less than $135,000,000.00, and (ii) the sum of (A) the outstanding principal amount of all Advances, plus the accrued and unpaid interest thereon, plus</w:t>
      </w:r>
    </w:p>
    <w:p>
      <w:pPr>
        <w:spacing w:after="0" w:line="22" w:lineRule="exact"/>
        <w:rPr>
          <w:rFonts w:ascii="Arial" w:cs="Arial" w:eastAsia="Arial" w:hAnsi="Arial"/>
          <w:sz w:val="11"/>
          <w:szCs w:val="11"/>
          <w:color w:val="auto"/>
        </w:rPr>
      </w:pPr>
    </w:p>
    <w:p>
      <w:pPr>
        <w:ind w:left="8" w:hanging="8"/>
        <w:spacing w:after="0" w:line="287" w:lineRule="auto"/>
        <w:tabs>
          <w:tab w:leader="none" w:pos="2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all amounts used for Cash Management Services, plus (C) the aggregate Dollar Equivalent of the face amount of outstanding Letters of Credit (including drawn but unreimbursed Letters of Credit and any Letter of Credit Reserve), is greater than $50,000,000.00, achieve, to be tested as of the last day of each month, minimum revenue (calculated in accordance with GAAP), measured on a trailing 6 month basis, of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995" w:right="299" w:bottom="1440" w:gutter="0" w:footer="0" w:header="0"/>
        </w:sectPr>
      </w:pPr>
    </w:p>
    <w:bookmarkStart w:id="111" w:name="page112"/>
    <w:bookmarkEnd w:id="111"/>
    <w:tbl>
      <w:tblPr>
        <w:tblLayout w:type="fixed"/>
        <w:tblInd w:w="2320" w:type="dxa"/>
        <w:tblCellMar>
          <w:top w:w="0" w:type="dxa"/>
          <w:left w:w="0" w:type="dxa"/>
          <w:bottom w:w="0" w:type="dxa"/>
          <w:right w:w="0" w:type="dxa"/>
        </w:tblCellMar>
      </w:tblPr>
      <w:tr>
        <w:trPr>
          <w:trHeight w:val="157"/>
        </w:trPr>
        <w:tc>
          <w:tcPr>
            <w:tcW w:w="3240" w:type="dxa"/>
            <w:vAlign w:val="bottom"/>
          </w:tcPr>
          <w:p>
            <w:pPr>
              <w:jc w:val="center"/>
              <w:ind w:right="1540"/>
              <w:spacing w:after="0"/>
              <w:rPr>
                <w:sz w:val="20"/>
                <w:szCs w:val="20"/>
                <w:color w:val="auto"/>
              </w:rPr>
            </w:pPr>
            <w:r>
              <w:rPr>
                <w:rFonts w:ascii="Arial" w:cs="Arial" w:eastAsia="Arial" w:hAnsi="Arial"/>
                <w:sz w:val="12"/>
                <w:szCs w:val="12"/>
                <w:b w:val="1"/>
                <w:bCs w:val="1"/>
                <w:color w:val="auto"/>
                <w:w w:val="92"/>
              </w:rPr>
              <w:t>Trailing 6 Month Period Ending</w:t>
            </w:r>
          </w:p>
        </w:tc>
        <w:tc>
          <w:tcPr>
            <w:tcW w:w="2580" w:type="dxa"/>
            <w:vAlign w:val="bottom"/>
          </w:tcPr>
          <w:p>
            <w:pPr>
              <w:ind w:left="1600"/>
              <w:spacing w:after="0"/>
              <w:rPr>
                <w:sz w:val="20"/>
                <w:szCs w:val="20"/>
                <w:color w:val="auto"/>
              </w:rPr>
            </w:pPr>
            <w:r>
              <w:rPr>
                <w:rFonts w:ascii="Arial" w:cs="Arial" w:eastAsia="Arial" w:hAnsi="Arial"/>
                <w:sz w:val="12"/>
                <w:szCs w:val="12"/>
                <w:b w:val="1"/>
                <w:bCs w:val="1"/>
                <w:color w:val="auto"/>
                <w:w w:val="90"/>
              </w:rPr>
              <w:t>Minimum Revenue</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89"/>
              </w:rPr>
              <w:t>December 31, 2021</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$100,000,000.00</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88"/>
              </w:rPr>
              <w:t>January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$101,666,667.00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9"/>
              </w:rPr>
              <w:t>February 28,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$103,333,333.00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1"/>
              </w:rPr>
              <w:t>March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$105,000,000.00</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94"/>
              </w:rPr>
              <w:t>April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$106,666,667.00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3"/>
              </w:rPr>
              <w:t>May 31, 2022</w:t>
            </w:r>
          </w:p>
        </w:tc>
        <w:tc>
          <w:tcPr>
            <w:tcW w:w="2580" w:type="dxa"/>
            <w:vAlign w:val="bottom"/>
          </w:tcPr>
          <w:p>
            <w:pPr>
              <w:jc w:val="center"/>
              <w:ind w:left="1560"/>
              <w:spacing w:after="0"/>
              <w:rPr>
                <w:sz w:val="20"/>
                <w:szCs w:val="20"/>
                <w:color w:val="auto"/>
              </w:rPr>
            </w:pPr>
            <w:r>
              <w:rPr>
                <w:rFonts w:ascii="Arial" w:cs="Arial" w:eastAsia="Arial" w:hAnsi="Arial"/>
                <w:sz w:val="12"/>
                <w:szCs w:val="12"/>
                <w:color w:val="auto"/>
                <w:w w:val="88"/>
              </w:rPr>
              <w:t>$111,666,667.00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9"/>
              </w:rPr>
              <w:t>June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$120,000,000.00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9"/>
              </w:rPr>
              <w:t>July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$121,666,667.00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1"/>
              </w:rPr>
              <w:t>August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$123,333,333.00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8"/>
              </w:rPr>
              <w:t>September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$125,000,000.00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0"/>
              </w:rPr>
              <w:t>October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$126,666,667.00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1"/>
              </w:rPr>
              <w:t>November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$128,333,333.00</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89"/>
              </w:rPr>
              <w:t>December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$130,000,000.00</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88"/>
              </w:rPr>
              <w:t>January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$131,666,667.00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9"/>
              </w:rPr>
              <w:t>February 28,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$136,666,667.00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1"/>
              </w:rPr>
              <w:t>March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88"/>
              </w:rPr>
              <w:t>$145,000,00.00</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94"/>
              </w:rPr>
              <w:t>April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$146,666,667.00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3"/>
              </w:rPr>
              <w:t>May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$151,666,667.00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9"/>
              </w:rPr>
              <w:t>June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$160,000,000.00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9"/>
              </w:rPr>
              <w:t>July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$161,666,667.00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1"/>
              </w:rPr>
              <w:t>August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$166,666,667.00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88"/>
              </w:rPr>
              <w:t>September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$175,000,000.00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0"/>
              </w:rPr>
              <w:t>October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$176,666,667.00</w:t>
            </w:r>
          </w:p>
        </w:tc>
      </w:tr>
      <w:tr>
        <w:trPr>
          <w:trHeight w:val="171"/>
        </w:trPr>
        <w:tc>
          <w:tcPr>
            <w:tcW w:w="3240" w:type="dxa"/>
            <w:vAlign w:val="bottom"/>
          </w:tcPr>
          <w:p>
            <w:pPr>
              <w:jc w:val="center"/>
              <w:ind w:right="1540"/>
              <w:spacing w:after="0"/>
              <w:rPr>
                <w:sz w:val="20"/>
                <w:szCs w:val="20"/>
                <w:color w:val="auto"/>
              </w:rPr>
            </w:pPr>
            <w:r>
              <w:rPr>
                <w:rFonts w:ascii="Arial" w:cs="Arial" w:eastAsia="Arial" w:hAnsi="Arial"/>
                <w:sz w:val="12"/>
                <w:szCs w:val="12"/>
                <w:color w:val="auto"/>
                <w:w w:val="91"/>
              </w:rPr>
              <w:t>November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$178,333,333.00</w:t>
            </w:r>
          </w:p>
        </w:tc>
      </w:tr>
      <w:tr>
        <w:trPr>
          <w:trHeight w:val="171"/>
        </w:trPr>
        <w:tc>
          <w:tcPr>
            <w:tcW w:w="3240" w:type="dxa"/>
            <w:vAlign w:val="bottom"/>
          </w:tcPr>
          <w:p>
            <w:pPr>
              <w:jc w:val="center"/>
              <w:ind w:right="1520"/>
              <w:spacing w:after="0"/>
              <w:rPr>
                <w:sz w:val="20"/>
                <w:szCs w:val="20"/>
                <w:color w:val="auto"/>
              </w:rPr>
            </w:pPr>
            <w:r>
              <w:rPr>
                <w:rFonts w:ascii="Arial" w:cs="Arial" w:eastAsia="Arial" w:hAnsi="Arial"/>
                <w:sz w:val="12"/>
                <w:szCs w:val="12"/>
                <w:color w:val="auto"/>
                <w:w w:val="89"/>
              </w:rPr>
              <w:t>December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$180,000,000.00</w:t>
            </w:r>
          </w:p>
        </w:tc>
      </w:tr>
    </w:tbl>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With respect to the period ending January 31, 2024 and each testing period thereafter, the levels of minimum revenue shall be mutually agreed upon between Bank and Borrower based upon, among other factors, Bank’s then current credit underwriting and the greater of (x) 70.0% of the levels of minimum revenue as set forth in Borrower’s Board-approved operating plan and financial projections delivered to Bank pursuant to Section 5.3(d), and (y) 20.0% of Borrower’s year-over-year revenue growth. With respect thereto, Borrower’s failure to agree in writing (which agreement shall be set forth in a written amendment to this Agreement) on or before March 31, 2024, to any minimum revenue covenant levels proposed by Bank with respect to any period from January 1, 2024 through and including the Revolving Line Maturity Date, shall result in an immediate Event of Default for which there shall be no grace or cure period.</w:t>
      </w:r>
    </w:p>
    <w:p>
      <w:pPr>
        <w:spacing w:after="0" w:line="12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0"/>
          <w:szCs w:val="10"/>
          <w:b w:val="1"/>
          <w:bCs w:val="1"/>
          <w:color w:val="auto"/>
        </w:rPr>
        <w:t>Protection of Intellectual Property Rights.</w:t>
      </w:r>
    </w:p>
    <w:p>
      <w:pPr>
        <w:spacing w:after="0" w:line="145" w:lineRule="exact"/>
        <w:rPr>
          <w:sz w:val="20"/>
          <w:szCs w:val="20"/>
          <w:color w:val="auto"/>
        </w:rPr>
      </w:pPr>
    </w:p>
    <w:p>
      <w:pPr>
        <w:jc w:val="both"/>
        <w:ind w:firstLine="856"/>
        <w:spacing w:after="0" w:line="243" w:lineRule="auto"/>
        <w:tabs>
          <w:tab w:leader="none" w:pos="1294" w:val="left"/>
        </w:tabs>
        <w:numPr>
          <w:ilvl w:val="0"/>
          <w:numId w:val="74"/>
        </w:numPr>
        <w:rPr>
          <w:rFonts w:ascii="Arial" w:cs="Arial" w:eastAsia="Arial" w:hAnsi="Arial"/>
          <w:sz w:val="12"/>
          <w:szCs w:val="12"/>
          <w:color w:val="auto"/>
        </w:rPr>
      </w:pPr>
      <w:r>
        <w:rPr>
          <w:rFonts w:ascii="Arial" w:cs="Arial" w:eastAsia="Arial" w:hAnsi="Arial"/>
          <w:sz w:val="12"/>
          <w:szCs w:val="12"/>
          <w:color w:val="auto"/>
        </w:rPr>
        <w:t>(i)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(ii) promptly advise Bank in writing of infringements or any other event that could reasonably be expected to materially and adversely affect the value Borrower’s and each Subsidiary’s Intellectual Property material to Borrower’s business; and (iii) not allow any Intellectual Property material to Borrower’s or any Subsidiary’s business to be abandoned, forfeited, or dedicated to the public without Bank’s written consent.</w:t>
      </w:r>
    </w:p>
    <w:p>
      <w:pPr>
        <w:spacing w:after="0" w:line="125" w:lineRule="exact"/>
        <w:rPr>
          <w:rFonts w:ascii="Arial" w:cs="Arial" w:eastAsia="Arial" w:hAnsi="Arial"/>
          <w:sz w:val="12"/>
          <w:szCs w:val="12"/>
          <w:color w:val="auto"/>
        </w:rPr>
      </w:pPr>
    </w:p>
    <w:p>
      <w:pPr>
        <w:ind w:firstLine="856"/>
        <w:spacing w:after="0" w:line="306" w:lineRule="auto"/>
        <w:tabs>
          <w:tab w:leader="none" w:pos="1292" w:val="left"/>
        </w:tabs>
        <w:numPr>
          <w:ilvl w:val="0"/>
          <w:numId w:val="74"/>
        </w:numPr>
        <w:rPr>
          <w:rFonts w:ascii="Arial" w:cs="Arial" w:eastAsia="Arial" w:hAnsi="Arial"/>
          <w:sz w:val="11"/>
          <w:szCs w:val="11"/>
          <w:color w:val="auto"/>
        </w:rPr>
      </w:pPr>
      <w:r>
        <w:rPr>
          <w:rFonts w:ascii="Arial" w:cs="Arial" w:eastAsia="Arial" w:hAnsi="Arial"/>
          <w:sz w:val="11"/>
          <w:szCs w:val="11"/>
          <w:color w:val="auto"/>
        </w:rPr>
        <w:t>Provide written notice to Bank within 30 days of entering or becoming bound by any Restricted License (other than over-the-counter software that is commercially available to the public). Borrower shall take such commercially reasonable steps as Bank reasonably requests to obtain the consent of, or waiver by, any person whose consent or waiver is necessary for (i) any such Restricted License to be deemed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027" w:right="299" w:bottom="1440" w:gutter="0" w:footer="0" w:header="0"/>
        </w:sectPr>
      </w:pPr>
    </w:p>
    <w:bookmarkStart w:id="112" w:name="page113"/>
    <w:bookmarkEnd w:id="112"/>
    <w:p>
      <w:pPr>
        <w:jc w:val="both"/>
        <w:spacing w:after="0" w:line="260" w:lineRule="auto"/>
        <w:rPr>
          <w:sz w:val="20"/>
          <w:szCs w:val="20"/>
          <w:color w:val="auto"/>
        </w:rPr>
      </w:pPr>
      <w:r>
        <w:rPr>
          <w:rFonts w:ascii="Arial" w:cs="Arial" w:eastAsia="Arial" w:hAnsi="Arial"/>
          <w:sz w:val="12"/>
          <w:szCs w:val="12"/>
          <w:color w:val="auto"/>
        </w:rPr>
        <w:t>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1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5.10 Litigation Cooperation. </w:t>
      </w:r>
      <w:r>
        <w:rPr>
          <w:rFonts w:ascii="Arial" w:cs="Arial" w:eastAsia="Arial" w:hAnsi="Arial"/>
          <w:sz w:val="12"/>
          <w:szCs w:val="12"/>
          <w:color w:val="auto"/>
        </w:rPr>
        <w:t>From the date hereof and continuing through the termination of this Agreement, make available to Bank, without expense to Bank and upon at least 1 Business Days’ notice (provided that no</w:t>
      </w:r>
      <w:r>
        <w:rPr>
          <w:rFonts w:ascii="Arial" w:cs="Arial" w:eastAsia="Arial" w:hAnsi="Arial"/>
          <w:sz w:val="12"/>
          <w:szCs w:val="12"/>
          <w:b w:val="1"/>
          <w:bCs w:val="1"/>
          <w:color w:val="auto"/>
        </w:rPr>
        <w:t xml:space="preserve"> </w:t>
      </w:r>
      <w:r>
        <w:rPr>
          <w:rFonts w:ascii="Arial" w:cs="Arial" w:eastAsia="Arial" w:hAnsi="Arial"/>
          <w:sz w:val="12"/>
          <w:szCs w:val="12"/>
          <w:color w:val="auto"/>
        </w:rPr>
        <w:t>notice is required if an Event of Default has occurred and is continuing),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16"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b w:val="1"/>
          <w:bCs w:val="1"/>
          <w:color w:val="auto"/>
        </w:rPr>
        <w:t>5.11</w:t>
      </w:r>
      <w:r>
        <w:rPr>
          <w:sz w:val="20"/>
          <w:szCs w:val="20"/>
          <w:color w:val="auto"/>
        </w:rPr>
        <w:tab/>
      </w:r>
      <w:r>
        <w:rPr>
          <w:rFonts w:ascii="Arial" w:cs="Arial" w:eastAsia="Arial" w:hAnsi="Arial"/>
          <w:sz w:val="11"/>
          <w:szCs w:val="11"/>
          <w:b w:val="1"/>
          <w:bCs w:val="1"/>
          <w:color w:val="auto"/>
        </w:rPr>
        <w:t>Online Banking.</w:t>
      </w:r>
    </w:p>
    <w:p>
      <w:pPr>
        <w:spacing w:after="0" w:line="145" w:lineRule="exact"/>
        <w:rPr>
          <w:sz w:val="20"/>
          <w:szCs w:val="20"/>
          <w:color w:val="auto"/>
        </w:rPr>
      </w:pPr>
    </w:p>
    <w:p>
      <w:pPr>
        <w:jc w:val="both"/>
        <w:ind w:firstLine="856"/>
        <w:spacing w:after="0" w:line="247" w:lineRule="auto"/>
        <w:tabs>
          <w:tab w:leader="none" w:pos="1155" w:val="left"/>
        </w:tabs>
        <w:numPr>
          <w:ilvl w:val="0"/>
          <w:numId w:val="75"/>
        </w:numPr>
        <w:rPr>
          <w:rFonts w:ascii="Arial" w:cs="Arial" w:eastAsia="Arial" w:hAnsi="Arial"/>
          <w:sz w:val="12"/>
          <w:szCs w:val="12"/>
          <w:color w:val="auto"/>
        </w:rPr>
      </w:pPr>
      <w:r>
        <w:rPr>
          <w:rFonts w:ascii="Arial" w:cs="Arial" w:eastAsia="Arial" w:hAnsi="Arial"/>
          <w:sz w:val="12"/>
          <w:szCs w:val="12"/>
          <w:color w:val="auto"/>
        </w:rPr>
        <w:t>Utilize Bank’s online banking platform for all matters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5.3 of this Agreement).</w:t>
      </w:r>
    </w:p>
    <w:p>
      <w:pPr>
        <w:spacing w:after="0" w:line="122" w:lineRule="exact"/>
        <w:rPr>
          <w:rFonts w:ascii="Arial" w:cs="Arial" w:eastAsia="Arial" w:hAnsi="Arial"/>
          <w:sz w:val="12"/>
          <w:szCs w:val="12"/>
          <w:color w:val="auto"/>
        </w:rPr>
      </w:pPr>
    </w:p>
    <w:p>
      <w:pPr>
        <w:jc w:val="both"/>
        <w:ind w:firstLine="856"/>
        <w:spacing w:after="0" w:line="247" w:lineRule="auto"/>
        <w:tabs>
          <w:tab w:leader="none" w:pos="1137"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of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11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5.12 Inventory; Returns</w:t>
      </w:r>
      <w:r>
        <w:rPr>
          <w:rFonts w:ascii="Arial" w:cs="Arial" w:eastAsia="Arial" w:hAnsi="Arial"/>
          <w:sz w:val="12"/>
          <w:szCs w:val="12"/>
          <w:color w:val="auto"/>
        </w:rPr>
        <w:t>. Keep all Inventory in good and marketable condition, free from material defects. Returns and allowances between Borrower and its Account Debtors shall follow Borrower’s customary practices</w:t>
      </w:r>
      <w:r>
        <w:rPr>
          <w:rFonts w:ascii="Arial" w:cs="Arial" w:eastAsia="Arial" w:hAnsi="Arial"/>
          <w:sz w:val="12"/>
          <w:szCs w:val="12"/>
          <w:b w:val="1"/>
          <w:bCs w:val="1"/>
          <w:color w:val="auto"/>
        </w:rPr>
        <w:t xml:space="preserve"> </w:t>
      </w:r>
      <w:r>
        <w:rPr>
          <w:rFonts w:ascii="Arial" w:cs="Arial" w:eastAsia="Arial" w:hAnsi="Arial"/>
          <w:sz w:val="12"/>
          <w:szCs w:val="12"/>
          <w:color w:val="auto"/>
        </w:rPr>
        <w:t>as they exist at the Effective Date. Borrower shall promptly notify Bank of all returns, recoveries, disputes and claims that involve more than $500,000.00.</w:t>
      </w:r>
    </w:p>
    <w:p>
      <w:pPr>
        <w:spacing w:after="0" w:line="10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5.13 Further Assurances. </w:t>
      </w:r>
      <w:r>
        <w:rPr>
          <w:rFonts w:ascii="Arial" w:cs="Arial" w:eastAsia="Arial" w:hAnsi="Arial"/>
          <w:sz w:val="12"/>
          <w:szCs w:val="12"/>
          <w:color w:val="auto"/>
        </w:rPr>
        <w:t>Execute any further instruments and take such further action as Bank reasonably requests to perfect, protect, ensure the priority of or continue Bank’s Lien on the Collateral or to effect the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purposes of this Agreement.</w:t>
      </w:r>
    </w:p>
    <w:p>
      <w:pPr>
        <w:spacing w:after="0" w:line="107"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b w:val="1"/>
          <w:bCs w:val="1"/>
          <w:color w:val="auto"/>
        </w:rPr>
        <w:t>5.14 Sanctions</w:t>
      </w:r>
      <w:r>
        <w:rPr>
          <w:rFonts w:ascii="Arial" w:cs="Arial" w:eastAsia="Arial" w:hAnsi="Arial"/>
          <w:sz w:val="12"/>
          <w:szCs w:val="12"/>
          <w:color w:val="auto"/>
        </w:rPr>
        <w:t>. (a) Not, and not permit any of its Subsidiaries to, engage in any of the activities described in Section 4.10 in the future; (b) not, and not permit any of its Subsidiaries to, become a Sanctioned Person; (c)</w:t>
      </w:r>
      <w:r>
        <w:rPr>
          <w:rFonts w:ascii="Arial" w:cs="Arial" w:eastAsia="Arial" w:hAnsi="Arial"/>
          <w:sz w:val="12"/>
          <w:szCs w:val="12"/>
          <w:b w:val="1"/>
          <w:bCs w:val="1"/>
          <w:color w:val="auto"/>
        </w:rPr>
        <w:t xml:space="preserve"> </w:t>
      </w:r>
      <w:r>
        <w:rPr>
          <w:rFonts w:ascii="Arial" w:cs="Arial" w:eastAsia="Arial" w:hAnsi="Arial"/>
          <w:sz w:val="12"/>
          <w:szCs w:val="12"/>
          <w:color w:val="auto"/>
        </w:rPr>
        <w:t>ensure that the proceeds of the Obligations are not used to violate any Sanctions; and (d) deliver to Bank any certification or other evidence requested from time to time by Bank in its sole discretion, confirming each such Person’s compliance with this Section 5.14. In addition, have implemented, and will consistently apply while this Agreement is in effect, procedures to ensure that the representations and warranties in Section 4.10 remain true and correct while this Agreement is in effect.</w:t>
      </w:r>
    </w:p>
    <w:p>
      <w:pPr>
        <w:spacing w:after="0" w:line="12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1"/>
          <w:szCs w:val="11"/>
          <w:b w:val="1"/>
          <w:bCs w:val="1"/>
          <w:color w:val="auto"/>
        </w:rPr>
        <w:t>5.15 Post-Closing Matters</w:t>
      </w:r>
      <w:r>
        <w:rPr>
          <w:rFonts w:ascii="Arial" w:cs="Arial" w:eastAsia="Arial" w:hAnsi="Arial"/>
          <w:sz w:val="11"/>
          <w:szCs w:val="11"/>
          <w:color w:val="auto"/>
        </w:rPr>
        <w:t>. Within 30 days after the Effective Date, Borrower shall deliver to Bank (a) duly executed landlord’s consent in form and substance satisfactory to Bank, in favor of Bank for Borrower’s leased</w:t>
      </w:r>
      <w:r>
        <w:rPr>
          <w:rFonts w:ascii="Arial" w:cs="Arial" w:eastAsia="Arial" w:hAnsi="Arial"/>
          <w:sz w:val="11"/>
          <w:szCs w:val="11"/>
          <w:b w:val="1"/>
          <w:bCs w:val="1"/>
          <w:color w:val="auto"/>
        </w:rPr>
        <w:t xml:space="preserve"> </w:t>
      </w:r>
      <w:r>
        <w:rPr>
          <w:rFonts w:ascii="Arial" w:cs="Arial" w:eastAsia="Arial" w:hAnsi="Arial"/>
          <w:sz w:val="11"/>
          <w:szCs w:val="11"/>
          <w:color w:val="auto"/>
        </w:rPr>
        <w:t>locations at (i) 333 Ludlow Street, Stamford, Connecticut 06902, (ii) 62 Southfield Ave, Stamford, Connecticut 06902, (iii) 1 Commercial Street, Branford, Connecticut 06902, and (iv) 200 Park Avenue South, New York, New York 10003, by the respective landlord thereof; (b) evidence satisfactory to Bank that the insurance certificates and endorsements required by Section 5.6 hereof are in full force and effect, together with appropriate evidence showing lender loss payable and additional insured clauses or endorsements in favor of Bank; (c) the duly executed CDEC Subordination Agreement in form an substance satisfactory to Bank, together with copies of the underlying documents evidencing Borrower’s Indebtedness with CDEC; (d) good standing/foreign qualification certificates certified by the Secretary of State (or equivalent agency) of each other jurisdiction in which each Borrower is qualified to conduct business, each as of a date no earlier than 30 days prior to the Effective Date; (e) duly executed marketing consent forms satisfactory to Bank; and (f) a UCC-3 financing statement with respect to Borrower’s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995" w:right="2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color w:val="auto"/>
        </w:rPr>
        <w:t>in favor of Banc of America Leasing and Capital LLC, filed with the Delaware Secretary of State, satisfactory to Bank.</w:t>
      </w:r>
    </w:p>
    <w:p>
      <w:pPr>
        <w:spacing w:after="0" w:line="137" w:lineRule="exact"/>
        <w:rPr>
          <w:sz w:val="20"/>
          <w:szCs w:val="20"/>
          <w:color w:val="auto"/>
        </w:rPr>
      </w:pPr>
    </w:p>
    <w:p>
      <w:pPr>
        <w:ind w:left="860" w:hanging="436"/>
        <w:spacing w:after="0"/>
        <w:tabs>
          <w:tab w:leader="none" w:pos="860"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NEGATIVE COVENANTS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Borrower shall not do any of the following without Bank’s prior written consent:</w:t>
      </w:r>
    </w:p>
    <w:p>
      <w:pPr>
        <w:spacing w:after="0" w:line="137"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1"/>
          <w:szCs w:val="11"/>
          <w:b w:val="1"/>
          <w:bCs w:val="1"/>
          <w:color w:val="auto"/>
        </w:rPr>
        <w:t xml:space="preserve">6.1 Dispositions. </w:t>
      </w:r>
      <w:r>
        <w:rPr>
          <w:rFonts w:ascii="Arial" w:cs="Arial" w:eastAsia="Arial" w:hAnsi="Arial"/>
          <w:sz w:val="11"/>
          <w:szCs w:val="11"/>
          <w:color w:val="auto"/>
        </w:rPr>
        <w:t>Convey, sell, lease, transfer, assign, or otherwise dispose of (including, without limitation, pursuant to a Division) (collectively, “</w:t>
      </w:r>
      <w:r>
        <w:rPr>
          <w:rFonts w:ascii="Arial" w:cs="Arial" w:eastAsia="Arial" w:hAnsi="Arial"/>
          <w:sz w:val="11"/>
          <w:szCs w:val="11"/>
          <w:b w:val="1"/>
          <w:bCs w:val="1"/>
          <w:color w:val="auto"/>
        </w:rPr>
        <w:t>Transfer</w:t>
      </w:r>
      <w:r>
        <w:rPr>
          <w:rFonts w:ascii="Arial" w:cs="Arial" w:eastAsia="Arial" w:hAnsi="Arial"/>
          <w:sz w:val="11"/>
          <w:szCs w:val="11"/>
          <w:color w:val="auto"/>
        </w:rPr>
        <w:t>”), or permit any of its Subsidiaries to Transfer, all or any part of</w:t>
      </w:r>
      <w:r>
        <w:rPr>
          <w:rFonts w:ascii="Arial" w:cs="Arial" w:eastAsia="Arial" w:hAnsi="Arial"/>
          <w:sz w:val="11"/>
          <w:szCs w:val="11"/>
          <w:b w:val="1"/>
          <w:bCs w:val="1"/>
          <w:color w:val="auto"/>
        </w:rPr>
        <w:t xml:space="preserve"> </w:t>
      </w:r>
      <w:r>
        <w:rPr>
          <w:rFonts w:ascii="Arial" w:cs="Arial" w:eastAsia="Arial" w:hAnsi="Arial"/>
          <w:sz w:val="11"/>
          <w:szCs w:val="11"/>
          <w:color w:val="auto"/>
        </w:rPr>
        <w:t>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(f) consisting of non-exclusive licenses for the use of the property of Borrower or its Subsidiaries in the ordinary course of business, and licenses of Intellectual Property that could not result in a legal transfer of title of the licensed property but that may be exclusive in respects other than territory and that may be exclusive as to territory only as to discreet geographical areas outside of the United States; and (g) other immaterial assets not otherwise permitted under this Section 6.1 with a value not to exceed $500,000.00 in the aggregate in any 12 month period.</w:t>
      </w:r>
    </w:p>
    <w:p>
      <w:pPr>
        <w:spacing w:after="0" w:line="11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1"/>
          <w:szCs w:val="11"/>
          <w:b w:val="1"/>
          <w:bCs w:val="1"/>
          <w:color w:val="auto"/>
        </w:rPr>
        <w:t xml:space="preserve">6.2 Changes in Business, Management, Control, or Business Locations. </w:t>
      </w:r>
      <w:r>
        <w:rPr>
          <w:rFonts w:ascii="Arial" w:cs="Arial" w:eastAsia="Arial" w:hAnsi="Arial"/>
          <w:sz w:val="11"/>
          <w:szCs w:val="11"/>
          <w:color w:val="auto"/>
        </w:rPr>
        <w:t>(a) Engage in or permit any of its Subsidiaries to engage in any business other than the businesses currently engaged in by Borrower and such</w:t>
      </w:r>
      <w:r>
        <w:rPr>
          <w:rFonts w:ascii="Arial" w:cs="Arial" w:eastAsia="Arial" w:hAnsi="Arial"/>
          <w:sz w:val="11"/>
          <w:szCs w:val="11"/>
          <w:b w:val="1"/>
          <w:bCs w:val="1"/>
          <w:color w:val="auto"/>
        </w:rPr>
        <w:t xml:space="preserve"> </w:t>
      </w:r>
      <w:r>
        <w:rPr>
          <w:rFonts w:ascii="Arial" w:cs="Arial" w:eastAsia="Arial" w:hAnsi="Arial"/>
          <w:sz w:val="11"/>
          <w:szCs w:val="11"/>
          <w:color w:val="auto"/>
        </w:rPr>
        <w:t>Subsidiary, as applicable, or reasonably related thereto; (b) liquidate or dissolve or permit any of its Subsidiaries to liquidate or dissolve; (c) fail to provide notice to Bank of any Key Person departing from or ceasing to be employed by Borrower within 5 days after such Key Person’s departure from Borrower; (d) permit, allow or suffer to occur any Change in Control; or (e) without at least 30 days’ prior written notice to Bank, (i) add any new offices or business locations, including warehouses (unless each such new office or business location contains less than $250,000.00 in Borrower’s assets or property) or deliver any portion of the Collateral valued, individually or in the aggregate, in excess of $250,000.00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$250,000.00 of Borrower’s assets or property, then Borrower will use commercially reasonable efforts to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$250,000.00 to a bailee, and Bank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Bank.</w:t>
      </w:r>
    </w:p>
    <w:p>
      <w:pPr>
        <w:spacing w:after="0" w:line="11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6.3 Mergers or Acquisitions. </w:t>
      </w:r>
      <w:r>
        <w:rPr>
          <w:rFonts w:ascii="Arial" w:cs="Arial" w:eastAsia="Arial" w:hAnsi="Arial"/>
          <w:sz w:val="12"/>
          <w:szCs w:val="12"/>
          <w:color w:val="auto"/>
        </w:rPr>
        <w:t>Merge or consolidate, or permit any of its Subsidiaries to merge or consolidate, with any other Person, or acquire, or permit any of its Subsidiaries to acquire, all or substantially all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stock, partnership, membership, or other ownership interest or other equity securities or property of another Person (including, without limitation, by the formation of any Subsidiary or pursuant to a Division) other than a Permitted Acquisition. A Subsidiary may merge or consolidate into another Subsidiary or into Borrower.</w:t>
      </w:r>
    </w:p>
    <w:p>
      <w:pPr>
        <w:spacing w:after="0" w:line="11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0"/>
          <w:szCs w:val="10"/>
          <w:b w:val="1"/>
          <w:bCs w:val="1"/>
          <w:color w:val="auto"/>
        </w:rPr>
        <w:t xml:space="preserve">Indebtedness. </w:t>
      </w:r>
      <w:r>
        <w:rPr>
          <w:rFonts w:ascii="Arial" w:cs="Arial" w:eastAsia="Arial" w:hAnsi="Arial"/>
          <w:sz w:val="10"/>
          <w:szCs w:val="10"/>
          <w:color w:val="auto"/>
        </w:rPr>
        <w:t>Create, incur, assume, or be liable for any Indebtedness, or permit any Subsidiary to do so, other than Permitted Indebtedness.</w:t>
      </w:r>
    </w:p>
    <w:p>
      <w:pPr>
        <w:spacing w:after="0" w:line="141" w:lineRule="exact"/>
        <w:rPr>
          <w:sz w:val="20"/>
          <w:szCs w:val="20"/>
          <w:color w:val="auto"/>
        </w:rPr>
      </w:pPr>
    </w:p>
    <w:p>
      <w:pPr>
        <w:jc w:val="both"/>
        <w:ind w:right="20" w:firstLine="432"/>
        <w:spacing w:after="0" w:line="313" w:lineRule="auto"/>
        <w:rPr>
          <w:sz w:val="20"/>
          <w:szCs w:val="20"/>
          <w:color w:val="auto"/>
        </w:rPr>
      </w:pPr>
      <w:r>
        <w:rPr>
          <w:rFonts w:ascii="Arial" w:cs="Arial" w:eastAsia="Arial" w:hAnsi="Arial"/>
          <w:sz w:val="11"/>
          <w:szCs w:val="11"/>
          <w:b w:val="1"/>
          <w:bCs w:val="1"/>
          <w:color w:val="auto"/>
        </w:rPr>
        <w:t xml:space="preserve">6.5 Encumbrance. </w:t>
      </w:r>
      <w:r>
        <w:rPr>
          <w:rFonts w:ascii="Arial" w:cs="Arial" w:eastAsia="Arial" w:hAnsi="Arial"/>
          <w:sz w:val="11"/>
          <w:szCs w:val="11"/>
          <w:color w:val="auto"/>
        </w:rPr>
        <w:t>Create, incur, allow, or suffer to exist any Lien on any of its property, or assign or convey any right to receive income, including the sale of any Accounts, or permit any of its Subsidiaries to do so,</w:t>
      </w:r>
      <w:r>
        <w:rPr>
          <w:rFonts w:ascii="Arial" w:cs="Arial" w:eastAsia="Arial" w:hAnsi="Arial"/>
          <w:sz w:val="11"/>
          <w:szCs w:val="11"/>
          <w:b w:val="1"/>
          <w:bCs w:val="1"/>
          <w:color w:val="auto"/>
        </w:rPr>
        <w:t xml:space="preserve"> </w:t>
      </w:r>
      <w:r>
        <w:rPr>
          <w:rFonts w:ascii="Arial" w:cs="Arial" w:eastAsia="Arial" w:hAnsi="Arial"/>
          <w:sz w:val="11"/>
          <w:szCs w:val="11"/>
          <w:color w:val="auto"/>
        </w:rPr>
        <w:t>except, in each case, for Permitted Liens, permit any Collateral not to be subject to the first priority security interest granted herein, or enter into any agreement, document, instrument, or other arrangement (except with or in favor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995" w:right="299" w:bottom="1440" w:gutter="0" w:footer="0" w:header="0"/>
        </w:sectPr>
      </w:pPr>
    </w:p>
    <w:bookmarkStart w:id="114" w:name="page115"/>
    <w:bookmarkEnd w:id="114"/>
    <w:p>
      <w:pPr>
        <w:jc w:val="both"/>
        <w:ind w:left="8"/>
        <w:spacing w:after="0" w:line="260" w:lineRule="auto"/>
        <w:rPr>
          <w:sz w:val="20"/>
          <w:szCs w:val="20"/>
          <w:color w:val="auto"/>
        </w:rPr>
      </w:pPr>
      <w:r>
        <w:rPr>
          <w:rFonts w:ascii="Arial" w:cs="Arial" w:eastAsia="Arial" w:hAnsi="Arial"/>
          <w:sz w:val="12"/>
          <w:szCs w:val="12"/>
          <w:color w:val="auto"/>
        </w:rPr>
        <w:t>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11"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b w:val="1"/>
          <w:bCs w:val="1"/>
          <w:color w:val="auto"/>
        </w:rPr>
        <w:t>6.6</w:t>
      </w:r>
      <w:r>
        <w:rPr>
          <w:sz w:val="20"/>
          <w:szCs w:val="20"/>
          <w:color w:val="auto"/>
        </w:rPr>
        <w:tab/>
      </w:r>
      <w:r>
        <w:rPr>
          <w:rFonts w:ascii="Arial" w:cs="Arial" w:eastAsia="Arial" w:hAnsi="Arial"/>
          <w:sz w:val="10"/>
          <w:szCs w:val="10"/>
          <w:b w:val="1"/>
          <w:bCs w:val="1"/>
          <w:color w:val="auto"/>
        </w:rPr>
        <w:t xml:space="preserve">Maintenance of Collateral Accounts. </w:t>
      </w:r>
      <w:r>
        <w:rPr>
          <w:rFonts w:ascii="Arial" w:cs="Arial" w:eastAsia="Arial" w:hAnsi="Arial"/>
          <w:sz w:val="10"/>
          <w:szCs w:val="10"/>
          <w:color w:val="auto"/>
        </w:rPr>
        <w:t>Maintain any Collateral Account except pursuant to the terms of Section 5.7(c).</w:t>
      </w:r>
    </w:p>
    <w:p>
      <w:pPr>
        <w:spacing w:after="0" w:line="141" w:lineRule="exact"/>
        <w:rPr>
          <w:sz w:val="20"/>
          <w:szCs w:val="20"/>
          <w:color w:val="auto"/>
        </w:rPr>
      </w:pPr>
    </w:p>
    <w:p>
      <w:pPr>
        <w:jc w:val="both"/>
        <w:ind w:left="8" w:firstLine="432"/>
        <w:spacing w:after="0"/>
        <w:rPr>
          <w:sz w:val="20"/>
          <w:szCs w:val="20"/>
          <w:color w:val="auto"/>
        </w:rPr>
      </w:pPr>
      <w:r>
        <w:rPr>
          <w:rFonts w:ascii="Arial" w:cs="Arial" w:eastAsia="Arial" w:hAnsi="Arial"/>
          <w:sz w:val="12"/>
          <w:szCs w:val="12"/>
          <w:b w:val="1"/>
          <w:bCs w:val="1"/>
          <w:color w:val="auto"/>
        </w:rPr>
        <w:t xml:space="preserve">1.7 Distributions; Investments. </w:t>
      </w:r>
      <w:r>
        <w:rPr>
          <w:rFonts w:ascii="Arial" w:cs="Arial" w:eastAsia="Arial" w:hAnsi="Arial"/>
          <w:sz w:val="12"/>
          <w:szCs w:val="12"/>
          <w:color w:val="auto"/>
        </w:rPr>
        <w:t>(a) Pay any dividends or make any distribution or payment or redeem, retire or purchase any stock, partnership, membership, or other ownership interest or other equity securities,</w:t>
      </w:r>
      <w:r>
        <w:rPr>
          <w:rFonts w:ascii="Arial" w:cs="Arial" w:eastAsia="Arial" w:hAnsi="Arial"/>
          <w:sz w:val="12"/>
          <w:szCs w:val="12"/>
          <w:b w:val="1"/>
          <w:bCs w:val="1"/>
          <w:color w:val="auto"/>
        </w:rPr>
        <w:t xml:space="preserve"> </w:t>
      </w:r>
      <w:r>
        <w:rPr>
          <w:rFonts w:ascii="Arial" w:cs="Arial" w:eastAsia="Arial" w:hAnsi="Arial"/>
          <w:sz w:val="12"/>
          <w:szCs w:val="12"/>
          <w:color w:val="auto"/>
        </w:rPr>
        <w:t>provided that Borrower may (i) convert any of its convertible securities into other securities pursuant to the terms of such convertible securities or otherwise in exchange thereof, (ii) make cash payments in lieu of fractional shares in connection with any such conversions in an aggregate amount not to exceed $10,000.00 in any twelve (12) month period, (iii) pay dividends solely in common stock, and (iv) repurchase the stock, partnership, membership, or other ownership interest or other equity securities of current or former employees, directors, or consultants pursuant to stock repurchase agreements, or similar agreements, so long as an Event of Default does not exist at the time of any such repurchase and would not exist after giving effect to any such repurchase, provided that the aggregate amount of all such repurchases does not exceed $100,000.00 in any 12 month period; or (b) directly or indirectly make any Investment (including, without limitation, by the formation of any Subsidiary) other than Permitted Investments, or permit any of its Subsidiaries to do so. Notwithstanding the foregoing, Subsidiaries of Borrower shall be permitted to pay dividends to Borrower or make distributions to Borrower.</w:t>
      </w:r>
    </w:p>
    <w:p>
      <w:pPr>
        <w:spacing w:after="0" w:line="123"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b w:val="1"/>
          <w:bCs w:val="1"/>
          <w:color w:val="auto"/>
        </w:rPr>
        <w:t xml:space="preserve">1.8 Transactions with Affiliates. </w:t>
      </w:r>
      <w:r>
        <w:rPr>
          <w:rFonts w:ascii="Arial" w:cs="Arial" w:eastAsia="Arial" w:hAnsi="Arial"/>
          <w:sz w:val="12"/>
          <w:szCs w:val="12"/>
          <w:color w:val="auto"/>
        </w:rPr>
        <w:t>Directly or indirectly enter into or permit to exist any material transaction with any Affiliate of Borrower, except for (a) transactions that are in the ordinary course of Borrower’s</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upon fair and reasonable terms that are no less favorable to Borrower than would be obtained in an arm’s-length transaction with a non-affiliated Person; (b) sales of equity securities in bona fide venture financing transactions that are not prohibited by Section 6.2, (c) the incurrence of Subordinated Debt, (d) reasonable and customary compensation and other benefits arrangements (including retirement, health, stock option, and other benefit plans and indemnification arrangements approved by the relevant board of directors, board of managers or equivalent corporate body) with Borrower’s and its Subsidiaries employees, officers, directors and managers approved by the Board or such Subsidiary’s board of directors, and (e) transactions permitted pursuant to Section 6.1, 6.4 or 6.7.</w:t>
      </w:r>
    </w:p>
    <w:p>
      <w:pPr>
        <w:spacing w:after="0" w:line="120"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2"/>
          <w:szCs w:val="12"/>
          <w:b w:val="1"/>
          <w:bCs w:val="1"/>
          <w:color w:val="auto"/>
        </w:rPr>
        <w:t xml:space="preserve">6.9 Subordinated Debt. </w:t>
      </w:r>
      <w:r>
        <w:rPr>
          <w:rFonts w:ascii="Arial" w:cs="Arial" w:eastAsia="Arial" w:hAnsi="Arial"/>
          <w:sz w:val="12"/>
          <w:szCs w:val="12"/>
          <w:color w:val="auto"/>
        </w:rPr>
        <w:t>Except as expressly permitted under the terms of the subordination, intercreditor, or other similar agreement to which any Subordinated Debt is subject: (a) make or permit any payment on such</w:t>
      </w:r>
      <w:r>
        <w:rPr>
          <w:rFonts w:ascii="Arial" w:cs="Arial" w:eastAsia="Arial" w:hAnsi="Arial"/>
          <w:sz w:val="12"/>
          <w:szCs w:val="12"/>
          <w:b w:val="1"/>
          <w:bCs w:val="1"/>
          <w:color w:val="auto"/>
        </w:rPr>
        <w:t xml:space="preserve"> </w:t>
      </w:r>
      <w:r>
        <w:rPr>
          <w:rFonts w:ascii="Arial" w:cs="Arial" w:eastAsia="Arial" w:hAnsi="Arial"/>
          <w:sz w:val="12"/>
          <w:szCs w:val="12"/>
          <w:color w:val="auto"/>
        </w:rPr>
        <w:t>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w:t>
      </w:r>
    </w:p>
    <w:p>
      <w:pPr>
        <w:spacing w:after="0" w:line="116" w:lineRule="exact"/>
        <w:rPr>
          <w:sz w:val="20"/>
          <w:szCs w:val="20"/>
          <w:color w:val="auto"/>
        </w:rPr>
      </w:pPr>
    </w:p>
    <w:p>
      <w:pPr>
        <w:jc w:val="both"/>
        <w:ind w:left="8" w:firstLine="432"/>
        <w:spacing w:after="0" w:line="262" w:lineRule="auto"/>
        <w:rPr>
          <w:sz w:val="20"/>
          <w:szCs w:val="20"/>
          <w:color w:val="auto"/>
        </w:rPr>
      </w:pPr>
      <w:r>
        <w:rPr>
          <w:rFonts w:ascii="Arial" w:cs="Arial" w:eastAsia="Arial" w:hAnsi="Arial"/>
          <w:sz w:val="11"/>
          <w:szCs w:val="11"/>
          <w:b w:val="1"/>
          <w:bCs w:val="1"/>
          <w:color w:val="auto"/>
        </w:rPr>
        <w:t xml:space="preserve">6.10 Compliance. </w:t>
      </w:r>
      <w:r>
        <w:rPr>
          <w:rFonts w:ascii="Arial" w:cs="Arial" w:eastAsia="Arial" w:hAnsi="Arial"/>
          <w:sz w:val="11"/>
          <w:szCs w:val="11"/>
          <w:color w:val="auto"/>
        </w:rPr>
        <w:t>(a) Become an “investment company” or a company controlled by an “investment company”, under the Investment Company Act of 1940, as amended, or undertake as one of its important activities</w:t>
      </w:r>
      <w:r>
        <w:rPr>
          <w:rFonts w:ascii="Arial" w:cs="Arial" w:eastAsia="Arial" w:hAnsi="Arial"/>
          <w:sz w:val="11"/>
          <w:szCs w:val="11"/>
          <w:b w:val="1"/>
          <w:bCs w:val="1"/>
          <w:color w:val="auto"/>
        </w:rPr>
        <w:t xml:space="preserve"> </w:t>
      </w:r>
      <w:r>
        <w:rPr>
          <w:rFonts w:ascii="Arial" w:cs="Arial" w:eastAsia="Arial" w:hAnsi="Arial"/>
          <w:sz w:val="11"/>
          <w:szCs w:val="11"/>
          <w:color w:val="auto"/>
        </w:rPr>
        <w:t>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applicable law or regulation, if the foregoing subclauses (i) through (iv), individually or in the aggregate, could reasonably be expected to have a material adverse effect on Borrower’s business or operations, or permit any of its Subsidiaries to do so; or</w:t>
      </w:r>
    </w:p>
    <w:p>
      <w:pPr>
        <w:spacing w:after="0" w:line="2" w:lineRule="exact"/>
        <w:rPr>
          <w:sz w:val="20"/>
          <w:szCs w:val="20"/>
          <w:color w:val="auto"/>
        </w:rPr>
      </w:pPr>
    </w:p>
    <w:p>
      <w:pPr>
        <w:ind w:left="8" w:hanging="8"/>
        <w:spacing w:after="0" w:line="287" w:lineRule="auto"/>
        <w:tabs>
          <w:tab w:leader="none" w:pos="188" w:val="left"/>
        </w:tabs>
        <w:numPr>
          <w:ilvl w:val="0"/>
          <w:numId w:val="77"/>
        </w:numPr>
        <w:rPr>
          <w:rFonts w:ascii="Arial" w:cs="Arial" w:eastAsia="Arial" w:hAnsi="Arial"/>
          <w:sz w:val="11"/>
          <w:szCs w:val="11"/>
          <w:color w:val="auto"/>
        </w:rPr>
      </w:pPr>
      <w:r>
        <w:rPr>
          <w:rFonts w:ascii="Arial" w:cs="Arial" w:eastAsia="Arial" w:hAnsi="Arial"/>
          <w:sz w:val="11"/>
          <w:szCs w:val="11"/>
          <w:color w:val="auto"/>
        </w:rPr>
        <w:t>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97" w:lineRule="exact"/>
        <w:rPr>
          <w:sz w:val="20"/>
          <w:szCs w:val="20"/>
          <w:color w:val="auto"/>
        </w:rPr>
      </w:pPr>
    </w:p>
    <w:p>
      <w:pPr>
        <w:ind w:left="868" w:hanging="436"/>
        <w:spacing w:after="0"/>
        <w:tabs>
          <w:tab w:leader="none" w:pos="868" w:val="left"/>
        </w:tabs>
        <w:numPr>
          <w:ilvl w:val="0"/>
          <w:numId w:val="7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EVENTS OF DEFAULT</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one of the following shall constitute an event of default (an “</w:t>
      </w:r>
      <w:r>
        <w:rPr>
          <w:rFonts w:ascii="Arial" w:cs="Arial" w:eastAsia="Arial" w:hAnsi="Arial"/>
          <w:sz w:val="12"/>
          <w:szCs w:val="12"/>
          <w:b w:val="1"/>
          <w:bCs w:val="1"/>
          <w:color w:val="auto"/>
        </w:rPr>
        <w:t>Event of Default</w:t>
      </w:r>
      <w:r>
        <w:rPr>
          <w:rFonts w:ascii="Arial" w:cs="Arial" w:eastAsia="Arial" w:hAnsi="Arial"/>
          <w:sz w:val="12"/>
          <w:szCs w:val="12"/>
          <w:color w:val="auto"/>
        </w:rPr>
        <w: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8"/>
          </w:cols>
          <w:pgMar w:left="292" w:top="995" w:right="299" w:bottom="1440" w:gutter="0" w:footer="0" w:header="0"/>
        </w:sectPr>
      </w:pPr>
    </w:p>
    <w:bookmarkStart w:id="115" w:name="page116"/>
    <w:bookmarkEnd w:id="115"/>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7.1 Payment Default. </w:t>
      </w:r>
      <w:r>
        <w:rPr>
          <w:rFonts w:ascii="Arial" w:cs="Arial" w:eastAsia="Arial" w:hAnsi="Arial"/>
          <w:sz w:val="12"/>
          <w:szCs w:val="12"/>
          <w:color w:val="auto"/>
        </w:rPr>
        <w:t>Borrower fails to (a) make any payment of principal or interest on any Credit Extension on its due date, or (b) pay any other Obligations within 3 Business Days after such Obligations are due and</w:t>
      </w:r>
      <w:r>
        <w:rPr>
          <w:rFonts w:ascii="Arial" w:cs="Arial" w:eastAsia="Arial" w:hAnsi="Arial"/>
          <w:sz w:val="12"/>
          <w:szCs w:val="12"/>
          <w:b w:val="1"/>
          <w:bCs w:val="1"/>
          <w:color w:val="auto"/>
        </w:rPr>
        <w:t xml:space="preserve"> </w:t>
      </w:r>
      <w:r>
        <w:rPr>
          <w:rFonts w:ascii="Arial" w:cs="Arial" w:eastAsia="Arial" w:hAnsi="Arial"/>
          <w:sz w:val="12"/>
          <w:szCs w:val="12"/>
          <w:color w:val="auto"/>
        </w:rPr>
        <w:t>payable (which 3 Business Day cure period shall not apply to payments due on the Revolving Line Maturity Date). During the cure period, the failure to make or pay any payment specified under clause (b) hereunder is not an Event of Default (but no Credit Extension will be made during the cure period);</w:t>
      </w:r>
    </w:p>
    <w:p>
      <w:pPr>
        <w:spacing w:after="0" w:line="11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0"/>
          <w:szCs w:val="10"/>
          <w:b w:val="1"/>
          <w:bCs w:val="1"/>
          <w:color w:val="auto"/>
        </w:rPr>
        <w:t>Covenant Default.</w:t>
      </w:r>
    </w:p>
    <w:p>
      <w:pPr>
        <w:spacing w:after="0" w:line="145" w:lineRule="exact"/>
        <w:rPr>
          <w:sz w:val="20"/>
          <w:szCs w:val="20"/>
          <w:color w:val="auto"/>
        </w:rPr>
      </w:pPr>
    </w:p>
    <w:p>
      <w:pPr>
        <w:ind w:firstLine="856"/>
        <w:spacing w:after="0" w:line="260" w:lineRule="auto"/>
        <w:tabs>
          <w:tab w:leader="none" w:pos="1294" w:val="left"/>
        </w:tabs>
        <w:numPr>
          <w:ilvl w:val="0"/>
          <w:numId w:val="79"/>
        </w:numPr>
        <w:rPr>
          <w:rFonts w:ascii="Arial" w:cs="Arial" w:eastAsia="Arial" w:hAnsi="Arial"/>
          <w:sz w:val="12"/>
          <w:szCs w:val="12"/>
          <w:color w:val="auto"/>
        </w:rPr>
      </w:pPr>
      <w:r>
        <w:rPr>
          <w:rFonts w:ascii="Arial" w:cs="Arial" w:eastAsia="Arial" w:hAnsi="Arial"/>
          <w:sz w:val="12"/>
          <w:szCs w:val="12"/>
          <w:color w:val="auto"/>
        </w:rPr>
        <w:t>Borrower fails or neglects to perform any obligation in Section 5 (other than Sections 5.2 (Government Compliance), 5.10 (Litigation Cooperation), 5.12 (Inventory; Returns) and 5.13 (Further Assurances)) or violates any covenant in Section 6; or</w:t>
      </w:r>
    </w:p>
    <w:p>
      <w:pPr>
        <w:spacing w:after="0" w:line="115" w:lineRule="exact"/>
        <w:rPr>
          <w:rFonts w:ascii="Arial" w:cs="Arial" w:eastAsia="Arial" w:hAnsi="Arial"/>
          <w:sz w:val="12"/>
          <w:szCs w:val="12"/>
          <w:color w:val="auto"/>
        </w:rPr>
      </w:pPr>
    </w:p>
    <w:p>
      <w:pPr>
        <w:jc w:val="both"/>
        <w:ind w:firstLine="856"/>
        <w:spacing w:after="0" w:line="239" w:lineRule="auto"/>
        <w:tabs>
          <w:tab w:leader="none" w:pos="1292" w:val="left"/>
        </w:tabs>
        <w:numPr>
          <w:ilvl w:val="0"/>
          <w:numId w:val="79"/>
        </w:numPr>
        <w:rPr>
          <w:rFonts w:ascii="Arial" w:cs="Arial" w:eastAsia="Arial" w:hAnsi="Arial"/>
          <w:sz w:val="12"/>
          <w:szCs w:val="12"/>
          <w:color w:val="auto"/>
        </w:rPr>
      </w:pPr>
      <w:r>
        <w:rPr>
          <w:rFonts w:ascii="Arial" w:cs="Arial" w:eastAsia="Arial" w:hAnsi="Arial"/>
          <w:sz w:val="12"/>
          <w:szCs w:val="12"/>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10 days after the occurrence thereof; provided, however, that if the default cannot by its nature be cured within the 10-day period or cannot after diligent attempts by Borrower be cured within such 10 day period, and such default is likely to be cured within a reasonable time, then Borrower shall have an additional period (which shall not in any case exceed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12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7.3</w:t>
      </w:r>
      <w:r>
        <w:rPr>
          <w:sz w:val="20"/>
          <w:szCs w:val="20"/>
          <w:color w:val="auto"/>
        </w:rPr>
        <w:tab/>
      </w:r>
      <w:r>
        <w:rPr>
          <w:rFonts w:ascii="Arial" w:cs="Arial" w:eastAsia="Arial" w:hAnsi="Arial"/>
          <w:sz w:val="10"/>
          <w:szCs w:val="10"/>
          <w:b w:val="1"/>
          <w:bCs w:val="1"/>
          <w:color w:val="auto"/>
        </w:rPr>
        <w:t xml:space="preserve">Material Adverse Change. </w:t>
      </w:r>
      <w:r>
        <w:rPr>
          <w:rFonts w:ascii="Arial" w:cs="Arial" w:eastAsia="Arial" w:hAnsi="Arial"/>
          <w:sz w:val="10"/>
          <w:szCs w:val="10"/>
          <w:color w:val="auto"/>
        </w:rPr>
        <w:t>A Material Adverse Change occurs;</w:t>
      </w:r>
    </w:p>
    <w:p>
      <w:pPr>
        <w:spacing w:after="0" w:line="14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7.4</w:t>
      </w:r>
      <w:r>
        <w:rPr>
          <w:sz w:val="20"/>
          <w:szCs w:val="20"/>
          <w:color w:val="auto"/>
        </w:rPr>
        <w:tab/>
      </w:r>
      <w:r>
        <w:rPr>
          <w:rFonts w:ascii="Arial" w:cs="Arial" w:eastAsia="Arial" w:hAnsi="Arial"/>
          <w:sz w:val="10"/>
          <w:szCs w:val="10"/>
          <w:b w:val="1"/>
          <w:bCs w:val="1"/>
          <w:color w:val="auto"/>
        </w:rPr>
        <w:t>Attachment; Levy; Restraint on Business.</w:t>
      </w:r>
    </w:p>
    <w:p>
      <w:pPr>
        <w:spacing w:after="0" w:line="145" w:lineRule="exact"/>
        <w:rPr>
          <w:sz w:val="20"/>
          <w:szCs w:val="20"/>
          <w:color w:val="auto"/>
        </w:rPr>
      </w:pPr>
    </w:p>
    <w:p>
      <w:pPr>
        <w:jc w:val="both"/>
        <w:ind w:firstLine="856"/>
        <w:spacing w:after="0" w:line="247" w:lineRule="auto"/>
        <w:tabs>
          <w:tab w:leader="none" w:pos="1294" w:val="left"/>
        </w:tabs>
        <w:numPr>
          <w:ilvl w:val="0"/>
          <w:numId w:val="80"/>
        </w:numPr>
        <w:rPr>
          <w:rFonts w:ascii="Arial" w:cs="Arial" w:eastAsia="Arial" w:hAnsi="Arial"/>
          <w:sz w:val="12"/>
          <w:szCs w:val="12"/>
          <w:color w:val="auto"/>
        </w:rPr>
      </w:pPr>
      <w:r>
        <w:rPr>
          <w:rFonts w:ascii="Arial" w:cs="Arial" w:eastAsia="Arial" w:hAnsi="Arial"/>
          <w:sz w:val="12"/>
          <w:szCs w:val="12"/>
          <w:color w:val="auto"/>
        </w:rPr>
        <w:t>(i) The service of process seeking to attach, by trustee or similar process, any funds of Borrower or any Subsidiary, or (ii) a notice of lien or levy is filed against any of Borrower’s or any of its Subsidiaries’ assets by any Governmental Authority, and the same under subclauses (i) and (ii) hereof are not, within 10 days after the occurrence thereof, discharged or stayed (whether through the posting of a bond or otherwise); provided, however, no Credit Extensions shall be made during any 10 day cure period; or</w:t>
      </w:r>
    </w:p>
    <w:p>
      <w:pPr>
        <w:spacing w:after="0" w:line="122" w:lineRule="exact"/>
        <w:rPr>
          <w:rFonts w:ascii="Arial" w:cs="Arial" w:eastAsia="Arial" w:hAnsi="Arial"/>
          <w:sz w:val="12"/>
          <w:szCs w:val="12"/>
          <w:color w:val="auto"/>
        </w:rPr>
      </w:pPr>
    </w:p>
    <w:p>
      <w:pPr>
        <w:ind w:firstLine="856"/>
        <w:spacing w:after="0" w:line="260" w:lineRule="auto"/>
        <w:tabs>
          <w:tab w:leader="none" w:pos="1292" w:val="left"/>
        </w:tabs>
        <w:numPr>
          <w:ilvl w:val="0"/>
          <w:numId w:val="80"/>
        </w:numPr>
        <w:rPr>
          <w:rFonts w:ascii="Arial" w:cs="Arial" w:eastAsia="Arial" w:hAnsi="Arial"/>
          <w:sz w:val="12"/>
          <w:szCs w:val="12"/>
          <w:color w:val="auto"/>
        </w:rPr>
      </w:pPr>
      <w:r>
        <w:rPr>
          <w:rFonts w:ascii="Arial" w:cs="Arial" w:eastAsia="Arial" w:hAnsi="Arial"/>
          <w:sz w:val="12"/>
          <w:szCs w:val="12"/>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1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7.5 Insolvency. </w:t>
      </w:r>
      <w:r>
        <w:rPr>
          <w:rFonts w:ascii="Arial" w:cs="Arial" w:eastAsia="Arial" w:hAnsi="Arial"/>
          <w:sz w:val="12"/>
          <w:szCs w:val="12"/>
          <w:color w:val="auto"/>
        </w:rPr>
        <w:t>(a) Borrower and its Subsidiaries, taken as a whole, are unable to pay their debts (including trade debts) as they become due or otherwise become insolvent; (b) Borrower or any of its Subsidiaries begins</w:t>
      </w:r>
      <w:r>
        <w:rPr>
          <w:rFonts w:ascii="Arial" w:cs="Arial" w:eastAsia="Arial" w:hAnsi="Arial"/>
          <w:sz w:val="12"/>
          <w:szCs w:val="12"/>
          <w:b w:val="1"/>
          <w:bCs w:val="1"/>
          <w:color w:val="auto"/>
        </w:rPr>
        <w:t xml:space="preserve"> </w:t>
      </w:r>
      <w:r>
        <w:rPr>
          <w:rFonts w:ascii="Arial" w:cs="Arial" w:eastAsia="Arial" w:hAnsi="Arial"/>
          <w:sz w:val="12"/>
          <w:szCs w:val="12"/>
          <w:color w:val="auto"/>
        </w:rPr>
        <w:t>an Insolvency Proceeding; or (c) an Insolvency Proceeding is begun against Borrower or any of its Subsidiaries and is not dismissed or stayed within 45 days (but no Credit Extensions shall be made while any of the conditions described in clause (a) exist or until any Insolvency Proceeding is dismissed);</w:t>
      </w:r>
    </w:p>
    <w:p>
      <w:pPr>
        <w:spacing w:after="0" w:line="11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7.6 Other Agreements. </w:t>
      </w:r>
      <w:r>
        <w:rPr>
          <w:rFonts w:ascii="Arial" w:cs="Arial" w:eastAsia="Arial" w:hAnsi="Arial"/>
          <w:sz w:val="12"/>
          <w:szCs w:val="12"/>
          <w:color w:val="auto"/>
        </w:rPr>
        <w:t>There is, under any agreement to which Borrower, any of Borrower’s Subsidiaries, or any Guarantor is a party with a third party or parties, (a) any default resulting in a right by such third party or</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whether or not exercised, to accelerate the maturity of any Indebtedness in an amount individually or in the aggregate in excess of $500,000.00; or (b) any breach or default by Borrower, any of Borrower’s Subsidiaries, or any Guarantor, the result of which could have a material adverse effect on Borrower’s, any of Borrower’s Subsidiaries’, or any Guarantor’s business or operations;</w:t>
      </w:r>
    </w:p>
    <w:p>
      <w:pPr>
        <w:spacing w:after="0" w:line="11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 xml:space="preserve">7.7 Judgments; Penalties. </w:t>
      </w:r>
      <w:r>
        <w:rPr>
          <w:rFonts w:ascii="Arial" w:cs="Arial" w:eastAsia="Arial" w:hAnsi="Arial"/>
          <w:sz w:val="12"/>
          <w:szCs w:val="12"/>
          <w:color w:val="auto"/>
        </w:rPr>
        <w:t>One or more fines, penalties or final judgments, orders or decrees for the payment of money in an amount, individually or in the aggregate, of at least $1,250,000.00 (not covered by independent</w:t>
      </w:r>
      <w:r>
        <w:rPr>
          <w:rFonts w:ascii="Arial" w:cs="Arial" w:eastAsia="Arial" w:hAnsi="Arial"/>
          <w:sz w:val="12"/>
          <w:szCs w:val="12"/>
          <w:b w:val="1"/>
          <w:bCs w:val="1"/>
          <w:color w:val="auto"/>
        </w:rPr>
        <w:t xml:space="preserve"> </w:t>
      </w:r>
      <w:r>
        <w:rPr>
          <w:rFonts w:ascii="Arial" w:cs="Arial" w:eastAsia="Arial" w:hAnsi="Arial"/>
          <w:sz w:val="12"/>
          <w:szCs w:val="12"/>
          <w:color w:val="auto"/>
        </w:rPr>
        <w:t>third-party insurance as to which liability has been accepted by such insurance carrier) shall be rendered against Borrower or any of its Subsidiaries by any Governmental Authority, and the same are not, within 10 days after the entry, assessment or issuance thereof, discharged, satisfied, or paid after execution thereof, or stayed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991" w:right="299" w:bottom="1440" w:gutter="0" w:footer="0" w:header="0"/>
        </w:sectPr>
      </w:pPr>
    </w:p>
    <w:bookmarkStart w:id="116" w:name="page117"/>
    <w:bookmarkEnd w:id="116"/>
    <w:p>
      <w:pPr>
        <w:jc w:val="both"/>
        <w:ind w:left="8"/>
        <w:spacing w:after="0" w:line="260" w:lineRule="auto"/>
        <w:rPr>
          <w:sz w:val="20"/>
          <w:szCs w:val="20"/>
          <w:color w:val="auto"/>
        </w:rPr>
      </w:pPr>
      <w:r>
        <w:rPr>
          <w:rFonts w:ascii="Arial" w:cs="Arial" w:eastAsia="Arial" w:hAnsi="Arial"/>
          <w:sz w:val="12"/>
          <w:szCs w:val="12"/>
          <w:color w:val="auto"/>
        </w:rPr>
        <w:t>pending appeal, or such judgments are not discharged prior to the expiration of any such stay (provided that no Credit Extensions will be made prior to the discharge, satisfaction, payment, or stay of such fine, penalty, judgment, order or decree);</w:t>
      </w:r>
    </w:p>
    <w:p>
      <w:pPr>
        <w:spacing w:after="0" w:line="111" w:lineRule="exact"/>
        <w:rPr>
          <w:sz w:val="20"/>
          <w:szCs w:val="20"/>
          <w:color w:val="auto"/>
        </w:rPr>
      </w:pPr>
    </w:p>
    <w:p>
      <w:pPr>
        <w:jc w:val="both"/>
        <w:ind w:left="8" w:firstLine="432"/>
        <w:spacing w:after="0" w:line="275" w:lineRule="auto"/>
        <w:rPr>
          <w:sz w:val="20"/>
          <w:szCs w:val="20"/>
          <w:color w:val="auto"/>
        </w:rPr>
      </w:pPr>
      <w:r>
        <w:rPr>
          <w:rFonts w:ascii="Arial" w:cs="Arial" w:eastAsia="Arial" w:hAnsi="Arial"/>
          <w:sz w:val="11"/>
          <w:szCs w:val="11"/>
          <w:b w:val="1"/>
          <w:bCs w:val="1"/>
          <w:color w:val="auto"/>
        </w:rPr>
        <w:t xml:space="preserve">7.8 Misrepresentations. </w:t>
      </w:r>
      <w:r>
        <w:rPr>
          <w:rFonts w:ascii="Arial" w:cs="Arial" w:eastAsia="Arial" w:hAnsi="Arial"/>
          <w:sz w:val="11"/>
          <w:szCs w:val="11"/>
          <w:color w:val="auto"/>
        </w:rPr>
        <w:t>Borrower or any of its Subsidiaries or any Person acting for Borrower or any of its Subsidiaries makes any representation, warranty, or other statement now or later in this Agreement, any Loan</w:t>
      </w:r>
      <w:r>
        <w:rPr>
          <w:rFonts w:ascii="Arial" w:cs="Arial" w:eastAsia="Arial" w:hAnsi="Arial"/>
          <w:sz w:val="11"/>
          <w:szCs w:val="11"/>
          <w:b w:val="1"/>
          <w:bCs w:val="1"/>
          <w:color w:val="auto"/>
        </w:rPr>
        <w:t xml:space="preserve"> </w:t>
      </w:r>
      <w:r>
        <w:rPr>
          <w:rFonts w:ascii="Arial" w:cs="Arial" w:eastAsia="Arial" w:hAnsi="Arial"/>
          <w:sz w:val="11"/>
          <w:szCs w:val="11"/>
          <w:color w:val="auto"/>
        </w:rPr>
        <w:t>Document or in any writing delivered to Bank in connection with this Agreement or any Loan Document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04" w:lineRule="exact"/>
        <w:rPr>
          <w:sz w:val="20"/>
          <w:szCs w:val="20"/>
          <w:color w:val="auto"/>
        </w:rPr>
      </w:pPr>
    </w:p>
    <w:p>
      <w:pPr>
        <w:jc w:val="both"/>
        <w:ind w:left="8" w:firstLine="432"/>
        <w:spacing w:after="0" w:line="245" w:lineRule="auto"/>
        <w:rPr>
          <w:sz w:val="20"/>
          <w:szCs w:val="20"/>
          <w:color w:val="auto"/>
        </w:rPr>
      </w:pPr>
      <w:r>
        <w:rPr>
          <w:rFonts w:ascii="Arial" w:cs="Arial" w:eastAsia="Arial" w:hAnsi="Arial"/>
          <w:sz w:val="12"/>
          <w:szCs w:val="12"/>
          <w:b w:val="1"/>
          <w:bCs w:val="1"/>
          <w:color w:val="auto"/>
        </w:rPr>
        <w:t xml:space="preserve">7.9 Subordinated Debt. </w:t>
      </w:r>
      <w:r>
        <w:rPr>
          <w:rFonts w:ascii="Arial" w:cs="Arial" w:eastAsia="Arial" w:hAnsi="Arial"/>
          <w:sz w:val="12"/>
          <w:szCs w:val="12"/>
          <w:color w:val="auto"/>
        </w:rPr>
        <w:t>If: (a) any document, instrument, or agreement evidencing any Subordinated Debt shall for any reason be revoked or invalidated or otherwise cease to be in full force and effect, or any Person</w:t>
      </w:r>
      <w:r>
        <w:rPr>
          <w:rFonts w:ascii="Arial" w:cs="Arial" w:eastAsia="Arial" w:hAnsi="Arial"/>
          <w:sz w:val="12"/>
          <w:szCs w:val="12"/>
          <w:b w:val="1"/>
          <w:bCs w:val="1"/>
          <w:color w:val="auto"/>
        </w:rPr>
        <w:t xml:space="preserve"> </w:t>
      </w:r>
      <w:r>
        <w:rPr>
          <w:rFonts w:ascii="Arial" w:cs="Arial" w:eastAsia="Arial" w:hAnsi="Arial"/>
          <w:sz w:val="12"/>
          <w:szCs w:val="12"/>
          <w:color w:val="auto"/>
        </w:rPr>
        <w:t>(other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21"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2"/>
          <w:szCs w:val="12"/>
          <w:b w:val="1"/>
          <w:bCs w:val="1"/>
          <w:color w:val="auto"/>
        </w:rPr>
        <w:t>7.10</w:t>
      </w:r>
      <w:r>
        <w:rPr>
          <w:sz w:val="20"/>
          <w:szCs w:val="20"/>
          <w:color w:val="auto"/>
        </w:rPr>
        <w:tab/>
      </w:r>
      <w:r>
        <w:rPr>
          <w:rFonts w:ascii="Arial" w:cs="Arial" w:eastAsia="Arial" w:hAnsi="Arial"/>
          <w:sz w:val="11"/>
          <w:szCs w:val="11"/>
          <w:b w:val="1"/>
          <w:bCs w:val="1"/>
          <w:color w:val="auto"/>
        </w:rPr>
        <w:t>Lien Priority</w:t>
      </w:r>
      <w:r>
        <w:rPr>
          <w:rFonts w:ascii="Arial" w:cs="Arial" w:eastAsia="Arial" w:hAnsi="Arial"/>
          <w:sz w:val="11"/>
          <w:szCs w:val="11"/>
          <w:color w:val="auto"/>
        </w:rPr>
        <w:t>. There is a material impairment in the perfection or priority of Bank’s security interest in the Collateral;</w:t>
      </w:r>
    </w:p>
    <w:p>
      <w:pPr>
        <w:spacing w:after="0" w:line="141"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2"/>
          <w:szCs w:val="12"/>
          <w:b w:val="1"/>
          <w:bCs w:val="1"/>
          <w:color w:val="auto"/>
        </w:rPr>
        <w:t>7.11</w:t>
      </w:r>
      <w:r>
        <w:rPr>
          <w:sz w:val="20"/>
          <w:szCs w:val="20"/>
          <w:color w:val="auto"/>
        </w:rPr>
        <w:tab/>
      </w:r>
      <w:r>
        <w:rPr>
          <w:rFonts w:ascii="Arial" w:cs="Arial" w:eastAsia="Arial" w:hAnsi="Arial"/>
          <w:sz w:val="11"/>
          <w:szCs w:val="11"/>
          <w:b w:val="1"/>
          <w:bCs w:val="1"/>
          <w:color w:val="auto"/>
        </w:rPr>
        <w:t xml:space="preserve">Guaranty. </w:t>
      </w:r>
      <w:r>
        <w:rPr>
          <w:rFonts w:ascii="Arial" w:cs="Arial" w:eastAsia="Arial" w:hAnsi="Arial"/>
          <w:sz w:val="11"/>
          <w:szCs w:val="11"/>
          <w:color w:val="auto"/>
        </w:rPr>
        <w:t>(a) Any guaranty of any Obligations terminates or ceases for any reason to be in full force and effect; (b) any Guarantor does not perform any obligation or covenant under any guaranty of the Obligations;</w:t>
      </w:r>
    </w:p>
    <w:p>
      <w:pPr>
        <w:spacing w:after="0" w:line="11" w:lineRule="exact"/>
        <w:rPr>
          <w:sz w:val="20"/>
          <w:szCs w:val="20"/>
          <w:color w:val="auto"/>
        </w:rPr>
      </w:pPr>
    </w:p>
    <w:p>
      <w:pPr>
        <w:jc w:val="both"/>
        <w:ind w:left="8" w:hanging="8"/>
        <w:spacing w:after="0" w:line="239" w:lineRule="auto"/>
        <w:tabs>
          <w:tab w:leader="none" w:pos="176"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circumstance described in Sections 7.3, 7.4, 7.5, 7.6, 7.7, or 7.8 of this Agreement occurs with respect to any Guarantor, (d) the death, liquidation, winding up, or termination of existence of any Guarantor;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23" w:lineRule="exact"/>
        <w:rPr>
          <w:sz w:val="20"/>
          <w:szCs w:val="20"/>
          <w:color w:val="auto"/>
        </w:rPr>
      </w:pPr>
    </w:p>
    <w:p>
      <w:pPr>
        <w:jc w:val="both"/>
        <w:ind w:left="8" w:firstLine="432"/>
        <w:spacing w:after="0" w:line="270" w:lineRule="auto"/>
        <w:rPr>
          <w:sz w:val="20"/>
          <w:szCs w:val="20"/>
          <w:color w:val="auto"/>
        </w:rPr>
      </w:pPr>
      <w:r>
        <w:rPr>
          <w:rFonts w:ascii="Arial" w:cs="Arial" w:eastAsia="Arial" w:hAnsi="Arial"/>
          <w:sz w:val="11"/>
          <w:szCs w:val="11"/>
          <w:b w:val="1"/>
          <w:bCs w:val="1"/>
          <w:color w:val="auto"/>
        </w:rPr>
        <w:t xml:space="preserve">7.12 Governmental Approvals. </w:t>
      </w:r>
      <w:r>
        <w:rPr>
          <w:rFonts w:ascii="Arial" w:cs="Arial" w:eastAsia="Arial" w:hAnsi="Arial"/>
          <w:sz w:val="11"/>
          <w:szCs w:val="11"/>
          <w:color w:val="auto"/>
        </w:rPr>
        <w:t>Any Governmental Approval shall have been (a) revoked, rescinded, suspended, modified in an adverse manner or not renewed in the ordinary course for a full term or (b) subject to any</w:t>
      </w:r>
      <w:r>
        <w:rPr>
          <w:rFonts w:ascii="Arial" w:cs="Arial" w:eastAsia="Arial" w:hAnsi="Arial"/>
          <w:sz w:val="11"/>
          <w:szCs w:val="11"/>
          <w:b w:val="1"/>
          <w:bCs w:val="1"/>
          <w:color w:val="auto"/>
        </w:rPr>
        <w:t xml:space="preserve"> </w:t>
      </w:r>
      <w:r>
        <w:rPr>
          <w:rFonts w:ascii="Arial" w:cs="Arial" w:eastAsia="Arial" w:hAnsi="Arial"/>
          <w:sz w:val="11"/>
          <w:szCs w:val="11"/>
          <w:color w:val="auto"/>
        </w:rPr>
        <w:t>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08" w:lineRule="exact"/>
        <w:rPr>
          <w:sz w:val="20"/>
          <w:szCs w:val="20"/>
          <w:color w:val="auto"/>
        </w:rPr>
      </w:pPr>
    </w:p>
    <w:p>
      <w:pPr>
        <w:jc w:val="both"/>
        <w:ind w:left="8" w:right="20" w:firstLine="432"/>
        <w:spacing w:after="0" w:line="267" w:lineRule="auto"/>
        <w:rPr>
          <w:sz w:val="20"/>
          <w:szCs w:val="20"/>
          <w:color w:val="auto"/>
        </w:rPr>
      </w:pPr>
      <w:r>
        <w:rPr>
          <w:rFonts w:ascii="Arial" w:cs="Arial" w:eastAsia="Arial" w:hAnsi="Arial"/>
          <w:sz w:val="12"/>
          <w:szCs w:val="12"/>
          <w:b w:val="1"/>
          <w:bCs w:val="1"/>
          <w:color w:val="auto"/>
        </w:rPr>
        <w:t>7.13 Delisting</w:t>
      </w:r>
      <w:r>
        <w:rPr>
          <w:rFonts w:ascii="Arial" w:cs="Arial" w:eastAsia="Arial" w:hAnsi="Arial"/>
          <w:sz w:val="12"/>
          <w:szCs w:val="12"/>
          <w:color w:val="auto"/>
        </w:rPr>
        <w:t>. After an initial public offering of the Borrower’s common stock on an exchange or market, such shares are delisted from such exchange or market because of Borrower’s failure to comply with continued</w:t>
      </w:r>
      <w:r>
        <w:rPr>
          <w:rFonts w:ascii="Arial" w:cs="Arial" w:eastAsia="Arial" w:hAnsi="Arial"/>
          <w:sz w:val="12"/>
          <w:szCs w:val="12"/>
          <w:b w:val="1"/>
          <w:bCs w:val="1"/>
          <w:color w:val="auto"/>
        </w:rPr>
        <w:t xml:space="preserve"> </w:t>
      </w:r>
      <w:r>
        <w:rPr>
          <w:rFonts w:ascii="Arial" w:cs="Arial" w:eastAsia="Arial" w:hAnsi="Arial"/>
          <w:sz w:val="12"/>
          <w:szCs w:val="12"/>
          <w:color w:val="auto"/>
        </w:rPr>
        <w:t>listing standards thereof or due to a voluntary delisting which results in such shares not being listed on such exchange or market, or a similar exchange.</w:t>
      </w:r>
    </w:p>
    <w:p>
      <w:pPr>
        <w:spacing w:after="0" w:line="107" w:lineRule="exact"/>
        <w:rPr>
          <w:sz w:val="20"/>
          <w:szCs w:val="20"/>
          <w:color w:val="auto"/>
        </w:rPr>
      </w:pPr>
    </w:p>
    <w:p>
      <w:pPr>
        <w:ind w:left="868" w:hanging="436"/>
        <w:spacing w:after="0"/>
        <w:tabs>
          <w:tab w:leader="none" w:pos="868" w:val="left"/>
        </w:tabs>
        <w:numPr>
          <w:ilvl w:val="0"/>
          <w:numId w:val="8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BANK’S RIGHTS AND REMEDIES</w:t>
      </w:r>
    </w:p>
    <w:p>
      <w:pPr>
        <w:spacing w:after="0" w:line="141"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0"/>
          <w:szCs w:val="10"/>
          <w:b w:val="1"/>
          <w:bCs w:val="1"/>
          <w:color w:val="auto"/>
        </w:rPr>
        <w:t xml:space="preserve">Rights and Remedies. </w:t>
      </w:r>
      <w:r>
        <w:rPr>
          <w:rFonts w:ascii="Arial" w:cs="Arial" w:eastAsia="Arial" w:hAnsi="Arial"/>
          <w:sz w:val="10"/>
          <w:szCs w:val="10"/>
          <w:color w:val="auto"/>
        </w:rPr>
        <w:t>Upon the occurrence and during the continuance of an Event of Default, Bank may, without notice or demand, do any or all of the following, to the extent not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8"/>
          </w:cols>
          <w:pgMar w:left="292" w:top="995" w:right="299" w:bottom="1440" w:gutter="0" w:footer="0" w:header="0"/>
        </w:sectPr>
      </w:pPr>
    </w:p>
    <w:bookmarkStart w:id="117" w:name="page118"/>
    <w:bookmarkEnd w:id="117"/>
    <w:p>
      <w:pPr>
        <w:ind w:left="1280" w:hanging="424"/>
        <w:spacing w:after="0"/>
        <w:tabs>
          <w:tab w:leader="none" w:pos="12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declare all Obligations immediately due and payable (but if an Event of Default described in Section 7.5 occurs, all Obligations are immediately due and payable without any action by Bank);</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stop advancing money or extending credit for Borrower’s benefit under this Agreement or under any other agreement between Borrower and Bank;</w:t>
      </w:r>
    </w:p>
    <w:p>
      <w:pPr>
        <w:spacing w:after="0" w:line="141" w:lineRule="exact"/>
        <w:rPr>
          <w:rFonts w:ascii="Arial" w:cs="Arial" w:eastAsia="Arial" w:hAnsi="Arial"/>
          <w:sz w:val="12"/>
          <w:szCs w:val="12"/>
          <w:color w:val="auto"/>
        </w:rPr>
      </w:pPr>
    </w:p>
    <w:p>
      <w:pPr>
        <w:jc w:val="both"/>
        <w:ind w:firstLine="856"/>
        <w:spacing w:after="0" w:line="243" w:lineRule="auto"/>
        <w:tabs>
          <w:tab w:leader="none" w:pos="1294" w:val="left"/>
        </w:tabs>
        <w:numPr>
          <w:ilvl w:val="0"/>
          <w:numId w:val="83"/>
        </w:numPr>
        <w:rPr>
          <w:rFonts w:ascii="Arial" w:cs="Arial" w:eastAsia="Arial" w:hAnsi="Arial"/>
          <w:sz w:val="12"/>
          <w:szCs w:val="12"/>
          <w:color w:val="auto"/>
        </w:rPr>
      </w:pPr>
      <w:r>
        <w:rPr>
          <w:rFonts w:ascii="Arial" w:cs="Arial" w:eastAsia="Arial" w:hAnsi="Arial"/>
          <w:sz w:val="12"/>
          <w:szCs w:val="12"/>
          <w:color w:val="auto"/>
        </w:rPr>
        <w:t>demand that Borrower (i) deposit cash with Bank in an amount equal to at least (A) 105.0% of the aggregate face amount of any Letters of Credit denominated in Dollars remaining undrawn, and (B) 110.0%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25" w:lineRule="exact"/>
        <w:rPr>
          <w:rFonts w:ascii="Arial" w:cs="Arial" w:eastAsia="Arial" w:hAnsi="Arial"/>
          <w:sz w:val="12"/>
          <w:szCs w:val="12"/>
          <w:color w:val="auto"/>
        </w:rPr>
      </w:pPr>
    </w:p>
    <w:p>
      <w:pPr>
        <w:jc w:val="both"/>
        <w:ind w:firstLine="856"/>
        <w:spacing w:after="0" w:line="243" w:lineRule="auto"/>
        <w:tabs>
          <w:tab w:leader="none" w:pos="1292" w:val="left"/>
        </w:tabs>
        <w:numPr>
          <w:ilvl w:val="0"/>
          <w:numId w:val="83"/>
        </w:numPr>
        <w:rPr>
          <w:rFonts w:ascii="Arial" w:cs="Arial" w:eastAsia="Arial" w:hAnsi="Arial"/>
          <w:sz w:val="12"/>
          <w:szCs w:val="12"/>
          <w:color w:val="auto"/>
        </w:rPr>
      </w:pPr>
      <w:r>
        <w:rPr>
          <w:rFonts w:ascii="Arial" w:cs="Arial" w:eastAsia="Arial" w:hAnsi="Arial"/>
          <w:sz w:val="12"/>
          <w:szCs w:val="12"/>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25" w:lineRule="exact"/>
        <w:rPr>
          <w:rFonts w:ascii="Arial" w:cs="Arial" w:eastAsia="Arial" w:hAnsi="Arial"/>
          <w:sz w:val="12"/>
          <w:szCs w:val="12"/>
          <w:color w:val="auto"/>
        </w:rPr>
      </w:pPr>
    </w:p>
    <w:p>
      <w:pPr>
        <w:jc w:val="both"/>
        <w:ind w:firstLine="856"/>
        <w:spacing w:after="0" w:line="247" w:lineRule="auto"/>
        <w:tabs>
          <w:tab w:leader="none" w:pos="1294" w:val="left"/>
        </w:tabs>
        <w:numPr>
          <w:ilvl w:val="0"/>
          <w:numId w:val="83"/>
        </w:numPr>
        <w:rPr>
          <w:rFonts w:ascii="Arial" w:cs="Arial" w:eastAsia="Arial" w:hAnsi="Arial"/>
          <w:sz w:val="12"/>
          <w:szCs w:val="12"/>
          <w:color w:val="auto"/>
        </w:rPr>
      </w:pPr>
      <w:r>
        <w:rPr>
          <w:rFonts w:ascii="Arial" w:cs="Arial" w:eastAsia="Arial" w:hAnsi="Arial"/>
          <w:sz w:val="12"/>
          <w:szCs w:val="12"/>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spacing w:after="0" w:line="122" w:lineRule="exact"/>
        <w:rPr>
          <w:rFonts w:ascii="Arial" w:cs="Arial" w:eastAsia="Arial" w:hAnsi="Arial"/>
          <w:sz w:val="12"/>
          <w:szCs w:val="12"/>
          <w:color w:val="auto"/>
        </w:rPr>
      </w:pPr>
    </w:p>
    <w:p>
      <w:pPr>
        <w:jc w:val="both"/>
        <w:ind w:firstLine="856"/>
        <w:spacing w:after="0" w:line="243" w:lineRule="auto"/>
        <w:tabs>
          <w:tab w:leader="none" w:pos="1290" w:val="left"/>
        </w:tabs>
        <w:numPr>
          <w:ilvl w:val="0"/>
          <w:numId w:val="83"/>
        </w:numPr>
        <w:rPr>
          <w:rFonts w:ascii="Arial" w:cs="Arial" w:eastAsia="Arial" w:hAnsi="Arial"/>
          <w:sz w:val="12"/>
          <w:szCs w:val="12"/>
          <w:color w:val="auto"/>
        </w:rPr>
      </w:pPr>
      <w:r>
        <w:rPr>
          <w:rFonts w:ascii="Arial" w:cs="Arial" w:eastAsia="Arial" w:hAnsi="Arial"/>
          <w:sz w:val="12"/>
          <w:szCs w:val="12"/>
          <w:color w:val="auto"/>
        </w:rPr>
        <w:t>make any payments and do any acts it considers necessary or reasonable to protect the Collateral and/or its security interest in the Collateral. Borrower shall assemble the Collateral if Bank requests and make it available as Bank designates at a location reasonably convenient to Bank and Borrower. Bank may peaceably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25" w:lineRule="exact"/>
        <w:rPr>
          <w:rFonts w:ascii="Arial" w:cs="Arial" w:eastAsia="Arial" w:hAnsi="Arial"/>
          <w:sz w:val="12"/>
          <w:szCs w:val="12"/>
          <w:color w:val="auto"/>
        </w:rPr>
      </w:pPr>
    </w:p>
    <w:p>
      <w:pPr>
        <w:ind w:left="1280" w:hanging="424"/>
        <w:spacing w:after="0"/>
        <w:tabs>
          <w:tab w:leader="none" w:pos="1280" w:val="left"/>
        </w:tabs>
        <w:numPr>
          <w:ilvl w:val="0"/>
          <w:numId w:val="83"/>
        </w:numPr>
        <w:rPr>
          <w:rFonts w:ascii="Arial" w:cs="Arial" w:eastAsia="Arial" w:hAnsi="Arial"/>
          <w:sz w:val="11"/>
          <w:szCs w:val="11"/>
          <w:color w:val="auto"/>
        </w:rPr>
      </w:pPr>
      <w:r>
        <w:rPr>
          <w:rFonts w:ascii="Arial" w:cs="Arial" w:eastAsia="Arial" w:hAnsi="Arial"/>
          <w:sz w:val="11"/>
          <w:szCs w:val="11"/>
          <w:color w:val="auto"/>
        </w:rPr>
        <w:t>apply to the outstanding Obligations then due any (i) balances and deposits of Borrower it holds (other than any Excluded Account), or (ii) amount held by Bank owing to or for the credit or the account of</w:t>
      </w:r>
    </w:p>
    <w:p>
      <w:pPr>
        <w:spacing w:after="0" w:line="1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Borrower;</w:t>
      </w:r>
    </w:p>
    <w:p>
      <w:pPr>
        <w:spacing w:after="0" w:line="131" w:lineRule="exact"/>
        <w:rPr>
          <w:rFonts w:ascii="Arial" w:cs="Arial" w:eastAsia="Arial" w:hAnsi="Arial"/>
          <w:sz w:val="11"/>
          <w:szCs w:val="11"/>
          <w:color w:val="auto"/>
        </w:rPr>
      </w:pPr>
    </w:p>
    <w:p>
      <w:pPr>
        <w:jc w:val="both"/>
        <w:ind w:firstLine="856"/>
        <w:spacing w:after="0" w:line="243" w:lineRule="auto"/>
        <w:tabs>
          <w:tab w:leader="none" w:pos="1292" w:val="left"/>
        </w:tabs>
        <w:numPr>
          <w:ilvl w:val="0"/>
          <w:numId w:val="83"/>
        </w:numPr>
        <w:rPr>
          <w:rFonts w:ascii="Arial" w:cs="Arial" w:eastAsia="Arial" w:hAnsi="Arial"/>
          <w:sz w:val="12"/>
          <w:szCs w:val="12"/>
          <w:color w:val="auto"/>
        </w:rPr>
      </w:pPr>
      <w:r>
        <w:rPr>
          <w:rFonts w:ascii="Arial" w:cs="Arial" w:eastAsia="Arial" w:hAnsi="Arial"/>
          <w:sz w:val="12"/>
          <w:szCs w:val="12"/>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25" w:lineRule="exact"/>
        <w:rPr>
          <w:rFonts w:ascii="Arial" w:cs="Arial" w:eastAsia="Arial" w:hAnsi="Arial"/>
          <w:sz w:val="12"/>
          <w:szCs w:val="12"/>
          <w:color w:val="auto"/>
        </w:rPr>
      </w:pPr>
    </w:p>
    <w:p>
      <w:pPr>
        <w:ind w:firstLine="856"/>
        <w:spacing w:after="0" w:line="260" w:lineRule="auto"/>
        <w:tabs>
          <w:tab w:leader="none" w:pos="1292" w:val="left"/>
        </w:tabs>
        <w:numPr>
          <w:ilvl w:val="0"/>
          <w:numId w:val="83"/>
        </w:numPr>
        <w:rPr>
          <w:rFonts w:ascii="Arial" w:cs="Arial" w:eastAsia="Arial" w:hAnsi="Arial"/>
          <w:sz w:val="12"/>
          <w:szCs w:val="12"/>
          <w:color w:val="auto"/>
        </w:rPr>
      </w:pPr>
      <w:r>
        <w:rPr>
          <w:rFonts w:ascii="Arial" w:cs="Arial" w:eastAsia="Arial" w:hAnsi="Arial"/>
          <w:sz w:val="12"/>
          <w:szCs w:val="12"/>
          <w:color w:val="auto"/>
        </w:rPr>
        <w:t>place a “hold” on any account maintained with Bank (other than any Excluded Account) and/or deliver a notice of exclusive control, any entitlement order, or other directions or instructions pursuant to any Control Agreement or similar agreements providing control of any Collateral;</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demand and receive possession of Borrower’s Books;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995" w:right="299" w:bottom="1440" w:gutter="0" w:footer="0" w:header="0"/>
        </w:sectPr>
      </w:pPr>
    </w:p>
    <w:bookmarkStart w:id="118" w:name="page119"/>
    <w:bookmarkEnd w:id="118"/>
    <w:p>
      <w:pPr>
        <w:ind w:firstLine="856"/>
        <w:spacing w:after="0" w:line="260" w:lineRule="auto"/>
        <w:tabs>
          <w:tab w:leader="none" w:pos="1292" w:val="left"/>
        </w:tabs>
        <w:numPr>
          <w:ilvl w:val="0"/>
          <w:numId w:val="84"/>
        </w:numPr>
        <w:rPr>
          <w:rFonts w:ascii="Arial" w:cs="Arial" w:eastAsia="Arial" w:hAnsi="Arial"/>
          <w:sz w:val="12"/>
          <w:szCs w:val="12"/>
          <w:color w:val="auto"/>
        </w:rPr>
      </w:pPr>
      <w:r>
        <w:rPr>
          <w:rFonts w:ascii="Arial" w:cs="Arial" w:eastAsia="Arial" w:hAnsi="Arial"/>
          <w:sz w:val="12"/>
          <w:szCs w:val="12"/>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1"/>
          <w:szCs w:val="11"/>
          <w:b w:val="1"/>
          <w:bCs w:val="1"/>
          <w:color w:val="auto"/>
        </w:rPr>
        <w:t xml:space="preserve">8.2 Power of Attorney. </w:t>
      </w:r>
      <w:r>
        <w:rPr>
          <w:rFonts w:ascii="Arial" w:cs="Arial" w:eastAsia="Arial" w:hAnsi="Arial"/>
          <w:sz w:val="11"/>
          <w:szCs w:val="11"/>
          <w:color w:val="auto"/>
        </w:rPr>
        <w:t>Borrower hereby irrevocably appoints Bank as its true and lawful attorney-in-fact, (a) exercisable upon the occurrence and during the continuance of an Event of Default, to: (i) endorse Borrower’s</w:t>
      </w:r>
      <w:r>
        <w:rPr>
          <w:rFonts w:ascii="Arial" w:cs="Arial" w:eastAsia="Arial" w:hAnsi="Arial"/>
          <w:sz w:val="11"/>
          <w:szCs w:val="11"/>
          <w:b w:val="1"/>
          <w:bCs w:val="1"/>
          <w:color w:val="auto"/>
        </w:rPr>
        <w:t xml:space="preserve"> </w:t>
      </w:r>
      <w:r>
        <w:rPr>
          <w:rFonts w:ascii="Arial" w:cs="Arial" w:eastAsia="Arial" w:hAnsi="Arial"/>
          <w:sz w:val="11"/>
          <w:szCs w:val="11"/>
          <w:color w:val="auto"/>
        </w:rPr>
        <w:t>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or other obligations which, by their terms, survive termination of this Agreement)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12"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b w:val="1"/>
          <w:bCs w:val="1"/>
          <w:color w:val="auto"/>
        </w:rPr>
        <w:t xml:space="preserve">8.3 Protective Payments. </w:t>
      </w:r>
      <w:r>
        <w:rPr>
          <w:rFonts w:ascii="Arial" w:cs="Arial" w:eastAsia="Arial" w:hAnsi="Arial"/>
          <w:sz w:val="11"/>
          <w:szCs w:val="11"/>
          <w:color w:val="auto"/>
        </w:rPr>
        <w:t>If Borrower fails to timely obtain the insurance called for by Section 5.6 or fails to pay any premium thereon or fails to timely pay any other amount which Borrower is obligated to pay under</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04"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b w:val="1"/>
          <w:bCs w:val="1"/>
          <w:color w:val="auto"/>
        </w:rPr>
        <w:t xml:space="preserve">8.4 Application of Payments and Proceeds Upon Default. </w:t>
      </w:r>
      <w:r>
        <w:rPr>
          <w:rFonts w:ascii="Arial" w:cs="Arial" w:eastAsia="Arial" w:hAnsi="Arial"/>
          <w:sz w:val="12"/>
          <w:szCs w:val="12"/>
          <w:color w:val="auto"/>
        </w:rPr>
        <w:t>If an Event of Default has occurred and is continuing, Bank may apply any funds in its possession, whether from Borrower account balances, payments,</w:t>
      </w:r>
      <w:r>
        <w:rPr>
          <w:rFonts w:ascii="Arial" w:cs="Arial" w:eastAsia="Arial" w:hAnsi="Arial"/>
          <w:sz w:val="12"/>
          <w:szCs w:val="12"/>
          <w:b w:val="1"/>
          <w:bCs w:val="1"/>
          <w:color w:val="auto"/>
        </w:rPr>
        <w:t xml:space="preserve"> </w:t>
      </w:r>
      <w:r>
        <w:rPr>
          <w:rFonts w:ascii="Arial" w:cs="Arial" w:eastAsia="Arial" w:hAnsi="Arial"/>
          <w:sz w:val="12"/>
          <w:szCs w:val="12"/>
          <w:color w:val="auto"/>
        </w:rPr>
        <w:t>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20"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1"/>
          <w:szCs w:val="11"/>
          <w:b w:val="1"/>
          <w:bCs w:val="1"/>
          <w:color w:val="auto"/>
        </w:rPr>
        <w:t xml:space="preserve">8.5 Bank’s Liability for Collateral. </w:t>
      </w:r>
      <w:r>
        <w:rPr>
          <w:rFonts w:ascii="Arial" w:cs="Arial" w:eastAsia="Arial" w:hAnsi="Arial"/>
          <w:sz w:val="11"/>
          <w:szCs w:val="11"/>
          <w:color w:val="auto"/>
        </w:rPr>
        <w:t>Bank’s sole duty with respect to the custody, safekeeping, and physical preservation of the Collateral in its possession or under its control, under Section 9-207 of the Code or</w:t>
      </w:r>
      <w:r>
        <w:rPr>
          <w:rFonts w:ascii="Arial" w:cs="Arial" w:eastAsia="Arial" w:hAnsi="Arial"/>
          <w:sz w:val="11"/>
          <w:szCs w:val="11"/>
          <w:b w:val="1"/>
          <w:bCs w:val="1"/>
          <w:color w:val="auto"/>
        </w:rPr>
        <w:t xml:space="preserve"> </w:t>
      </w:r>
      <w:r>
        <w:rPr>
          <w:rFonts w:ascii="Arial" w:cs="Arial" w:eastAsia="Arial" w:hAnsi="Arial"/>
          <w:sz w:val="11"/>
          <w:szCs w:val="11"/>
          <w:color w:val="auto"/>
        </w:rPr>
        <w:t>otherwise, shall be to deal with it in the same manner as Bank deals with its own property consisting of similar instruments or interests. Borrower bears all risk of loss, damage, or destruction of the Collateral.</w:t>
      </w:r>
    </w:p>
    <w:p>
      <w:pPr>
        <w:spacing w:after="0" w:line="8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b w:val="1"/>
          <w:bCs w:val="1"/>
          <w:color w:val="auto"/>
        </w:rPr>
        <w:t xml:space="preserve">8.6 No Waiver; Remedies Cumulative. </w:t>
      </w:r>
      <w:r>
        <w:rPr>
          <w:rFonts w:ascii="Arial" w:cs="Arial" w:eastAsia="Arial" w:hAnsi="Arial"/>
          <w:sz w:val="11"/>
          <w:szCs w:val="11"/>
          <w:color w:val="auto"/>
        </w:rPr>
        <w:t>Bank’s failure, at any time or times, to require strict performance by Borrower of any provision of this Agreement or any other Loan Document shall not waive, affect, or diminish</w:t>
      </w:r>
      <w:r>
        <w:rPr>
          <w:rFonts w:ascii="Arial" w:cs="Arial" w:eastAsia="Arial" w:hAnsi="Arial"/>
          <w:sz w:val="11"/>
          <w:szCs w:val="11"/>
          <w:b w:val="1"/>
          <w:bCs w:val="1"/>
          <w:color w:val="auto"/>
        </w:rPr>
        <w:t xml:space="preserve"> </w:t>
      </w:r>
      <w:r>
        <w:rPr>
          <w:rFonts w:ascii="Arial" w:cs="Arial" w:eastAsia="Arial" w:hAnsi="Arial"/>
          <w:sz w:val="11"/>
          <w:szCs w:val="11"/>
          <w:color w:val="auto"/>
        </w:rPr>
        <w:t>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995" w:right="299" w:bottom="1440" w:gutter="0" w:footer="0" w:header="0"/>
        </w:sectPr>
      </w:pPr>
    </w:p>
    <w:bookmarkStart w:id="119" w:name="page120"/>
    <w:bookmarkEnd w:id="119"/>
    <w:p>
      <w:pPr>
        <w:ind w:left="8"/>
        <w:spacing w:after="0"/>
        <w:rPr>
          <w:sz w:val="20"/>
          <w:szCs w:val="20"/>
          <w:color w:val="auto"/>
        </w:rPr>
      </w:pPr>
      <w:r>
        <w:rPr>
          <w:rFonts w:ascii="Arial" w:cs="Arial" w:eastAsia="Arial" w:hAnsi="Arial"/>
          <w:sz w:val="12"/>
          <w:szCs w:val="12"/>
          <w:color w:val="auto"/>
        </w:rPr>
        <w:t>Default is not a continuing waiver. Bank’s delay in exercising any remedy is not a waiver, election, or acquiescence.</w:t>
      </w:r>
    </w:p>
    <w:p>
      <w:pPr>
        <w:spacing w:after="0" w:line="137" w:lineRule="exact"/>
        <w:rPr>
          <w:sz w:val="20"/>
          <w:szCs w:val="20"/>
          <w:color w:val="auto"/>
        </w:rPr>
      </w:pPr>
    </w:p>
    <w:p>
      <w:pPr>
        <w:jc w:val="both"/>
        <w:ind w:left="8" w:right="20" w:firstLine="432"/>
        <w:spacing w:after="0" w:line="267" w:lineRule="auto"/>
        <w:rPr>
          <w:sz w:val="20"/>
          <w:szCs w:val="20"/>
          <w:color w:val="auto"/>
        </w:rPr>
      </w:pPr>
      <w:r>
        <w:rPr>
          <w:rFonts w:ascii="Arial" w:cs="Arial" w:eastAsia="Arial" w:hAnsi="Arial"/>
          <w:sz w:val="12"/>
          <w:szCs w:val="12"/>
          <w:b w:val="1"/>
          <w:bCs w:val="1"/>
          <w:color w:val="auto"/>
        </w:rPr>
        <w:t xml:space="preserve">8.7 Demand Waiver. </w:t>
      </w:r>
      <w:r>
        <w:rPr>
          <w:rFonts w:ascii="Arial" w:cs="Arial" w:eastAsia="Arial" w:hAnsi="Arial"/>
          <w:sz w:val="12"/>
          <w:szCs w:val="12"/>
          <w:color w:val="auto"/>
        </w:rPr>
        <w:t>Borrower waives demand, notice of default or dishonor, notice of payment and nonpayment, notice of any default, nonpayment at maturity, release, compromise, settlement, extension, or renewal of</w:t>
      </w:r>
      <w:r>
        <w:rPr>
          <w:rFonts w:ascii="Arial" w:cs="Arial" w:eastAsia="Arial" w:hAnsi="Arial"/>
          <w:sz w:val="12"/>
          <w:szCs w:val="12"/>
          <w:b w:val="1"/>
          <w:bCs w:val="1"/>
          <w:color w:val="auto"/>
        </w:rPr>
        <w:t xml:space="preserve"> </w:t>
      </w:r>
      <w:r>
        <w:rPr>
          <w:rFonts w:ascii="Arial" w:cs="Arial" w:eastAsia="Arial" w:hAnsi="Arial"/>
          <w:sz w:val="12"/>
          <w:szCs w:val="12"/>
          <w:color w:val="auto"/>
        </w:rPr>
        <w:t>accounts, documents, instruments, chattel paper, and guarantees held by Bank on which Borrower is liable.</w:t>
      </w:r>
    </w:p>
    <w:p>
      <w:pPr>
        <w:spacing w:after="0" w:line="107"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1"/>
          <w:szCs w:val="11"/>
          <w:b w:val="1"/>
          <w:bCs w:val="1"/>
          <w:color w:val="auto"/>
        </w:rPr>
        <w:t xml:space="preserve">8.8 Borrower Liability. </w:t>
      </w:r>
      <w:r>
        <w:rPr>
          <w:rFonts w:ascii="Arial" w:cs="Arial" w:eastAsia="Arial" w:hAnsi="Arial"/>
          <w:sz w:val="11"/>
          <w:szCs w:val="11"/>
          <w:color w:val="auto"/>
        </w:rPr>
        <w:t>Any Borrower may, acting singly, request Credit Extensions hereunder. Each Borrower hereby appoints each other as agent for the other for all purposes hereunder, including with respect to</w:t>
      </w:r>
      <w:r>
        <w:rPr>
          <w:rFonts w:ascii="Arial" w:cs="Arial" w:eastAsia="Arial" w:hAnsi="Arial"/>
          <w:sz w:val="11"/>
          <w:szCs w:val="11"/>
          <w:b w:val="1"/>
          <w:bCs w:val="1"/>
          <w:color w:val="auto"/>
        </w:rPr>
        <w:t xml:space="preserve"> </w:t>
      </w:r>
      <w:r>
        <w:rPr>
          <w:rFonts w:ascii="Arial" w:cs="Arial" w:eastAsia="Arial" w:hAnsi="Arial"/>
          <w:sz w:val="11"/>
          <w:szCs w:val="11"/>
          <w:color w:val="auto"/>
        </w:rPr>
        <w:t>requesting Credit Extensions hereunder. Each Borrower hereunder shall be liable for the Credit Extensions and Obligations as set forth on Schedule I hereto. Each Borrower waives (a) any suretyship defenses available to it under the Code or any other Applicable Law, and (b) any right to require Bank to: (i) proceed against any Borrower or any other person; (ii) proceed against or exhaust any security; or (iii) pursue any other remedy. Bank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Bank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8.8 shall be null and void. If any payment is made to a Borrower in contravention of this Section 8.8, such Borrower shall hold such payment in trust for Bank and such payment shall be promptly delivered to Bank for application to the Obligations, whether matured or unmatured.</w:t>
      </w:r>
    </w:p>
    <w:p>
      <w:pPr>
        <w:spacing w:after="0" w:line="112" w:lineRule="exact"/>
        <w:rPr>
          <w:sz w:val="20"/>
          <w:szCs w:val="20"/>
          <w:color w:val="auto"/>
        </w:rPr>
      </w:pPr>
    </w:p>
    <w:p>
      <w:pPr>
        <w:ind w:left="868" w:hanging="436"/>
        <w:spacing w:after="0"/>
        <w:tabs>
          <w:tab w:leader="none" w:pos="868"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All notices, consents, requests, approvals, demands, or other communication by any party to this Agreement or any other Loan Document must be in writing and shall be deemed to have been validly served, given, or delivered:</w:t>
      </w:r>
    </w:p>
    <w:p>
      <w:pPr>
        <w:spacing w:after="0" w:line="30" w:lineRule="exact"/>
        <w:rPr>
          <w:sz w:val="20"/>
          <w:szCs w:val="20"/>
          <w:color w:val="auto"/>
        </w:rPr>
      </w:pPr>
    </w:p>
    <w:p>
      <w:pPr>
        <w:ind w:left="168" w:hanging="168"/>
        <w:spacing w:after="0"/>
        <w:tabs>
          <w:tab w:leader="none" w:pos="168" w:val="left"/>
        </w:tabs>
        <w:numPr>
          <w:ilvl w:val="0"/>
          <w:numId w:val="86"/>
        </w:numPr>
        <w:rPr>
          <w:rFonts w:ascii="Arial" w:cs="Arial" w:eastAsia="Arial" w:hAnsi="Arial"/>
          <w:sz w:val="11"/>
          <w:szCs w:val="11"/>
          <w:color w:val="auto"/>
        </w:rPr>
      </w:pPr>
      <w:r>
        <w:rPr>
          <w:rFonts w:ascii="Arial" w:cs="Arial" w:eastAsia="Arial" w:hAnsi="Arial"/>
          <w:sz w:val="11"/>
          <w:szCs w:val="11"/>
          <w:color w:val="auto"/>
        </w:rPr>
        <w:t>upon the earlier of actual receipt and 3 Business Days after deposit in the U.S. mail, first class, registered or certified mail return receipt requested, with proper postage prepaid; (b) upon transmission, when sent by electronic mail;</w:t>
      </w:r>
    </w:p>
    <w:p>
      <w:pPr>
        <w:spacing w:after="0" w:line="8" w:lineRule="exact"/>
        <w:rPr>
          <w:rFonts w:ascii="Arial" w:cs="Arial" w:eastAsia="Arial" w:hAnsi="Arial"/>
          <w:sz w:val="11"/>
          <w:szCs w:val="11"/>
          <w:color w:val="auto"/>
        </w:rPr>
      </w:pPr>
    </w:p>
    <w:p>
      <w:pPr>
        <w:jc w:val="both"/>
        <w:ind w:left="8" w:hanging="8"/>
        <w:spacing w:after="0" w:line="310" w:lineRule="auto"/>
        <w:tabs>
          <w:tab w:leader="none" w:pos="177" w:val="left"/>
        </w:tabs>
        <w:numPr>
          <w:ilvl w:val="0"/>
          <w:numId w:val="87"/>
        </w:numPr>
        <w:rPr>
          <w:rFonts w:ascii="Arial" w:cs="Arial" w:eastAsia="Arial" w:hAnsi="Arial"/>
          <w:sz w:val="10"/>
          <w:szCs w:val="10"/>
          <w:color w:val="auto"/>
        </w:rPr>
      </w:pPr>
      <w:r>
        <w:rPr>
          <w:rFonts w:ascii="Arial" w:cs="Arial" w:eastAsia="Arial" w:hAnsi="Arial"/>
          <w:sz w:val="10"/>
          <w:szCs w:val="10"/>
          <w:color w:val="auto"/>
        </w:rPr>
        <w:t>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ectPr>
          <w:pgSz w:w="11900" w:h="16838" w:orient="portrait"/>
          <w:cols w:equalWidth="0" w:num="1">
            <w:col w:w="11308"/>
          </w:cols>
          <w:pgMar w:left="292" w:top="995" w:right="299" w:bottom="1440" w:gutter="0" w:footer="0" w:header="0"/>
        </w:sectPr>
      </w:pPr>
    </w:p>
    <w:p>
      <w:pPr>
        <w:spacing w:after="0" w:line="93" w:lineRule="exact"/>
        <w:rPr>
          <w:sz w:val="20"/>
          <w:szCs w:val="20"/>
          <w:color w:val="auto"/>
        </w:rPr>
      </w:pPr>
    </w:p>
    <w:p>
      <w:pPr>
        <w:ind w:left="868"/>
        <w:spacing w:after="0"/>
        <w:rPr>
          <w:sz w:val="20"/>
          <w:szCs w:val="20"/>
          <w:color w:val="auto"/>
        </w:rPr>
      </w:pPr>
      <w:r>
        <w:rPr>
          <w:rFonts w:ascii="Arial" w:cs="Arial" w:eastAsia="Arial" w:hAnsi="Arial"/>
          <w:sz w:val="11"/>
          <w:szCs w:val="11"/>
          <w:color w:val="auto"/>
        </w:rPr>
        <w:t>If to Borrower: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Sema4 Holdings Corp.</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Sema4 OpCo, Inc.</w:t>
      </w:r>
    </w:p>
    <w:p>
      <w:pPr>
        <w:ind w:left="340"/>
        <w:spacing w:after="0" w:line="234" w:lineRule="auto"/>
        <w:rPr>
          <w:sz w:val="20"/>
          <w:szCs w:val="20"/>
          <w:color w:val="auto"/>
        </w:rPr>
      </w:pPr>
      <w:r>
        <w:rPr>
          <w:rFonts w:ascii="Arial" w:cs="Arial" w:eastAsia="Arial" w:hAnsi="Arial"/>
          <w:sz w:val="12"/>
          <w:szCs w:val="12"/>
          <w:color w:val="auto"/>
        </w:rPr>
        <w:t>Attn: General Counsel</w:t>
      </w:r>
    </w:p>
    <w:p>
      <w:pPr>
        <w:ind w:left="340"/>
        <w:spacing w:after="0" w:line="235" w:lineRule="auto"/>
        <w:rPr>
          <w:sz w:val="20"/>
          <w:szCs w:val="20"/>
          <w:color w:val="auto"/>
        </w:rPr>
      </w:pPr>
      <w:r>
        <w:rPr>
          <w:rFonts w:ascii="Arial" w:cs="Arial" w:eastAsia="Arial" w:hAnsi="Arial"/>
          <w:sz w:val="12"/>
          <w:szCs w:val="12"/>
          <w:color w:val="auto"/>
        </w:rPr>
        <w:t>Email: legal@sema4.com</w:t>
      </w:r>
    </w:p>
    <w:p>
      <w:pPr>
        <w:ind w:left="340"/>
        <w:spacing w:after="0"/>
        <w:rPr>
          <w:sz w:val="20"/>
          <w:szCs w:val="20"/>
          <w:color w:val="auto"/>
        </w:rPr>
      </w:pPr>
      <w:r>
        <w:rPr>
          <w:rFonts w:ascii="Arial" w:cs="Arial" w:eastAsia="Arial" w:hAnsi="Arial"/>
          <w:sz w:val="10"/>
          <w:szCs w:val="10"/>
          <w:color w:val="auto"/>
        </w:rPr>
        <w:t>Website URL: https://sema4.com/</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auto"/>
        </w:rPr>
        <w:t>333 Ludlow Street, Stamford, Connecticut 06902</w:t>
      </w:r>
    </w:p>
    <w:p>
      <w:pPr>
        <w:spacing w:after="0" w:line="587" w:lineRule="exact"/>
        <w:rPr>
          <w:sz w:val="20"/>
          <w:szCs w:val="20"/>
          <w:color w:val="auto"/>
        </w:rPr>
      </w:pPr>
    </w:p>
    <w:p>
      <w:pPr>
        <w:sectPr>
          <w:pgSz w:w="11900" w:h="16838" w:orient="portrait"/>
          <w:cols w:equalWidth="0" w:num="3">
            <w:col w:w="1588" w:space="240"/>
            <w:col w:w="1960" w:space="100"/>
            <w:col w:w="7420"/>
          </w:cols>
          <w:pgMar w:left="292" w:top="995" w:right="299" w:bottom="1440" w:gutter="0" w:footer="0" w:header="0"/>
          <w:type w:val="continuous"/>
        </w:sectPr>
      </w:pPr>
    </w:p>
    <w:p>
      <w:pPr>
        <w:ind w:left="868"/>
        <w:spacing w:after="0"/>
        <w:tabs>
          <w:tab w:leader="none" w:pos="2008" w:val="left"/>
        </w:tabs>
        <w:rPr>
          <w:sz w:val="20"/>
          <w:szCs w:val="20"/>
          <w:color w:val="auto"/>
        </w:rPr>
      </w:pPr>
      <w:r>
        <w:rPr>
          <w:rFonts w:ascii="Arial" w:cs="Arial" w:eastAsia="Arial" w:hAnsi="Arial"/>
          <w:sz w:val="12"/>
          <w:szCs w:val="12"/>
          <w:color w:val="auto"/>
        </w:rPr>
        <w:t>with a copy to (which</w:t>
      </w:r>
      <w:r>
        <w:rPr>
          <w:sz w:val="20"/>
          <w:szCs w:val="20"/>
          <w:color w:val="auto"/>
        </w:rPr>
        <w:tab/>
      </w:r>
      <w:r>
        <w:rPr>
          <w:rFonts w:ascii="Arial" w:cs="Arial" w:eastAsia="Arial" w:hAnsi="Arial"/>
          <w:sz w:val="11"/>
          <w:szCs w:val="11"/>
          <w:color w:val="auto"/>
        </w:rPr>
        <w:t>Goodwin Procter LLP</w:t>
      </w:r>
    </w:p>
    <w:p>
      <w:pPr>
        <w:spacing w:after="0" w:line="4" w:lineRule="exact"/>
        <w:rPr>
          <w:sz w:val="20"/>
          <w:szCs w:val="20"/>
          <w:color w:val="auto"/>
        </w:rPr>
      </w:pPr>
    </w:p>
    <w:p>
      <w:pPr>
        <w:ind w:left="868"/>
        <w:spacing w:after="0"/>
        <w:tabs>
          <w:tab w:leader="none" w:pos="1868" w:val="left"/>
        </w:tabs>
        <w:rPr>
          <w:sz w:val="20"/>
          <w:szCs w:val="20"/>
          <w:color w:val="auto"/>
        </w:rPr>
      </w:pPr>
      <w:r>
        <w:rPr>
          <w:rFonts w:ascii="Arial" w:cs="Arial" w:eastAsia="Arial" w:hAnsi="Arial"/>
          <w:sz w:val="12"/>
          <w:szCs w:val="12"/>
          <w:color w:val="auto"/>
        </w:rPr>
        <w:t>shall not constitute</w:t>
      </w:r>
      <w:r>
        <w:rPr>
          <w:sz w:val="20"/>
          <w:szCs w:val="20"/>
          <w:color w:val="auto"/>
        </w:rPr>
        <w:tab/>
      </w:r>
      <w:r>
        <w:rPr>
          <w:rFonts w:ascii="Arial" w:cs="Arial" w:eastAsia="Arial" w:hAnsi="Arial"/>
          <w:sz w:val="11"/>
          <w:szCs w:val="11"/>
          <w:color w:val="auto"/>
        </w:rPr>
        <w:t>100 Northern Ave.</w:t>
      </w:r>
    </w:p>
    <w:p>
      <w:pPr>
        <w:ind w:left="868"/>
        <w:spacing w:after="0"/>
        <w:tabs>
          <w:tab w:leader="none" w:pos="1568" w:val="left"/>
        </w:tabs>
        <w:rPr>
          <w:sz w:val="20"/>
          <w:szCs w:val="20"/>
          <w:color w:val="auto"/>
        </w:rPr>
      </w:pPr>
      <w:r>
        <w:rPr>
          <w:rFonts w:ascii="Arial" w:cs="Arial" w:eastAsia="Arial" w:hAnsi="Arial"/>
          <w:sz w:val="11"/>
          <w:szCs w:val="11"/>
          <w:color w:val="auto"/>
        </w:rPr>
        <w:t>notice):</w:t>
      </w:r>
      <w:r>
        <w:rPr>
          <w:sz w:val="20"/>
          <w:szCs w:val="20"/>
          <w:color w:val="auto"/>
        </w:rPr>
        <w:tab/>
      </w:r>
      <w:r>
        <w:rPr>
          <w:rFonts w:ascii="Arial" w:cs="Arial" w:eastAsia="Arial" w:hAnsi="Arial"/>
          <w:sz w:val="11"/>
          <w:szCs w:val="11"/>
          <w:color w:val="auto"/>
        </w:rPr>
        <w:t>Boston, Massachusetts 02210</w:t>
      </w:r>
    </w:p>
    <w:p>
      <w:pPr>
        <w:spacing w:after="0" w:line="6" w:lineRule="exact"/>
        <w:rPr>
          <w:sz w:val="20"/>
          <w:szCs w:val="20"/>
          <w:color w:val="auto"/>
        </w:rPr>
      </w:pPr>
    </w:p>
    <w:p>
      <w:pPr>
        <w:ind w:left="1208"/>
        <w:spacing w:after="0"/>
        <w:tabs>
          <w:tab w:leader="none" w:pos="1568" w:val="left"/>
        </w:tabs>
        <w:rPr>
          <w:sz w:val="20"/>
          <w:szCs w:val="20"/>
          <w:color w:val="auto"/>
        </w:rPr>
      </w:pPr>
      <w:r>
        <w:rPr>
          <w:rFonts w:ascii="Arial" w:cs="Arial" w:eastAsia="Arial" w:hAnsi="Arial"/>
          <w:sz w:val="12"/>
          <w:szCs w:val="12"/>
          <w:color w:val="auto"/>
        </w:rPr>
        <w:t>Attn:</w:t>
      </w:r>
      <w:r>
        <w:rPr>
          <w:sz w:val="20"/>
          <w:szCs w:val="20"/>
          <w:color w:val="auto"/>
        </w:rPr>
        <w:tab/>
      </w:r>
      <w:r>
        <w:rPr>
          <w:rFonts w:ascii="Arial" w:cs="Arial" w:eastAsia="Arial" w:hAnsi="Arial"/>
          <w:sz w:val="11"/>
          <w:szCs w:val="11"/>
          <w:color w:val="auto"/>
        </w:rPr>
        <w:t>Mark D. Smith</w:t>
      </w:r>
    </w:p>
    <w:p>
      <w:pPr>
        <w:ind w:left="1228"/>
        <w:spacing w:after="0"/>
        <w:tabs>
          <w:tab w:leader="none" w:pos="164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1"/>
          <w:szCs w:val="11"/>
          <w:color w:val="auto"/>
        </w:rPr>
        <w:t>marksmith@goodwinlaw.com</w:t>
      </w:r>
    </w:p>
    <w:p>
      <w:pPr>
        <w:sectPr>
          <w:pgSz w:w="11900" w:h="16838" w:orient="portrait"/>
          <w:cols w:equalWidth="0" w:num="1">
            <w:col w:w="11308"/>
          </w:cols>
          <w:pgMar w:left="292" w:top="995" w:right="299" w:bottom="1440" w:gutter="0" w:footer="0" w:header="0"/>
          <w:type w:val="continuous"/>
        </w:sectPr>
      </w:pPr>
    </w:p>
    <w:p>
      <w:pPr>
        <w:spacing w:after="0" w:line="131" w:lineRule="exact"/>
        <w:rPr>
          <w:sz w:val="20"/>
          <w:szCs w:val="20"/>
          <w:color w:val="auto"/>
        </w:rPr>
      </w:pPr>
    </w:p>
    <w:p>
      <w:pPr>
        <w:ind w:left="868"/>
        <w:spacing w:after="0"/>
        <w:rPr>
          <w:sz w:val="20"/>
          <w:szCs w:val="20"/>
          <w:color w:val="auto"/>
        </w:rPr>
      </w:pPr>
      <w:r>
        <w:rPr>
          <w:rFonts w:ascii="Arial" w:cs="Arial" w:eastAsia="Arial" w:hAnsi="Arial"/>
          <w:sz w:val="11"/>
          <w:szCs w:val="11"/>
          <w:color w:val="auto"/>
        </w:rPr>
        <w:t>If to Bank:</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Silicon Valley Bank</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275 Grove Street, Suite 2-200</w:t>
      </w:r>
    </w:p>
    <w:p>
      <w:pPr>
        <w:spacing w:after="0" w:line="211" w:lineRule="exact"/>
        <w:rPr>
          <w:sz w:val="20"/>
          <w:szCs w:val="20"/>
          <w:color w:val="auto"/>
        </w:rPr>
      </w:pPr>
    </w:p>
    <w:p>
      <w:pPr>
        <w:sectPr>
          <w:pgSz w:w="11900" w:h="16838" w:orient="portrait"/>
          <w:cols w:equalWidth="0" w:num="3">
            <w:col w:w="1388" w:space="240"/>
            <w:col w:w="1440" w:space="720"/>
            <w:col w:w="7520"/>
          </w:cols>
          <w:pgMar w:left="292" w:top="995" w:right="29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24</w:t>
      </w:r>
    </w:p>
    <w:p>
      <w:pPr>
        <w:sectPr>
          <w:pgSz w:w="11900" w:h="16838" w:orient="portrait"/>
          <w:cols w:equalWidth="0" w:num="1">
            <w:col w:w="11308"/>
          </w:cols>
          <w:pgMar w:left="292" w:top="995" w:right="299" w:bottom="1440" w:gutter="0" w:footer="0" w:header="0"/>
          <w:type w:val="continuous"/>
        </w:sectPr>
      </w:pPr>
    </w:p>
    <w:bookmarkStart w:id="120" w:name="page121"/>
    <w:bookmarkEnd w:id="120"/>
    <w:p>
      <w:pPr>
        <w:ind w:left="2160"/>
        <w:spacing w:after="0"/>
        <w:rPr>
          <w:sz w:val="20"/>
          <w:szCs w:val="20"/>
          <w:color w:val="auto"/>
        </w:rPr>
      </w:pPr>
      <w:r>
        <w:rPr>
          <w:rFonts w:ascii="Arial" w:cs="Arial" w:eastAsia="Arial" w:hAnsi="Arial"/>
          <w:sz w:val="12"/>
          <w:szCs w:val="12"/>
          <w:color w:val="auto"/>
        </w:rPr>
        <w:t>Newton, MA 02466</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Attn: Clark Hayes</w:t>
      </w:r>
    </w:p>
    <w:p>
      <w:pPr>
        <w:ind w:left="900"/>
        <w:spacing w:after="0"/>
        <w:rPr>
          <w:sz w:val="20"/>
          <w:szCs w:val="20"/>
          <w:color w:val="auto"/>
        </w:rPr>
      </w:pPr>
      <w:r>
        <w:rPr>
          <w:rFonts w:ascii="Arial" w:cs="Arial" w:eastAsia="Arial" w:hAnsi="Arial"/>
          <w:sz w:val="12"/>
          <w:szCs w:val="12"/>
          <w:color w:val="auto"/>
        </w:rPr>
        <w:t>Email: CHayes@svb.com</w:t>
      </w:r>
    </w:p>
    <w:p>
      <w:pPr>
        <w:spacing w:after="0" w:line="149"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2"/>
          <w:szCs w:val="12"/>
          <w:color w:val="auto"/>
        </w:rPr>
        <w:t>with a copy to (which</w:t>
      </w:r>
      <w:r>
        <w:rPr>
          <w:sz w:val="20"/>
          <w:szCs w:val="20"/>
          <w:color w:val="auto"/>
        </w:rPr>
        <w:tab/>
      </w:r>
      <w:r>
        <w:rPr>
          <w:rFonts w:ascii="Arial" w:cs="Arial" w:eastAsia="Arial" w:hAnsi="Arial"/>
          <w:sz w:val="11"/>
          <w:szCs w:val="11"/>
          <w:color w:val="auto"/>
        </w:rPr>
        <w:t>Morrison &amp; Foerster LLP</w:t>
      </w:r>
    </w:p>
    <w:p>
      <w:pPr>
        <w:spacing w:after="0" w:line="4" w:lineRule="exact"/>
        <w:rPr>
          <w:sz w:val="20"/>
          <w:szCs w:val="20"/>
          <w:color w:val="auto"/>
        </w:rPr>
      </w:pPr>
    </w:p>
    <w:p>
      <w:pPr>
        <w:ind w:left="240"/>
        <w:spacing w:after="0"/>
        <w:tabs>
          <w:tab w:leader="none" w:pos="1240" w:val="left"/>
        </w:tabs>
        <w:rPr>
          <w:sz w:val="20"/>
          <w:szCs w:val="20"/>
          <w:color w:val="auto"/>
        </w:rPr>
      </w:pPr>
      <w:r>
        <w:rPr>
          <w:rFonts w:ascii="Arial" w:cs="Arial" w:eastAsia="Arial" w:hAnsi="Arial"/>
          <w:sz w:val="12"/>
          <w:szCs w:val="12"/>
          <w:color w:val="auto"/>
        </w:rPr>
        <w:t>shall not constitute</w:t>
      </w:r>
      <w:r>
        <w:rPr>
          <w:sz w:val="20"/>
          <w:szCs w:val="20"/>
          <w:color w:val="auto"/>
        </w:rPr>
        <w:tab/>
      </w:r>
      <w:r>
        <w:rPr>
          <w:rFonts w:ascii="Arial" w:cs="Arial" w:eastAsia="Arial" w:hAnsi="Arial"/>
          <w:sz w:val="10"/>
          <w:szCs w:val="10"/>
          <w:color w:val="auto"/>
        </w:rPr>
        <w:t>200 Clarendon Street, Floor 20</w:t>
      </w:r>
    </w:p>
    <w:p>
      <w:pPr>
        <w:ind w:left="240"/>
        <w:spacing w:after="0" w:line="234" w:lineRule="auto"/>
        <w:tabs>
          <w:tab w:leader="none" w:pos="940" w:val="left"/>
        </w:tabs>
        <w:rPr>
          <w:sz w:val="20"/>
          <w:szCs w:val="20"/>
          <w:color w:val="auto"/>
        </w:rPr>
      </w:pPr>
      <w:r>
        <w:rPr>
          <w:rFonts w:ascii="Arial" w:cs="Arial" w:eastAsia="Arial" w:hAnsi="Arial"/>
          <w:sz w:val="12"/>
          <w:szCs w:val="12"/>
          <w:color w:val="auto"/>
        </w:rPr>
        <w:t>notice):</w:t>
      </w:r>
      <w:r>
        <w:rPr>
          <w:sz w:val="20"/>
          <w:szCs w:val="20"/>
          <w:color w:val="auto"/>
        </w:rPr>
        <w:tab/>
      </w:r>
      <w:r>
        <w:rPr>
          <w:rFonts w:ascii="Arial" w:cs="Arial" w:eastAsia="Arial" w:hAnsi="Arial"/>
          <w:sz w:val="12"/>
          <w:szCs w:val="12"/>
          <w:color w:val="auto"/>
        </w:rPr>
        <w:t>Boston, Massachusetts 02116</w:t>
      </w:r>
    </w:p>
    <w:p>
      <w:pPr>
        <w:ind w:left="580"/>
        <w:spacing w:after="0"/>
        <w:tabs>
          <w:tab w:leader="none" w:pos="940" w:val="left"/>
        </w:tabs>
        <w:rPr>
          <w:sz w:val="20"/>
          <w:szCs w:val="20"/>
          <w:color w:val="auto"/>
        </w:rPr>
      </w:pPr>
      <w:r>
        <w:rPr>
          <w:rFonts w:ascii="Arial" w:cs="Arial" w:eastAsia="Arial" w:hAnsi="Arial"/>
          <w:sz w:val="12"/>
          <w:szCs w:val="12"/>
          <w:color w:val="auto"/>
        </w:rPr>
        <w:t>Attn:</w:t>
      </w:r>
      <w:r>
        <w:rPr>
          <w:sz w:val="20"/>
          <w:szCs w:val="20"/>
          <w:color w:val="auto"/>
        </w:rPr>
        <w:tab/>
      </w:r>
      <w:r>
        <w:rPr>
          <w:rFonts w:ascii="Arial" w:cs="Arial" w:eastAsia="Arial" w:hAnsi="Arial"/>
          <w:sz w:val="11"/>
          <w:szCs w:val="11"/>
          <w:color w:val="auto"/>
        </w:rPr>
        <w:t>David A. Ephraim, Esquire</w:t>
      </w:r>
    </w:p>
    <w:p>
      <w:pPr>
        <w:ind w:left="600"/>
        <w:spacing w:after="0"/>
        <w:tabs>
          <w:tab w:leader="none" w:pos="10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1"/>
          <w:szCs w:val="11"/>
          <w:color w:val="auto"/>
        </w:rPr>
        <w:t>DEphraim@mofo.com</w:t>
      </w:r>
    </w:p>
    <w:p>
      <w:pPr>
        <w:spacing w:after="0" w:line="145" w:lineRule="exact"/>
        <w:rPr>
          <w:sz w:val="20"/>
          <w:szCs w:val="20"/>
          <w:color w:val="auto"/>
        </w:rPr>
      </w:pPr>
    </w:p>
    <w:p>
      <w:pPr>
        <w:ind w:left="860" w:hanging="436"/>
        <w:spacing w:after="0"/>
        <w:tabs>
          <w:tab w:leader="none" w:pos="86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CHOICE OF LAW, VENUE AND JURY TRIAL WAIVER</w:t>
      </w:r>
    </w:p>
    <w:p>
      <w:pPr>
        <w:spacing w:after="0" w:line="14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1"/>
          <w:szCs w:val="11"/>
          <w:color w:val="auto"/>
        </w:rPr>
        <w:t>Except as otherwise expressly provided in any of the Loan Documents, Massachusetts law governs the Loan Documents without regard to principles of conflicts of law that would require the application of the laws of another jurisdiction. Borrower and Bank each irrevocably and unconditionally submit to the exclusive jurisdiction of the State and Federal courts in Boston, Massachusetts;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spacing w:after="0" w:line="11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Section 10 shall survive the termination of this Agreement and the repayment of all Obligations.</w:t>
      </w:r>
    </w:p>
    <w:p>
      <w:pPr>
        <w:spacing w:after="0" w:line="137" w:lineRule="exact"/>
        <w:rPr>
          <w:sz w:val="20"/>
          <w:szCs w:val="20"/>
          <w:color w:val="auto"/>
        </w:rPr>
      </w:pPr>
    </w:p>
    <w:p>
      <w:pPr>
        <w:ind w:left="840" w:hanging="416"/>
        <w:spacing w:after="0"/>
        <w:tabs>
          <w:tab w:leader="none" w:pos="84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GENERAL PROVISIONS</w:t>
      </w:r>
    </w:p>
    <w:p>
      <w:pPr>
        <w:spacing w:after="0" w:line="141"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b w:val="1"/>
          <w:bCs w:val="1"/>
          <w:color w:val="auto"/>
        </w:rPr>
        <w:t xml:space="preserve">11.1 Termination Prior to Maturity Date; Survival. </w:t>
      </w:r>
      <w:r>
        <w:rPr>
          <w:rFonts w:ascii="Arial" w:cs="Arial" w:eastAsia="Arial" w:hAnsi="Arial"/>
          <w:sz w:val="12"/>
          <w:szCs w:val="12"/>
          <w:color w:val="auto"/>
        </w:rPr>
        <w:t>All covenants, representations and warranties made in this Agreement shall continue in full force until this Agreement has terminated pursuant to its terms and all</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(other than inchoate indemnity or other obligations which, by their terms, survive termination of this Agreement)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3.3 of this Agreement), this Agreement may be terminated prior to the Revolving Line Maturity Date by Borrower, effective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23"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1.2 Successors and Assigns. </w:t>
      </w:r>
      <w:r>
        <w:rPr>
          <w:rFonts w:ascii="Arial" w:cs="Arial" w:eastAsia="Arial" w:hAnsi="Arial"/>
          <w:sz w:val="12"/>
          <w:szCs w:val="12"/>
          <w:color w:val="auto"/>
        </w:rPr>
        <w:t>This Agreement binds and is for the benefit of the successors and permitted assigns of each party. Borrower may not assign or transfer this Agreement or any rights or obligations under it</w:t>
      </w:r>
      <w:r>
        <w:rPr>
          <w:rFonts w:ascii="Arial" w:cs="Arial" w:eastAsia="Arial" w:hAnsi="Arial"/>
          <w:sz w:val="12"/>
          <w:szCs w:val="12"/>
          <w:b w:val="1"/>
          <w:bCs w:val="1"/>
          <w:color w:val="auto"/>
        </w:rPr>
        <w:t xml:space="preserve"> </w:t>
      </w:r>
      <w:r>
        <w:rPr>
          <w:rFonts w:ascii="Arial" w:cs="Arial" w:eastAsia="Arial" w:hAnsi="Arial"/>
          <w:sz w:val="12"/>
          <w:szCs w:val="12"/>
          <w:color w:val="auto"/>
        </w:rPr>
        <w:t>without Bank’s prior written consent (which may be granted or withheld in Bank’s sole discretion)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995" w:right="29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11"/>
          <w:szCs w:val="11"/>
          <w:color w:val="auto"/>
        </w:rPr>
        <w:t>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 Notwithstanding the foregoing, so long as no Event of Default shall have occurred and is continuing, Bank shall not assign its interest in the Loan Documents to any Person who in the reasonable estimation of Bank is (a) a direct competitor of Borrower, whether as an operating company or direct or indirect parent with voting control over such operating company or (b) a vulture fund or distressed debt fund. Bank, acting solely for this purpose as a non-fiduciary agent of Borrower, shall maintain a register for the recordation of the names and addresses of the applicable lenders hereunder, and the applicable commitment(s) of, and principal amount (and stated interest) of the applicable loans owing to, each lender pursuant to the terms hereof from time to time (the “Register”). The entries in the Register shall be conclusive absent manifest error, and Borrower, Bank and the other lenders hereunder shall treat each Person whose name is recorded in the Register pursuant to the terms hereof as a lender hereunder for all purposes of this Agreement and the other Loan Documents. The Register shall be available for inspection by Borrower and any lender hereunder, at any reasonable time and from time to time upon reasonable prior notice. Bank and each other lender hereunder that sells a participation in any Advance, acting solely for this purpose as a non-fiduciary agent of Borrower, shall maintain a register on which it enters the name and address of each participant and the principal amounts (and stated interest) of each participant’s interest in the applicable Advances or other Obligations under the Loan Documents (the “Participant Register”); provided that neither Bank nor any other lender hereunder shall have any obligation to disclose all or any portion of the Participant Register (including the identity of any participant or any information relating to a participant's interest in any Advances, Letters of Credit or its other Obligations under any Loan Document) to any Person except to the extent that such disclosure is necessary to establish that such Advance, Letter of Credit or other Obligation is in registered form under Section 5f.103-1(c) of the United States Treasury Regulations. The entries in the Participant Register shall be conclusive absent manifest error, and such lender hereunder shall treat each Person whose name is recorded in the Participant Register as the owner of such participation for all purposes of this Agreement and the other Loan Documents notwithstanding notice to the contrary.</w:t>
      </w:r>
    </w:p>
    <w:p>
      <w:pPr>
        <w:spacing w:after="0" w:line="11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b w:val="1"/>
          <w:bCs w:val="1"/>
          <w:color w:val="auto"/>
        </w:rPr>
        <w:t>11.3</w:t>
      </w:r>
      <w:r>
        <w:rPr>
          <w:sz w:val="20"/>
          <w:szCs w:val="20"/>
          <w:color w:val="auto"/>
        </w:rPr>
        <w:tab/>
      </w:r>
      <w:r>
        <w:rPr>
          <w:rFonts w:ascii="Arial" w:cs="Arial" w:eastAsia="Arial" w:hAnsi="Arial"/>
          <w:sz w:val="11"/>
          <w:szCs w:val="11"/>
          <w:b w:val="1"/>
          <w:bCs w:val="1"/>
          <w:color w:val="auto"/>
        </w:rPr>
        <w:t>Indemnification.</w:t>
      </w:r>
    </w:p>
    <w:p>
      <w:pPr>
        <w:spacing w:after="0" w:line="145" w:lineRule="exact"/>
        <w:rPr>
          <w:sz w:val="20"/>
          <w:szCs w:val="20"/>
          <w:color w:val="auto"/>
        </w:rPr>
      </w:pPr>
    </w:p>
    <w:p>
      <w:pPr>
        <w:jc w:val="both"/>
        <w:ind w:firstLine="856"/>
        <w:spacing w:after="0" w:line="261" w:lineRule="auto"/>
        <w:tabs>
          <w:tab w:leader="none" w:pos="1294" w:val="left"/>
        </w:tabs>
        <w:numPr>
          <w:ilvl w:val="0"/>
          <w:numId w:val="90"/>
        </w:numPr>
        <w:rPr>
          <w:rFonts w:ascii="Arial" w:cs="Arial" w:eastAsia="Arial" w:hAnsi="Arial"/>
          <w:sz w:val="11"/>
          <w:szCs w:val="11"/>
          <w:color w:val="auto"/>
        </w:rPr>
      </w:pPr>
      <w:r>
        <w:rPr>
          <w:rFonts w:ascii="Arial" w:cs="Arial" w:eastAsia="Arial" w:hAnsi="Arial"/>
          <w:sz w:val="11"/>
          <w:szCs w:val="11"/>
          <w:u w:val="single" w:color="auto"/>
          <w:color w:val="auto"/>
        </w:rPr>
        <w:t>General Indemnification</w:t>
      </w:r>
      <w:r>
        <w:rPr>
          <w:rFonts w:ascii="Arial" w:cs="Arial" w:eastAsia="Arial" w:hAnsi="Arial"/>
          <w:sz w:val="11"/>
          <w:szCs w:val="11"/>
          <w:color w:val="auto"/>
        </w:rPr>
        <w:t>. Borrower shall indemnify, defend, and hold Bank and its Affiliates and the partners, directors, officers, employees, agents, trustees, administrators, managers, advisors, and representatives of Bank and its Affiliates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harmless against: all losses, claims, damages, liabilities, and related reasonable documented out-of-pocket expenses (including Bank Expenses and the reasonable documented fees, charges, and out-of-pocket disbursements of any counsel for any Indemnified Person) (collectively, “</w:t>
      </w:r>
      <w:r>
        <w:rPr>
          <w:rFonts w:ascii="Arial" w:cs="Arial" w:eastAsia="Arial" w:hAnsi="Arial"/>
          <w:sz w:val="11"/>
          <w:szCs w:val="11"/>
          <w:b w:val="1"/>
          <w:bCs w:val="1"/>
          <w:color w:val="auto"/>
        </w:rPr>
        <w:t>Claims</w:t>
      </w:r>
      <w:r>
        <w:rPr>
          <w:rFonts w:ascii="Arial" w:cs="Arial" w:eastAsia="Arial" w:hAnsi="Arial"/>
          <w:sz w:val="11"/>
          <w:szCs w:val="11"/>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 This section 11.3(a) shall not apply with respect to Taxes other than Taxes that represent losses, claims, damages, etc. arising from any non-Tax claim.</w:t>
      </w:r>
    </w:p>
    <w:p>
      <w:pPr>
        <w:spacing w:after="0" w:line="118" w:lineRule="exact"/>
        <w:rPr>
          <w:rFonts w:ascii="Arial" w:cs="Arial" w:eastAsia="Arial" w:hAnsi="Arial"/>
          <w:sz w:val="11"/>
          <w:szCs w:val="11"/>
          <w:color w:val="auto"/>
        </w:rPr>
      </w:pPr>
    </w:p>
    <w:p>
      <w:pPr>
        <w:jc w:val="both"/>
        <w:ind w:firstLine="856"/>
        <w:spacing w:after="0" w:line="281" w:lineRule="auto"/>
        <w:tabs>
          <w:tab w:leader="none" w:pos="1292" w:val="left"/>
        </w:tabs>
        <w:numPr>
          <w:ilvl w:val="0"/>
          <w:numId w:val="90"/>
        </w:numPr>
        <w:rPr>
          <w:rFonts w:ascii="Arial" w:cs="Arial" w:eastAsia="Arial" w:hAnsi="Arial"/>
          <w:sz w:val="11"/>
          <w:szCs w:val="11"/>
          <w:color w:val="auto"/>
        </w:rPr>
      </w:pPr>
      <w:r>
        <w:rPr>
          <w:rFonts w:ascii="Arial" w:cs="Arial" w:eastAsia="Arial" w:hAnsi="Arial"/>
          <w:sz w:val="11"/>
          <w:szCs w:val="11"/>
          <w:u w:val="single" w:color="auto"/>
          <w:color w:val="auto"/>
        </w:rPr>
        <w:t>Waiver of Consequential Damages, Etc.</w:t>
      </w:r>
      <w:r>
        <w:rPr>
          <w:rFonts w:ascii="Arial" w:cs="Arial" w:eastAsia="Arial" w:hAnsi="Arial"/>
          <w:sz w:val="11"/>
          <w:szCs w:val="11"/>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995" w:right="299" w:bottom="1440" w:gutter="0" w:footer="0" w:header="0"/>
        </w:sectPr>
      </w:pPr>
    </w:p>
    <w:bookmarkStart w:id="122" w:name="page123"/>
    <w:bookmarkEnd w:id="122"/>
    <w:p>
      <w:pPr>
        <w:jc w:val="both"/>
        <w:spacing w:after="0" w:line="260" w:lineRule="auto"/>
        <w:rPr>
          <w:sz w:val="20"/>
          <w:szCs w:val="20"/>
          <w:color w:val="auto"/>
        </w:rPr>
      </w:pPr>
      <w:r>
        <w:rPr>
          <w:rFonts w:ascii="Arial" w:cs="Arial" w:eastAsia="Arial" w:hAnsi="Arial"/>
          <w:sz w:val="12"/>
          <w:szCs w:val="12"/>
          <w:color w:val="auto"/>
        </w:rPr>
        <w:t>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49"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b w:val="1"/>
          <w:bCs w:val="1"/>
          <w:color w:val="auto"/>
        </w:rPr>
        <w:t>11.4</w:t>
      </w:r>
      <w:r>
        <w:rPr>
          <w:sz w:val="20"/>
          <w:szCs w:val="20"/>
          <w:color w:val="auto"/>
        </w:rPr>
        <w:tab/>
      </w:r>
      <w:r>
        <w:rPr>
          <w:rFonts w:ascii="Arial" w:cs="Arial" w:eastAsia="Arial" w:hAnsi="Arial"/>
          <w:sz w:val="10"/>
          <w:szCs w:val="10"/>
          <w:b w:val="1"/>
          <w:bCs w:val="1"/>
          <w:color w:val="auto"/>
        </w:rPr>
        <w:t xml:space="preserve">Time of Essence. </w:t>
      </w:r>
      <w:r>
        <w:rPr>
          <w:rFonts w:ascii="Arial" w:cs="Arial" w:eastAsia="Arial" w:hAnsi="Arial"/>
          <w:sz w:val="10"/>
          <w:szCs w:val="10"/>
          <w:color w:val="auto"/>
        </w:rPr>
        <w:t>Time is of the essence for the performance of all Obligations in this Agreement.</w:t>
      </w:r>
    </w:p>
    <w:p>
      <w:pPr>
        <w:spacing w:after="0" w:line="141"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b w:val="1"/>
          <w:bCs w:val="1"/>
          <w:color w:val="auto"/>
        </w:rPr>
        <w:t>11.5</w:t>
      </w:r>
      <w:r>
        <w:rPr>
          <w:sz w:val="20"/>
          <w:szCs w:val="20"/>
          <w:color w:val="auto"/>
        </w:rPr>
        <w:tab/>
      </w:r>
      <w:r>
        <w:rPr>
          <w:rFonts w:ascii="Arial" w:cs="Arial" w:eastAsia="Arial" w:hAnsi="Arial"/>
          <w:sz w:val="10"/>
          <w:szCs w:val="10"/>
          <w:b w:val="1"/>
          <w:bCs w:val="1"/>
          <w:color w:val="auto"/>
        </w:rPr>
        <w:t xml:space="preserve">Severability of Provisions. </w:t>
      </w:r>
      <w:r>
        <w:rPr>
          <w:rFonts w:ascii="Arial" w:cs="Arial" w:eastAsia="Arial" w:hAnsi="Arial"/>
          <w:sz w:val="10"/>
          <w:szCs w:val="10"/>
          <w:color w:val="auto"/>
        </w:rPr>
        <w:t>Each provision of this Agreement is severable from every other provision in determining the enforceability of any provision.</w:t>
      </w:r>
    </w:p>
    <w:p>
      <w:pPr>
        <w:spacing w:after="0" w:line="141"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b w:val="1"/>
          <w:bCs w:val="1"/>
          <w:color w:val="auto"/>
        </w:rPr>
        <w:t xml:space="preserve">11.6 Amendments in Writing; Waiver; Integration. </w:t>
      </w:r>
      <w:r>
        <w:rPr>
          <w:rFonts w:ascii="Arial" w:cs="Arial" w:eastAsia="Arial" w:hAnsi="Arial"/>
          <w:sz w:val="12"/>
          <w:szCs w:val="12"/>
          <w:color w:val="auto"/>
        </w:rPr>
        <w:t>No purported amendment or modification of any Loan Document, or waiver, discharge, or termination of any obligation under any Loan Document, shall be effective</w:t>
      </w:r>
      <w:r>
        <w:rPr>
          <w:rFonts w:ascii="Arial" w:cs="Arial" w:eastAsia="Arial" w:hAnsi="Arial"/>
          <w:sz w:val="12"/>
          <w:szCs w:val="12"/>
          <w:b w:val="1"/>
          <w:bCs w:val="1"/>
          <w:color w:val="auto"/>
        </w:rPr>
        <w:t xml:space="preserve"> </w:t>
      </w:r>
      <w:r>
        <w:rPr>
          <w:rFonts w:ascii="Arial" w:cs="Arial" w:eastAsia="Arial" w:hAnsi="Arial"/>
          <w:sz w:val="12"/>
          <w:szCs w:val="12"/>
          <w:color w:val="auto"/>
        </w:rPr>
        <w:t>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23"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b w:val="1"/>
          <w:bCs w:val="1"/>
          <w:color w:val="auto"/>
        </w:rPr>
        <w:t xml:space="preserve">11.7 Counterparts. </w:t>
      </w:r>
      <w:r>
        <w:rPr>
          <w:rFonts w:ascii="Arial" w:cs="Arial" w:eastAsia="Arial" w:hAnsi="Arial"/>
          <w:sz w:val="12"/>
          <w:szCs w:val="12"/>
          <w:color w:val="auto"/>
        </w:rPr>
        <w:t>This Agreement may be executed in any number of counterparts and by different parties on separate counterparts, each of which, when executed and delivered, is an original, and all taken together,</w:t>
      </w:r>
      <w:r>
        <w:rPr>
          <w:rFonts w:ascii="Arial" w:cs="Arial" w:eastAsia="Arial" w:hAnsi="Arial"/>
          <w:sz w:val="12"/>
          <w:szCs w:val="12"/>
          <w:b w:val="1"/>
          <w:bCs w:val="1"/>
          <w:color w:val="auto"/>
        </w:rPr>
        <w:t xml:space="preserve"> </w:t>
      </w:r>
      <w:r>
        <w:rPr>
          <w:rFonts w:ascii="Arial" w:cs="Arial" w:eastAsia="Arial" w:hAnsi="Arial"/>
          <w:sz w:val="12"/>
          <w:szCs w:val="12"/>
          <w:color w:val="auto"/>
        </w:rPr>
        <w:t>constitute one Agreement. Delivery of an executed signature page of this Agreement by electronic mail transmission shall be effective as delivery of a manually executed counterpart hereof.</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1"/>
          <w:szCs w:val="11"/>
          <w:b w:val="1"/>
          <w:bCs w:val="1"/>
          <w:color w:val="auto"/>
        </w:rPr>
        <w:t xml:space="preserve">11.8 Confidentiality. </w:t>
      </w:r>
      <w:r>
        <w:rPr>
          <w:rFonts w:ascii="Arial" w:cs="Arial" w:eastAsia="Arial" w:hAnsi="Arial"/>
          <w:sz w:val="11"/>
          <w:szCs w:val="11"/>
          <w:color w:val="auto"/>
        </w:rPr>
        <w:t>Bank agrees to maintain the confidentiality of Information (as defined below), except that Information may be disclosed (a) to Bank’s Subsidiaries and Affiliates and their respective employees,</w:t>
      </w:r>
      <w:r>
        <w:rPr>
          <w:rFonts w:ascii="Arial" w:cs="Arial" w:eastAsia="Arial" w:hAnsi="Arial"/>
          <w:sz w:val="11"/>
          <w:szCs w:val="11"/>
          <w:b w:val="1"/>
          <w:bCs w:val="1"/>
          <w:color w:val="auto"/>
        </w:rPr>
        <w:t xml:space="preserve"> </w:t>
      </w:r>
      <w:r>
        <w:rPr>
          <w:rFonts w:ascii="Arial" w:cs="Arial" w:eastAsia="Arial" w:hAnsi="Arial"/>
          <w:sz w:val="11"/>
          <w:szCs w:val="11"/>
          <w:color w:val="auto"/>
        </w:rPr>
        <w:t>directors, agents, attorneys, accountants, and other professional advisors (collectively, “</w:t>
      </w:r>
      <w:r>
        <w:rPr>
          <w:rFonts w:ascii="Arial" w:cs="Arial" w:eastAsia="Arial" w:hAnsi="Arial"/>
          <w:sz w:val="11"/>
          <w:szCs w:val="11"/>
          <w:b w:val="1"/>
          <w:bCs w:val="1"/>
          <w:color w:val="auto"/>
        </w:rPr>
        <w:t>Representatives</w:t>
      </w:r>
      <w:r>
        <w:rPr>
          <w:rFonts w:ascii="Arial" w:cs="Arial" w:eastAsia="Arial" w:hAnsi="Arial"/>
          <w:sz w:val="11"/>
          <w:szCs w:val="11"/>
          <w:color w:val="auto"/>
        </w:rPr>
        <w:t>” and, together with Bank, collectively, “</w:t>
      </w:r>
      <w:r>
        <w:rPr>
          <w:rFonts w:ascii="Arial" w:cs="Arial" w:eastAsia="Arial" w:hAnsi="Arial"/>
          <w:sz w:val="11"/>
          <w:szCs w:val="11"/>
          <w:b w:val="1"/>
          <w:bCs w:val="1"/>
          <w:color w:val="auto"/>
        </w:rPr>
        <w:t>Bank Entities</w:t>
      </w:r>
      <w:r>
        <w:rPr>
          <w:rFonts w:ascii="Arial" w:cs="Arial" w:eastAsia="Arial" w:hAnsi="Arial"/>
          <w:sz w:val="11"/>
          <w:szCs w:val="11"/>
          <w:color w:val="auto"/>
        </w:rPr>
        <w:t>”); (b) to prospective transferees, assignees, credit providers or purchasers of Bank’s interests under or in connection with this Agreement and their Representatives (provided, however, any such prospective transferee, assignee, credit provider, purchaser, or their Representatives shall have entered into an agreement containing provisions substantially the same as those in this Section 11.8);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Arial" w:cs="Arial" w:eastAsia="Arial" w:hAnsi="Arial"/>
          <w:sz w:val="11"/>
          <w:szCs w:val="11"/>
          <w:b w:val="1"/>
          <w:bCs w:val="1"/>
          <w:color w:val="auto"/>
        </w:rPr>
        <w:t>Information</w:t>
      </w:r>
      <w:r>
        <w:rPr>
          <w:rFonts w:ascii="Arial" w:cs="Arial" w:eastAsia="Arial" w:hAnsi="Arial"/>
          <w:sz w:val="11"/>
          <w:szCs w:val="11"/>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1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b w:val="1"/>
          <w:bCs w:val="1"/>
          <w:color w:val="auto"/>
        </w:rPr>
        <w:t xml:space="preserve">11.9 Electronic Execution of Documents. </w:t>
      </w:r>
      <w:r>
        <w:rPr>
          <w:rFonts w:ascii="Arial" w:cs="Arial" w:eastAsia="Arial" w:hAnsi="Arial"/>
          <w:sz w:val="11"/>
          <w:szCs w:val="11"/>
          <w:color w:val="auto"/>
        </w:rPr>
        <w:t>The words “execution,” “signed,” “signature,” and words of like import in any Loan Document shall be deemed to include electronic signatures, including any Electronic</w:t>
      </w:r>
      <w:r>
        <w:rPr>
          <w:rFonts w:ascii="Arial" w:cs="Arial" w:eastAsia="Arial" w:hAnsi="Arial"/>
          <w:sz w:val="11"/>
          <w:szCs w:val="11"/>
          <w:b w:val="1"/>
          <w:bCs w:val="1"/>
          <w:color w:val="auto"/>
        </w:rPr>
        <w:t xml:space="preserve"> </w:t>
      </w:r>
      <w:r>
        <w:rPr>
          <w:rFonts w:ascii="Arial" w:cs="Arial" w:eastAsia="Arial" w:hAnsi="Arial"/>
          <w:sz w:val="11"/>
          <w:szCs w:val="11"/>
          <w:color w:val="auto"/>
        </w:rPr>
        <w:t>Signature as defined in the Electronic Transactions Law (2003 Revision) of the Cayman Islands (the “</w:t>
      </w:r>
      <w:r>
        <w:rPr>
          <w:rFonts w:ascii="Arial" w:cs="Arial" w:eastAsia="Arial" w:hAnsi="Arial"/>
          <w:sz w:val="11"/>
          <w:szCs w:val="11"/>
          <w:b w:val="1"/>
          <w:bCs w:val="1"/>
          <w:color w:val="auto"/>
        </w:rPr>
        <w:t>Cayman Islands Electronic Signature Law</w:t>
      </w:r>
      <w:r>
        <w:rPr>
          <w:rFonts w:ascii="Arial" w:cs="Arial" w:eastAsia="Arial" w:hAnsi="Arial"/>
          <w:sz w:val="11"/>
          <w:szCs w:val="11"/>
          <w:color w:val="auto"/>
        </w:rPr>
        <w:t>”),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995" w:right="299" w:bottom="1440" w:gutter="0" w:footer="0" w:header="0"/>
        </w:sectPr>
      </w:pPr>
    </w:p>
    <w:bookmarkStart w:id="123" w:name="page124"/>
    <w:bookmarkEnd w:id="123"/>
    <w:p>
      <w:pPr>
        <w:ind w:left="8"/>
        <w:spacing w:after="0"/>
        <w:rPr>
          <w:sz w:val="20"/>
          <w:szCs w:val="20"/>
          <w:color w:val="auto"/>
        </w:rPr>
      </w:pPr>
      <w:r>
        <w:rPr>
          <w:rFonts w:ascii="Arial" w:cs="Arial" w:eastAsia="Arial" w:hAnsi="Arial"/>
          <w:sz w:val="12"/>
          <w:szCs w:val="12"/>
          <w:color w:val="auto"/>
        </w:rPr>
        <w:t>provided, however that sections 8 and 19(3) of the Cayman Islands Electronic Signature Law shall not apply to this Agreement or the execution or delivery thereof.</w:t>
      </w:r>
    </w:p>
    <w:p>
      <w:pPr>
        <w:spacing w:after="0" w:line="137" w:lineRule="exact"/>
        <w:rPr>
          <w:sz w:val="20"/>
          <w:szCs w:val="20"/>
          <w:color w:val="auto"/>
        </w:rPr>
      </w:pPr>
    </w:p>
    <w:p>
      <w:pPr>
        <w:jc w:val="both"/>
        <w:ind w:left="8" w:firstLine="432"/>
        <w:spacing w:after="0" w:line="241" w:lineRule="auto"/>
        <w:rPr>
          <w:sz w:val="20"/>
          <w:szCs w:val="20"/>
          <w:color w:val="auto"/>
        </w:rPr>
      </w:pPr>
      <w:r>
        <w:rPr>
          <w:rFonts w:ascii="Arial" w:cs="Arial" w:eastAsia="Arial" w:hAnsi="Arial"/>
          <w:sz w:val="12"/>
          <w:szCs w:val="12"/>
          <w:b w:val="1"/>
          <w:bCs w:val="1"/>
          <w:color w:val="auto"/>
        </w:rPr>
        <w:t xml:space="preserve">11.10 Right of Setoff. </w:t>
      </w:r>
      <w:r>
        <w:rPr>
          <w:rFonts w:ascii="Arial" w:cs="Arial" w:eastAsia="Arial" w:hAnsi="Arial"/>
          <w:sz w:val="12"/>
          <w:szCs w:val="12"/>
          <w:color w:val="auto"/>
        </w:rPr>
        <w:t>Borrower hereby grants to Bank a Lien and a right of setoff as security for all Obligations to Bank, whether now existing or hereafter arising upon and against all deposits, credits, collateral and</w:t>
      </w:r>
      <w:r>
        <w:rPr>
          <w:rFonts w:ascii="Arial" w:cs="Arial" w:eastAsia="Arial" w:hAnsi="Arial"/>
          <w:sz w:val="12"/>
          <w:szCs w:val="12"/>
          <w:b w:val="1"/>
          <w:bCs w:val="1"/>
          <w:color w:val="auto"/>
        </w:rPr>
        <w:t xml:space="preserve"> </w:t>
      </w:r>
      <w:r>
        <w:rPr>
          <w:rFonts w:ascii="Arial" w:cs="Arial" w:eastAsia="Arial" w:hAnsi="Arial"/>
          <w:sz w:val="12"/>
          <w:szCs w:val="12"/>
          <w:color w:val="auto"/>
        </w:rPr>
        <w:t>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Obligation of Borrower then due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23"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b w:val="1"/>
          <w:bCs w:val="1"/>
          <w:color w:val="auto"/>
        </w:rPr>
        <w:t xml:space="preserve">11.11 Captions and Section References. </w:t>
      </w:r>
      <w:r>
        <w:rPr>
          <w:rFonts w:ascii="Arial" w:cs="Arial" w:eastAsia="Arial" w:hAnsi="Arial"/>
          <w:sz w:val="12"/>
          <w:szCs w:val="12"/>
          <w:color w:val="auto"/>
        </w:rPr>
        <w:t>The headings used in this Agreement are for convenience only and shall not affect the interpretation of this Agreement. Unless indicated otherwise, section references herein are to</w:t>
      </w:r>
      <w:r>
        <w:rPr>
          <w:rFonts w:ascii="Arial" w:cs="Arial" w:eastAsia="Arial" w:hAnsi="Arial"/>
          <w:sz w:val="12"/>
          <w:szCs w:val="12"/>
          <w:b w:val="1"/>
          <w:bCs w:val="1"/>
          <w:color w:val="auto"/>
        </w:rPr>
        <w:t xml:space="preserve"> </w:t>
      </w:r>
      <w:r>
        <w:rPr>
          <w:rFonts w:ascii="Arial" w:cs="Arial" w:eastAsia="Arial" w:hAnsi="Arial"/>
          <w:sz w:val="12"/>
          <w:szCs w:val="12"/>
          <w:color w:val="auto"/>
        </w:rPr>
        <w:t>sections of this Agreement.</w:t>
      </w:r>
    </w:p>
    <w:p>
      <w:pPr>
        <w:spacing w:after="0" w:line="107"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b w:val="1"/>
          <w:bCs w:val="1"/>
          <w:color w:val="auto"/>
        </w:rPr>
        <w:t xml:space="preserve">11.12 Construction of Agreement. </w:t>
      </w:r>
      <w:r>
        <w:rPr>
          <w:rFonts w:ascii="Arial" w:cs="Arial" w:eastAsia="Arial" w:hAnsi="Arial"/>
          <w:sz w:val="12"/>
          <w:szCs w:val="12"/>
          <w:color w:val="auto"/>
        </w:rPr>
        <w:t>The parties hereto mutually acknowledge that they and their attorneys have participated in the preparation and negotiation of this Agreement. In cases of uncertainty this Agreement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construed without regard to which of the parties caused the uncertainty to exist.</w:t>
      </w:r>
    </w:p>
    <w:p>
      <w:pPr>
        <w:spacing w:after="0" w:line="107"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b w:val="1"/>
          <w:bCs w:val="1"/>
          <w:color w:val="auto"/>
        </w:rPr>
        <w:t xml:space="preserve">11.13 Relationship. </w:t>
      </w:r>
      <w:r>
        <w:rPr>
          <w:rFonts w:ascii="Arial" w:cs="Arial" w:eastAsia="Arial" w:hAnsi="Arial"/>
          <w:sz w:val="12"/>
          <w:szCs w:val="12"/>
          <w:color w:val="auto"/>
        </w:rPr>
        <w:t>The relationship of the parties to this Agreement is determined solely by the provisions of this Agreement. The parties do not intend to create any agency, partnership, joint venture, trust, fiduciary,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 relationship with duties or incidents different from those of parties to an arm’s-length contract.</w:t>
      </w:r>
    </w:p>
    <w:p>
      <w:pPr>
        <w:spacing w:after="0" w:line="107"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2"/>
          <w:szCs w:val="12"/>
          <w:b w:val="1"/>
          <w:bCs w:val="1"/>
          <w:color w:val="auto"/>
        </w:rPr>
        <w:t xml:space="preserve">11.14 Third Parties. </w:t>
      </w:r>
      <w:r>
        <w:rPr>
          <w:rFonts w:ascii="Arial" w:cs="Arial" w:eastAsia="Arial" w:hAnsi="Arial"/>
          <w:sz w:val="12"/>
          <w:szCs w:val="12"/>
          <w:color w:val="auto"/>
        </w:rPr>
        <w:t>Nothing in this Agreement, whether express or implied, is intended to: (a) confer any benefits, rights, or remedies under or by reason of this Agreement on any Persons other than the express parties to it</w:t>
      </w:r>
      <w:r>
        <w:rPr>
          <w:rFonts w:ascii="Arial" w:cs="Arial" w:eastAsia="Arial" w:hAnsi="Arial"/>
          <w:sz w:val="12"/>
          <w:szCs w:val="12"/>
          <w:b w:val="1"/>
          <w:bCs w:val="1"/>
          <w:color w:val="auto"/>
        </w:rPr>
        <w:t xml:space="preserve"> </w:t>
      </w:r>
      <w:r>
        <w:rPr>
          <w:rFonts w:ascii="Arial" w:cs="Arial" w:eastAsia="Arial" w:hAnsi="Arial"/>
          <w:sz w:val="12"/>
          <w:szCs w:val="12"/>
          <w:color w:val="auto"/>
        </w:rPr>
        <w:t>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16"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2"/>
          <w:szCs w:val="12"/>
          <w:b w:val="1"/>
          <w:bCs w:val="1"/>
          <w:color w:val="auto"/>
        </w:rPr>
        <w:t xml:space="preserve">11.15 Anti-Terrorism Law. </w:t>
      </w:r>
      <w:r>
        <w:rPr>
          <w:rFonts w:ascii="Arial" w:cs="Arial" w:eastAsia="Arial" w:hAnsi="Arial"/>
          <w:sz w:val="12"/>
          <w:szCs w:val="12"/>
          <w:color w:val="auto"/>
        </w:rPr>
        <w:t>Bank hereby notifies Borrower that, pursuant to the requirements of Anti-Terrorism Law, Bank may be required to obtain, verify, and record information that identifies Borrower, which</w:t>
      </w:r>
      <w:r>
        <w:rPr>
          <w:rFonts w:ascii="Arial" w:cs="Arial" w:eastAsia="Arial" w:hAnsi="Arial"/>
          <w:sz w:val="12"/>
          <w:szCs w:val="12"/>
          <w:b w:val="1"/>
          <w:bCs w:val="1"/>
          <w:color w:val="auto"/>
        </w:rPr>
        <w:t xml:space="preserve"> </w:t>
      </w:r>
      <w:r>
        <w:rPr>
          <w:rFonts w:ascii="Arial" w:cs="Arial" w:eastAsia="Arial" w:hAnsi="Arial"/>
          <w:sz w:val="12"/>
          <w:szCs w:val="12"/>
          <w:color w:val="auto"/>
        </w:rPr>
        <w:t>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16" w:lineRule="exact"/>
        <w:rPr>
          <w:sz w:val="20"/>
          <w:szCs w:val="20"/>
          <w:color w:val="auto"/>
        </w:rPr>
      </w:pPr>
    </w:p>
    <w:p>
      <w:pPr>
        <w:ind w:left="428" w:right="7580" w:firstLine="4"/>
        <w:spacing w:after="0" w:line="488" w:lineRule="auto"/>
        <w:tabs>
          <w:tab w:leader="none" w:pos="854" w:val="left"/>
        </w:tabs>
        <w:numPr>
          <w:ilvl w:val="1"/>
          <w:numId w:val="9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ACCOUNTING TERMS AND OTHER DEFINITIONS </w:t>
      </w:r>
      <w:r>
        <w:rPr>
          <w:rFonts w:ascii="Arial" w:cs="Arial" w:eastAsia="Arial" w:hAnsi="Arial"/>
          <w:sz w:val="12"/>
          <w:szCs w:val="12"/>
          <w:b w:val="1"/>
          <w:bCs w:val="1"/>
          <w:color w:val="auto"/>
        </w:rPr>
        <w:t>12.1 Accounting and Other Terms.</w:t>
      </w:r>
    </w:p>
    <w:p>
      <w:pPr>
        <w:jc w:val="both"/>
        <w:ind w:left="8" w:firstLine="856"/>
        <w:spacing w:after="0" w:line="262" w:lineRule="auto"/>
        <w:tabs>
          <w:tab w:leader="none" w:pos="1302" w:val="left"/>
        </w:tabs>
        <w:numPr>
          <w:ilvl w:val="2"/>
          <w:numId w:val="91"/>
        </w:numPr>
        <w:rPr>
          <w:rFonts w:ascii="Arial" w:cs="Arial" w:eastAsia="Arial" w:hAnsi="Arial"/>
          <w:sz w:val="11"/>
          <w:szCs w:val="11"/>
          <w:color w:val="auto"/>
        </w:rPr>
      </w:pPr>
      <w:r>
        <w:rPr>
          <w:rFonts w:ascii="Arial" w:cs="Arial" w:eastAsia="Arial" w:hAnsi="Arial"/>
          <w:sz w:val="11"/>
          <w:szCs w:val="11"/>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w:t>
      </w:r>
    </w:p>
    <w:p>
      <w:pPr>
        <w:jc w:val="both"/>
        <w:ind w:left="8" w:hanging="8"/>
        <w:spacing w:after="0" w:line="239" w:lineRule="auto"/>
        <w:tabs>
          <w:tab w:leader="none" w:pos="158" w:val="left"/>
        </w:tabs>
        <w:numPr>
          <w:ilvl w:val="0"/>
          <w:numId w:val="92"/>
        </w:numPr>
        <w:rPr>
          <w:rFonts w:ascii="Arial" w:cs="Arial" w:eastAsia="Arial" w:hAnsi="Arial"/>
          <w:sz w:val="12"/>
          <w:szCs w:val="12"/>
          <w:color w:val="auto"/>
        </w:rPr>
      </w:pPr>
      <w:r>
        <w:rPr>
          <w:rFonts w:ascii="Arial" w:cs="Arial" w:eastAsia="Arial" w:hAnsi="Arial"/>
          <w:sz w:val="12"/>
          <w:szCs w:val="12"/>
          <w:color w:val="auto"/>
        </w:rPr>
        <w:t>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 Notwithstanding the foregoing, all financial covenant and other financial calculations shall be computed with respect to Borrower only, and not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8"/>
          </w:cols>
          <w:pgMar w:left="292" w:top="995" w:right="299" w:bottom="1440" w:gutter="0" w:footer="0" w:header="0"/>
        </w:sectPr>
      </w:pPr>
    </w:p>
    <w:bookmarkStart w:id="124" w:name="page125"/>
    <w:bookmarkEnd w:id="124"/>
    <w:p>
      <w:pPr>
        <w:jc w:val="both"/>
        <w:ind w:firstLine="856"/>
        <w:spacing w:after="0" w:line="243" w:lineRule="auto"/>
        <w:tabs>
          <w:tab w:leader="none" w:pos="1292" w:val="left"/>
        </w:tabs>
        <w:numPr>
          <w:ilvl w:val="0"/>
          <w:numId w:val="93"/>
        </w:numPr>
        <w:rPr>
          <w:rFonts w:ascii="Arial" w:cs="Arial" w:eastAsia="Arial" w:hAnsi="Arial"/>
          <w:sz w:val="12"/>
          <w:szCs w:val="12"/>
          <w:color w:val="auto"/>
        </w:rPr>
      </w:pPr>
      <w:r>
        <w:rPr>
          <w:rFonts w:ascii="Arial" w:cs="Arial" w:eastAsia="Arial" w:hAnsi="Arial"/>
          <w:sz w:val="12"/>
          <w:szCs w:val="12"/>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2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b w:val="1"/>
          <w:bCs w:val="1"/>
          <w:color w:val="auto"/>
        </w:rPr>
        <w:t xml:space="preserve">12.2 Definitions. </w:t>
      </w:r>
      <w:r>
        <w:rPr>
          <w:rFonts w:ascii="Arial" w:cs="Arial" w:eastAsia="Arial" w:hAnsi="Arial"/>
          <w:sz w:val="12"/>
          <w:szCs w:val="12"/>
          <w:color w:val="auto"/>
        </w:rPr>
        <w:t>Capitalized terms not otherwise defined in this Agreement shall have the meanings set forth in this Section 12.2. All other terms contained in this Agreement, unless otherwise indicated, shall have the</w:t>
      </w:r>
      <w:r>
        <w:rPr>
          <w:rFonts w:ascii="Arial" w:cs="Arial" w:eastAsia="Arial" w:hAnsi="Arial"/>
          <w:sz w:val="12"/>
          <w:szCs w:val="12"/>
          <w:b w:val="1"/>
          <w:bCs w:val="1"/>
          <w:color w:val="auto"/>
        </w:rPr>
        <w:t xml:space="preserve"> </w:t>
      </w:r>
      <w:r>
        <w:rPr>
          <w:rFonts w:ascii="Arial" w:cs="Arial" w:eastAsia="Arial" w:hAnsi="Arial"/>
          <w:sz w:val="12"/>
          <w:szCs w:val="12"/>
          <w:color w:val="auto"/>
        </w:rPr>
        <w:t>meaning provided by the Code to the extent such terms are defined therein. As used in this Agreement, the following capitalized terms have the following meanings:</w:t>
      </w:r>
    </w:p>
    <w:p>
      <w:pPr>
        <w:spacing w:after="0" w:line="107"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w:t>
      </w:r>
      <w:r>
        <w:rPr>
          <w:rFonts w:ascii="Arial" w:cs="Arial" w:eastAsia="Arial" w:hAnsi="Arial"/>
          <w:sz w:val="12"/>
          <w:szCs w:val="12"/>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 Debtor</w:t>
      </w:r>
      <w:r>
        <w:rPr>
          <w:rFonts w:ascii="Arial" w:cs="Arial" w:eastAsia="Arial" w:hAnsi="Arial"/>
          <w:sz w:val="12"/>
          <w:szCs w:val="12"/>
          <w:color w:val="auto"/>
        </w:rPr>
        <w:t>” is any “account debtor” as defined in the Code, with such additions to such term as may hereafter be made.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Adjusted Quick Ratio</w:t>
      </w:r>
      <w:r>
        <w:rPr>
          <w:rFonts w:ascii="Arial" w:cs="Arial" w:eastAsia="Arial" w:hAnsi="Arial"/>
          <w:sz w:val="12"/>
          <w:szCs w:val="12"/>
          <w:color w:val="auto"/>
        </w:rPr>
        <w:t>” is the ratio of (a) Quick Assets to (b)(i) Current Liabilities minus (ii) the current portion of Deferred Revenue.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Administrator</w:t>
      </w:r>
      <w:r>
        <w:rPr>
          <w:rFonts w:ascii="Arial" w:cs="Arial" w:eastAsia="Arial" w:hAnsi="Arial"/>
          <w:sz w:val="12"/>
          <w:szCs w:val="12"/>
          <w:color w:val="auto"/>
        </w:rPr>
        <w:t>” is an individual that is named:</w:t>
      </w:r>
    </w:p>
    <w:p>
      <w:pPr>
        <w:spacing w:after="0" w:line="145" w:lineRule="exact"/>
        <w:rPr>
          <w:sz w:val="20"/>
          <w:szCs w:val="20"/>
          <w:color w:val="auto"/>
        </w:rPr>
      </w:pPr>
    </w:p>
    <w:p>
      <w:pPr>
        <w:ind w:left="420" w:firstLine="436"/>
        <w:spacing w:after="0" w:line="260" w:lineRule="auto"/>
        <w:tabs>
          <w:tab w:leader="none" w:pos="1184" w:val="left"/>
        </w:tabs>
        <w:numPr>
          <w:ilvl w:val="0"/>
          <w:numId w:val="94"/>
        </w:numPr>
        <w:rPr>
          <w:rFonts w:ascii="Arial" w:cs="Arial" w:eastAsia="Arial" w:hAnsi="Arial"/>
          <w:sz w:val="12"/>
          <w:szCs w:val="12"/>
          <w:color w:val="auto"/>
        </w:rPr>
      </w:pPr>
      <w:r>
        <w:rPr>
          <w:rFonts w:ascii="Arial" w:cs="Arial" w:eastAsia="Arial" w:hAnsi="Arial"/>
          <w:sz w:val="12"/>
          <w:szCs w:val="12"/>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spacing w:after="0" w:line="115" w:lineRule="exact"/>
        <w:rPr>
          <w:rFonts w:ascii="Arial" w:cs="Arial" w:eastAsia="Arial" w:hAnsi="Arial"/>
          <w:sz w:val="12"/>
          <w:szCs w:val="12"/>
          <w:color w:val="auto"/>
        </w:rPr>
      </w:pPr>
    </w:p>
    <w:p>
      <w:pPr>
        <w:ind w:left="1140" w:hanging="284"/>
        <w:spacing w:after="0"/>
        <w:tabs>
          <w:tab w:leader="none" w:pos="11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as an Authorized Signer of Borrower in an approval by the Board.</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Advance</w:t>
      </w:r>
      <w:r>
        <w:rPr>
          <w:rFonts w:ascii="Arial" w:cs="Arial" w:eastAsia="Arial" w:hAnsi="Arial"/>
          <w:sz w:val="12"/>
          <w:szCs w:val="12"/>
          <w:color w:val="auto"/>
        </w:rPr>
        <w:t>” or “</w:t>
      </w:r>
      <w:r>
        <w:rPr>
          <w:rFonts w:ascii="Arial" w:cs="Arial" w:eastAsia="Arial" w:hAnsi="Arial"/>
          <w:sz w:val="12"/>
          <w:szCs w:val="12"/>
          <w:b w:val="1"/>
          <w:bCs w:val="1"/>
          <w:color w:val="auto"/>
        </w:rPr>
        <w:t>Advances</w:t>
      </w:r>
      <w:r>
        <w:rPr>
          <w:rFonts w:ascii="Arial" w:cs="Arial" w:eastAsia="Arial" w:hAnsi="Arial"/>
          <w:sz w:val="12"/>
          <w:szCs w:val="12"/>
          <w:color w:val="auto"/>
        </w:rPr>
        <w:t>” means a revolving credit loan (or revolving credit loans) under the Revolving Line.</w:t>
      </w:r>
    </w:p>
    <w:p>
      <w:pPr>
        <w:spacing w:after="0" w:line="14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Agreement</w:t>
      </w:r>
      <w:r>
        <w:rPr>
          <w:rFonts w:ascii="Arial" w:cs="Arial" w:eastAsia="Arial" w:hAnsi="Arial"/>
          <w:sz w:val="12"/>
          <w:szCs w:val="12"/>
          <w:color w:val="auto"/>
        </w:rPr>
        <w:t>” is defined in the preamble hereof.</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Anniversary Fee</w:t>
      </w:r>
      <w:r>
        <w:rPr>
          <w:rFonts w:ascii="Arial" w:cs="Arial" w:eastAsia="Arial" w:hAnsi="Arial"/>
          <w:sz w:val="12"/>
          <w:szCs w:val="12"/>
          <w:color w:val="auto"/>
        </w:rPr>
        <w:t>” and “</w:t>
      </w:r>
      <w:r>
        <w:rPr>
          <w:rFonts w:ascii="Arial" w:cs="Arial" w:eastAsia="Arial" w:hAnsi="Arial"/>
          <w:sz w:val="12"/>
          <w:szCs w:val="12"/>
          <w:b w:val="1"/>
          <w:bCs w:val="1"/>
          <w:color w:val="auto"/>
        </w:rPr>
        <w:t>Anniversary Fees</w:t>
      </w:r>
      <w:r>
        <w:rPr>
          <w:rFonts w:ascii="Arial" w:cs="Arial" w:eastAsia="Arial" w:hAnsi="Arial"/>
          <w:sz w:val="12"/>
          <w:szCs w:val="12"/>
          <w:color w:val="auto"/>
        </w:rPr>
        <w:t>” are each defined in Section 1.5(b).</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Anti-Terrorism Law</w:t>
      </w:r>
      <w:r>
        <w:rPr>
          <w:rFonts w:ascii="Arial" w:cs="Arial" w:eastAsia="Arial" w:hAnsi="Arial"/>
          <w:sz w:val="12"/>
          <w:szCs w:val="12"/>
          <w:color w:val="auto"/>
        </w:rPr>
        <w:t>” means any law relating to terrorism or money-laundering, including Executive Order No. 13224 and the USA Patriot Act.</w:t>
      </w:r>
    </w:p>
    <w:p>
      <w:pPr>
        <w:spacing w:after="0" w:line="141" w:lineRule="exact"/>
        <w:rPr>
          <w:sz w:val="20"/>
          <w:szCs w:val="20"/>
          <w:color w:val="auto"/>
        </w:rPr>
      </w:pPr>
    </w:p>
    <w:p>
      <w:pPr>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Law</w:t>
      </w:r>
      <w:r>
        <w:rPr>
          <w:rFonts w:ascii="Arial" w:cs="Arial" w:eastAsia="Arial" w:hAnsi="Arial"/>
          <w:sz w:val="12"/>
          <w:szCs w:val="12"/>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07"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Authorized Signer</w:t>
      </w:r>
      <w:r>
        <w:rPr>
          <w:rFonts w:ascii="Arial" w:cs="Arial" w:eastAsia="Arial" w:hAnsi="Arial"/>
          <w:sz w:val="12"/>
          <w:szCs w:val="12"/>
          <w:color w:val="auto"/>
        </w:rPr>
        <w:t>” means any individual listed in Borrower’s Borrowing Resolution who is authorized to execute the Loan Documents, including making (and executing if applicable) any Credit Extension request, on behalf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995" w:right="299" w:bottom="1440" w:gutter="0" w:footer="0" w:header="0"/>
        </w:sectPr>
      </w:pPr>
    </w:p>
    <w:bookmarkStart w:id="125" w:name="page126"/>
    <w:bookmarkEnd w:id="125"/>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Availability Amount</w:t>
      </w:r>
      <w:r>
        <w:rPr>
          <w:rFonts w:ascii="Arial" w:cs="Arial" w:eastAsia="Arial" w:hAnsi="Arial"/>
          <w:sz w:val="12"/>
          <w:szCs w:val="12"/>
          <w:color w:val="auto"/>
        </w:rPr>
        <w:t>” is the Revolving Line minus the sum of (i) all outstanding principal amounts of any Advances, (ii) the aggregate Dollar Equivalent of the face amount of outstanding Letters of Credit (including drawn but unreimbursed Letters of Credit and any Letter of Credit Reserve), and (iii) all amounts used for Cash Management Services.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Bank</w:t>
      </w:r>
      <w:r>
        <w:rPr>
          <w:rFonts w:ascii="Arial" w:cs="Arial" w:eastAsia="Arial" w:hAnsi="Arial"/>
          <w:sz w:val="12"/>
          <w:szCs w:val="12"/>
          <w:color w:val="auto"/>
        </w:rPr>
        <w:t>” is defined in the preamble hereof.</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Bank Entities</w:t>
      </w:r>
      <w:r>
        <w:rPr>
          <w:rFonts w:ascii="Arial" w:cs="Arial" w:eastAsia="Arial" w:hAnsi="Arial"/>
          <w:sz w:val="12"/>
          <w:szCs w:val="12"/>
          <w:color w:val="auto"/>
        </w:rPr>
        <w:t>” is defined in Section 11.8.</w:t>
      </w:r>
    </w:p>
    <w:p>
      <w:pPr>
        <w:spacing w:after="0" w:line="141" w:lineRule="exact"/>
        <w:rPr>
          <w:sz w:val="20"/>
          <w:szCs w:val="20"/>
          <w:color w:val="auto"/>
        </w:rPr>
      </w:pPr>
    </w:p>
    <w:p>
      <w:pPr>
        <w:jc w:val="both"/>
        <w:ind w:right="20"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Bank Expenses</w:t>
      </w:r>
      <w:r>
        <w:rPr>
          <w:rFonts w:ascii="Arial" w:cs="Arial" w:eastAsia="Arial" w:hAnsi="Arial"/>
          <w:sz w:val="11"/>
          <w:szCs w:val="11"/>
          <w:color w:val="auto"/>
        </w:rPr>
        <w:t>” are all documented audit fees, costs, and reasonable documented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84"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Bank Services</w:t>
      </w:r>
      <w:r>
        <w:rPr>
          <w:rFonts w:ascii="Arial" w:cs="Arial" w:eastAsia="Arial" w:hAnsi="Arial"/>
          <w:sz w:val="12"/>
          <w:szCs w:val="12"/>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2"/>
          <w:szCs w:val="12"/>
          <w:b w:val="1"/>
          <w:bCs w:val="1"/>
          <w:color w:val="auto"/>
        </w:rPr>
        <w:t>Bank Services Agreement</w:t>
      </w:r>
      <w:r>
        <w:rPr>
          <w:rFonts w:ascii="Arial" w:cs="Arial" w:eastAsia="Arial" w:hAnsi="Arial"/>
          <w:sz w:val="12"/>
          <w:szCs w:val="12"/>
          <w:color w:val="auto"/>
        </w:rPr>
        <w:t>”) and shall include, without limitation, any Letters of Credit pursuant to Section 1.2 and Cash Management Services pursuant to Section 1.3.</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Bank Services Agreement</w:t>
      </w:r>
      <w:r>
        <w:rPr>
          <w:rFonts w:ascii="Arial" w:cs="Arial" w:eastAsia="Arial" w:hAnsi="Arial"/>
          <w:sz w:val="12"/>
          <w:szCs w:val="12"/>
          <w:color w:val="auto"/>
        </w:rPr>
        <w:t>” is defined in the definition of Bank Services.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Board</w:t>
      </w:r>
      <w:r>
        <w:rPr>
          <w:rFonts w:ascii="Arial" w:cs="Arial" w:eastAsia="Arial" w:hAnsi="Arial"/>
          <w:sz w:val="12"/>
          <w:szCs w:val="12"/>
          <w:color w:val="auto"/>
        </w:rPr>
        <w:t>” is Borrower’s board of directors or equivalent governing body.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Borrower</w:t>
      </w:r>
      <w:r>
        <w:rPr>
          <w:rFonts w:ascii="Arial" w:cs="Arial" w:eastAsia="Arial" w:hAnsi="Arial"/>
          <w:sz w:val="12"/>
          <w:szCs w:val="12"/>
          <w:color w:val="auto"/>
        </w:rPr>
        <w:t>” is set forth on Schedule I hereto.</w:t>
      </w:r>
    </w:p>
    <w:p>
      <w:pPr>
        <w:spacing w:after="0" w:line="14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Borrower’s Books</w:t>
      </w:r>
      <w:r>
        <w:rPr>
          <w:rFonts w:ascii="Arial" w:cs="Arial" w:eastAsia="Arial" w:hAnsi="Arial"/>
          <w:sz w:val="12"/>
          <w:szCs w:val="12"/>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Borrowing Resolutions</w:t>
      </w:r>
      <w:r>
        <w:rPr>
          <w:rFonts w:ascii="Arial" w:cs="Arial" w:eastAsia="Arial" w:hAnsi="Arial"/>
          <w:sz w:val="11"/>
          <w:szCs w:val="11"/>
          <w:color w:val="auto"/>
        </w:rPr>
        <w:t>” are, with respect to any Person, those resolutions adopted by such Person’s board of directors or equivalent governing body (and, if required under the terms of such Person’s Operating Documents, stockholders or equivalent equity 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1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is a day other than a Saturday, Sunday or other day on which commercial banks in the State of California are authorized or required by law to close, except if any determination of a “Business Day” shall relate to an FX Contract, the term “Business Day” shall also mean a day on which dealings are carried on in the country of settlement of the Foreign Currency.</w:t>
      </w:r>
    </w:p>
    <w:p>
      <w:pPr>
        <w:spacing w:after="0" w:line="107"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Cash Equivalents</w:t>
      </w:r>
      <w:r>
        <w:rPr>
          <w:rFonts w:ascii="Arial" w:cs="Arial" w:eastAsia="Arial" w:hAnsi="Arial"/>
          <w:sz w:val="11"/>
          <w:szCs w:val="11"/>
          <w:color w:val="auto"/>
        </w:rPr>
        <w:t>” are (a) marketable direct obligations issued or unconditionally guaranteed by the United States or any agency or any State thereof having maturities of not more than 1 year from the date of acquisition; (b) commercial paper maturing no more than 1 year after its creation and having the highest rating from either Standard &amp; Poor’s Ratings Group or Moody’s Investors Service, Inc.; (c) Bank’s certificates of deposit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991" w:right="29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color w:val="auto"/>
        </w:rPr>
        <w:t>maturing no more than 1 year after issue; and (d) money market funds at least 95.0% of the assets of which constitute Cash Equivalents of the kinds described in clauses (a) through (c) of this definition.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Cash Management Services</w:t>
      </w:r>
      <w:r>
        <w:rPr>
          <w:rFonts w:ascii="Arial" w:cs="Arial" w:eastAsia="Arial" w:hAnsi="Arial"/>
          <w:sz w:val="12"/>
          <w:szCs w:val="12"/>
          <w:color w:val="auto"/>
        </w:rPr>
        <w:t>” is defined in Section 1.3.</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Cayman Islands Electronic Signature Law</w:t>
      </w:r>
      <w:r>
        <w:rPr>
          <w:rFonts w:ascii="Arial" w:cs="Arial" w:eastAsia="Arial" w:hAnsi="Arial"/>
          <w:sz w:val="12"/>
          <w:szCs w:val="12"/>
          <w:color w:val="auto"/>
        </w:rPr>
        <w:t>” is defined in Section 11.9.</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CDEC</w:t>
      </w:r>
      <w:r>
        <w:rPr>
          <w:rFonts w:ascii="Arial" w:cs="Arial" w:eastAsia="Arial" w:hAnsi="Arial"/>
          <w:sz w:val="12"/>
          <w:szCs w:val="12"/>
          <w:color w:val="auto"/>
        </w:rPr>
        <w:t>” is defined in Section 2.1(e).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CDEC Subordination Agreement</w:t>
      </w:r>
      <w:r>
        <w:rPr>
          <w:rFonts w:ascii="Arial" w:cs="Arial" w:eastAsia="Arial" w:hAnsi="Arial"/>
          <w:sz w:val="12"/>
          <w:szCs w:val="12"/>
          <w:color w:val="auto"/>
        </w:rPr>
        <w:t>” is defined in Section 2.1(e).</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Change in Control</w:t>
      </w:r>
      <w:r>
        <w:rPr>
          <w:rFonts w:ascii="Arial" w:cs="Arial" w:eastAsia="Arial" w:hAnsi="Arial"/>
          <w:sz w:val="11"/>
          <w:szCs w:val="11"/>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40.0%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7 Business Days prior to the closing of the transaction and provides to Bank a description of the material terms of the transaction; (b) during any period of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100.0% of each class of outstanding stock, partnership, membership, or other ownership interest or other equity securities of each Subsidiary of Borrower free and clear of all Liens (except Permitted Liens).</w:t>
      </w:r>
    </w:p>
    <w:p>
      <w:pPr>
        <w:spacing w:after="0" w:line="11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Change in Law</w:t>
      </w:r>
      <w:r>
        <w:rPr>
          <w:rFonts w:ascii="Arial" w:cs="Arial" w:eastAsia="Arial" w:hAnsi="Arial"/>
          <w:sz w:val="11"/>
          <w:szCs w:val="11"/>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Chase Account</w:t>
      </w:r>
      <w:r>
        <w:rPr>
          <w:rFonts w:ascii="Arial" w:cs="Arial" w:eastAsia="Arial" w:hAnsi="Arial"/>
          <w:sz w:val="12"/>
          <w:szCs w:val="12"/>
          <w:color w:val="auto"/>
        </w:rPr>
        <w:t>” is defined in Section 5.7(a).</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Claims</w:t>
      </w:r>
      <w:r>
        <w:rPr>
          <w:rFonts w:ascii="Arial" w:cs="Arial" w:eastAsia="Arial" w:hAnsi="Arial"/>
          <w:sz w:val="12"/>
          <w:szCs w:val="12"/>
          <w:color w:val="auto"/>
        </w:rPr>
        <w:t>” is defined in Section 11.3.</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CMS</w:t>
      </w:r>
      <w:r>
        <w:rPr>
          <w:rFonts w:ascii="Arial" w:cs="Arial" w:eastAsia="Arial" w:hAnsi="Arial"/>
          <w:sz w:val="12"/>
          <w:szCs w:val="12"/>
          <w:color w:val="auto"/>
        </w:rPr>
        <w:t>” is defined in the definition of Medicare Regulations.</w:t>
      </w:r>
    </w:p>
    <w:p>
      <w:pPr>
        <w:spacing w:after="0" w:line="141"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995" w:right="299" w:bottom="1440" w:gutter="0" w:footer="0" w:header="0"/>
        </w:sectPr>
      </w:pPr>
    </w:p>
    <w:bookmarkStart w:id="127" w:name="page128"/>
    <w:bookmarkEnd w:id="12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w:t>
      </w:r>
      <w:r>
        <w:rPr>
          <w:rFonts w:ascii="Arial" w:cs="Arial" w:eastAsia="Arial" w:hAnsi="Arial"/>
          <w:sz w:val="12"/>
          <w:szCs w:val="12"/>
          <w:color w:val="auto"/>
        </w:rPr>
        <w:t>” consists of all of Borrower’s right, title and interest in and to the following personal property:</w:t>
      </w:r>
    </w:p>
    <w:p>
      <w:pPr>
        <w:spacing w:after="0" w:line="145" w:lineRule="exact"/>
        <w:rPr>
          <w:sz w:val="20"/>
          <w:szCs w:val="20"/>
          <w:color w:val="auto"/>
        </w:rPr>
      </w:pPr>
    </w:p>
    <w:p>
      <w:pPr>
        <w:jc w:val="both"/>
        <w:ind w:firstLine="856"/>
        <w:spacing w:after="0" w:line="241" w:lineRule="auto"/>
        <w:tabs>
          <w:tab w:leader="none" w:pos="1294" w:val="left"/>
        </w:tabs>
        <w:numPr>
          <w:ilvl w:val="0"/>
          <w:numId w:val="95"/>
        </w:numPr>
        <w:rPr>
          <w:rFonts w:ascii="Arial" w:cs="Arial" w:eastAsia="Arial" w:hAnsi="Arial"/>
          <w:sz w:val="12"/>
          <w:szCs w:val="12"/>
          <w:color w:val="auto"/>
        </w:rPr>
      </w:pPr>
      <w:r>
        <w:rPr>
          <w:rFonts w:ascii="Arial" w:cs="Arial" w:eastAsia="Arial" w:hAnsi="Arial"/>
          <w:sz w:val="12"/>
          <w:szCs w:val="12"/>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6" w:lineRule="exact"/>
        <w:rPr>
          <w:rFonts w:ascii="Arial" w:cs="Arial" w:eastAsia="Arial" w:hAnsi="Arial"/>
          <w:sz w:val="12"/>
          <w:szCs w:val="12"/>
          <w:color w:val="auto"/>
        </w:rPr>
      </w:pPr>
    </w:p>
    <w:p>
      <w:pPr>
        <w:jc w:val="both"/>
        <w:ind w:firstLine="856"/>
        <w:spacing w:after="0" w:line="268" w:lineRule="auto"/>
        <w:tabs>
          <w:tab w:leader="none" w:pos="1292" w:val="left"/>
        </w:tabs>
        <w:numPr>
          <w:ilvl w:val="0"/>
          <w:numId w:val="95"/>
        </w:numPr>
        <w:rPr>
          <w:rFonts w:ascii="Arial" w:cs="Arial" w:eastAsia="Arial" w:hAnsi="Arial"/>
          <w:sz w:val="11"/>
          <w:szCs w:val="11"/>
          <w:color w:val="auto"/>
        </w:rPr>
      </w:pPr>
      <w:r>
        <w:rPr>
          <w:rFonts w:ascii="Arial" w:cs="Arial" w:eastAsia="Arial" w:hAnsi="Arial"/>
          <w:sz w:val="11"/>
          <w:szCs w:val="11"/>
          <w:color w:val="auto"/>
        </w:rPr>
        <w:t>Notwithstanding the foregoing, the Collateral does not include (i) the Governmental Collection Account(s), (ii) with respect to stock in Foreign Subsidiaries, more than 65% of the presently existing and hereafter arising issued and outstanding shares of capital stock owned by Borrower in a Foreign Subsidiary, which shares entitle the holder thereof to vote for directors or any other matter, or (iii)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12" w:lineRule="exact"/>
        <w:rPr>
          <w:rFonts w:ascii="Arial" w:cs="Arial" w:eastAsia="Arial" w:hAnsi="Arial"/>
          <w:sz w:val="11"/>
          <w:szCs w:val="11"/>
          <w:color w:val="auto"/>
        </w:rPr>
      </w:pPr>
    </w:p>
    <w:p>
      <w:pPr>
        <w:ind w:left="1280" w:hanging="424"/>
        <w:spacing w:after="0"/>
        <w:tabs>
          <w:tab w:leader="none" w:pos="12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Pursuant to the terms of a certain negative pledge arrangement with Bank, Borrower has agreed not to encumber any of its Intellectual Property without Bank’s prior written consent.</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 Account</w:t>
      </w:r>
      <w:r>
        <w:rPr>
          <w:rFonts w:ascii="Arial" w:cs="Arial" w:eastAsia="Arial" w:hAnsi="Arial"/>
          <w:sz w:val="12"/>
          <w:szCs w:val="12"/>
          <w:color w:val="auto"/>
        </w:rPr>
        <w:t>” is any Deposit Account, Securities Account, or Commodity Account.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Commodity Account</w:t>
      </w:r>
      <w:r>
        <w:rPr>
          <w:rFonts w:ascii="Arial" w:cs="Arial" w:eastAsia="Arial" w:hAnsi="Arial"/>
          <w:sz w:val="12"/>
          <w:szCs w:val="12"/>
          <w:color w:val="auto"/>
        </w:rPr>
        <w:t>” is any “commodity account” as defined in the Code, with such additions to such term as may hereafter be made.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Compliance Statement</w:t>
      </w:r>
      <w:r>
        <w:rPr>
          <w:rFonts w:ascii="Arial" w:cs="Arial" w:eastAsia="Arial" w:hAnsi="Arial"/>
          <w:sz w:val="12"/>
          <w:szCs w:val="12"/>
          <w:color w:val="auto"/>
        </w:rPr>
        <w:t>” is that certain statement in the form attached hereto as Exhibit A.</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Connection Income Taxes</w:t>
      </w:r>
      <w:r>
        <w:rPr>
          <w:rFonts w:ascii="Arial" w:cs="Arial" w:eastAsia="Arial" w:hAnsi="Arial"/>
          <w:sz w:val="12"/>
          <w:szCs w:val="12"/>
          <w:color w:val="auto"/>
        </w:rPr>
        <w:t>” means Other Connection Taxes that are imposed on or measured by net income (however denominated) or that are franchise Taxes or branch profits Taxes.</w:t>
      </w:r>
    </w:p>
    <w:p>
      <w:pPr>
        <w:spacing w:after="0" w:line="141"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Contingent Obligation</w:t>
      </w:r>
      <w:r>
        <w:rPr>
          <w:rFonts w:ascii="Arial" w:cs="Arial" w:eastAsia="Arial" w:hAnsi="Arial"/>
          <w:sz w:val="12"/>
          <w:szCs w:val="12"/>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2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Control Agreement</w:t>
      </w:r>
      <w:r>
        <w:rPr>
          <w:rFonts w:ascii="Arial" w:cs="Arial" w:eastAsia="Arial" w:hAnsi="Arial"/>
          <w:sz w:val="11"/>
          <w:szCs w:val="11"/>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8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Copyrights</w:t>
      </w:r>
      <w:r>
        <w:rPr>
          <w:rFonts w:ascii="Arial" w:cs="Arial" w:eastAsia="Arial" w:hAnsi="Arial"/>
          <w:sz w:val="12"/>
          <w:szCs w:val="12"/>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991" w:right="299" w:bottom="1440" w:gutter="0" w:footer="0" w:header="0"/>
        </w:sectPr>
      </w:pPr>
    </w:p>
    <w:bookmarkStart w:id="128" w:name="page129"/>
    <w:bookmarkEnd w:id="128"/>
    <w:p>
      <w:pPr>
        <w:jc w:val="both"/>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Corporate Integrity Agreement</w:t>
      </w:r>
      <w:r>
        <w:rPr>
          <w:rFonts w:ascii="Arial" w:cs="Arial" w:eastAsia="Arial" w:hAnsi="Arial"/>
          <w:sz w:val="12"/>
          <w:szCs w:val="12"/>
          <w:color w:val="auto"/>
        </w:rPr>
        <w:t>” is an agreement executed by the OIG and healthcare providers and other entities as part of the settlement of federal healthcare program investigations arising under a variety of civil false claims statutes.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Credit Extension</w:t>
      </w:r>
      <w:r>
        <w:rPr>
          <w:rFonts w:ascii="Arial" w:cs="Arial" w:eastAsia="Arial" w:hAnsi="Arial"/>
          <w:sz w:val="12"/>
          <w:szCs w:val="12"/>
          <w:color w:val="auto"/>
        </w:rPr>
        <w:t>” is any Advance, Letter of Credit, amount utilized for Cash Management Services, FX Contract, or any other extension of credit by Bank for Borrower’s benefit.</w:t>
      </w:r>
    </w:p>
    <w:p>
      <w:pPr>
        <w:spacing w:after="0" w:line="14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Current Liabilities</w:t>
      </w:r>
      <w:r>
        <w:rPr>
          <w:rFonts w:ascii="Arial" w:cs="Arial" w:eastAsia="Arial" w:hAnsi="Arial"/>
          <w:sz w:val="12"/>
          <w:szCs w:val="12"/>
          <w:color w:val="auto"/>
        </w:rPr>
        <w:t>” are (a) all Obligations of Borrower to Bank (including the aggregate Dollar Equivalent of the face amount of outstanding Letters of Credit (including drawn but unreimbursed Letters of Credit and any Letter of Credit Reserve)), plus (b) without duplication of (a), the aggregate amount of Borrower’s Total Liabilities that mature within one (1) year.</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Default</w:t>
      </w:r>
      <w:r>
        <w:rPr>
          <w:rFonts w:ascii="Arial" w:cs="Arial" w:eastAsia="Arial" w:hAnsi="Arial"/>
          <w:sz w:val="12"/>
          <w:szCs w:val="12"/>
          <w:color w:val="auto"/>
        </w:rPr>
        <w:t>” means any event which with notice or passage of time or both, would constitute an Event of Default.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Default Rate</w:t>
      </w:r>
      <w:r>
        <w:rPr>
          <w:rFonts w:ascii="Arial" w:cs="Arial" w:eastAsia="Arial" w:hAnsi="Arial"/>
          <w:sz w:val="12"/>
          <w:szCs w:val="12"/>
          <w:color w:val="auto"/>
        </w:rPr>
        <w:t>” is defined in Section 1.4(c).</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Deferred Revenue</w:t>
      </w:r>
      <w:r>
        <w:rPr>
          <w:rFonts w:ascii="Arial" w:cs="Arial" w:eastAsia="Arial" w:hAnsi="Arial"/>
          <w:sz w:val="12"/>
          <w:szCs w:val="12"/>
          <w:color w:val="auto"/>
        </w:rPr>
        <w:t>” is all amounts received or invoiced in advance of performance under contracts and not yet recognized as revenue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Deposit Account</w:t>
      </w:r>
      <w:r>
        <w:rPr>
          <w:rFonts w:ascii="Arial" w:cs="Arial" w:eastAsia="Arial" w:hAnsi="Arial"/>
          <w:sz w:val="12"/>
          <w:szCs w:val="12"/>
          <w:color w:val="auto"/>
        </w:rPr>
        <w:t>” is any “</w:t>
      </w:r>
      <w:r>
        <w:rPr>
          <w:rFonts w:ascii="Arial" w:cs="Arial" w:eastAsia="Arial" w:hAnsi="Arial"/>
          <w:sz w:val="12"/>
          <w:szCs w:val="12"/>
          <w:b w:val="1"/>
          <w:bCs w:val="1"/>
          <w:color w:val="auto"/>
        </w:rPr>
        <w:t>deposit account</w:t>
      </w:r>
      <w:r>
        <w:rPr>
          <w:rFonts w:ascii="Arial" w:cs="Arial" w:eastAsia="Arial" w:hAnsi="Arial"/>
          <w:sz w:val="12"/>
          <w:szCs w:val="12"/>
          <w:color w:val="auto"/>
        </w:rPr>
        <w:t>” as defined in the Code with such additions to such term as may hereafter be made.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Designated Deposit Account</w:t>
      </w:r>
      <w:r>
        <w:rPr>
          <w:rFonts w:ascii="Arial" w:cs="Arial" w:eastAsia="Arial" w:hAnsi="Arial"/>
          <w:sz w:val="12"/>
          <w:szCs w:val="12"/>
          <w:color w:val="auto"/>
        </w:rPr>
        <w:t>” is the deposit account established by Borrower with Bank for purposes of receiving Credit Extensions.</w:t>
      </w:r>
    </w:p>
    <w:p>
      <w:pPr>
        <w:spacing w:after="0" w:line="141" w:lineRule="exact"/>
        <w:rPr>
          <w:sz w:val="20"/>
          <w:szCs w:val="20"/>
          <w:color w:val="auto"/>
        </w:rPr>
      </w:pPr>
    </w:p>
    <w:p>
      <w:pPr>
        <w:jc w:val="both"/>
        <w:ind w:right="20"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Division</w:t>
      </w:r>
      <w:r>
        <w:rPr>
          <w:rFonts w:ascii="Arial" w:cs="Arial" w:eastAsia="Arial" w:hAnsi="Arial"/>
          <w:sz w:val="11"/>
          <w:szCs w:val="11"/>
          <w:color w:val="auto"/>
        </w:rPr>
        <w:t>” means, in reference to any Person which is an entity, the division of such Person into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9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Dollars</w:t>
      </w:r>
      <w:r>
        <w:rPr>
          <w:rFonts w:ascii="Arial" w:cs="Arial" w:eastAsia="Arial" w:hAnsi="Arial"/>
          <w:sz w:val="12"/>
          <w:szCs w:val="12"/>
          <w:color w:val="auto"/>
        </w:rPr>
        <w:t>,” “</w:t>
      </w:r>
      <w:r>
        <w:rPr>
          <w:rFonts w:ascii="Arial" w:cs="Arial" w:eastAsia="Arial" w:hAnsi="Arial"/>
          <w:sz w:val="12"/>
          <w:szCs w:val="12"/>
          <w:b w:val="1"/>
          <w:bCs w:val="1"/>
          <w:color w:val="auto"/>
        </w:rPr>
        <w:t>dollars</w:t>
      </w:r>
      <w:r>
        <w:rPr>
          <w:rFonts w:ascii="Arial" w:cs="Arial" w:eastAsia="Arial" w:hAnsi="Arial"/>
          <w:sz w:val="12"/>
          <w:szCs w:val="12"/>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07"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Dollar Equivalent</w:t>
      </w:r>
      <w:r>
        <w:rPr>
          <w:rFonts w:ascii="Arial" w:cs="Arial" w:eastAsia="Arial" w:hAnsi="Arial"/>
          <w:sz w:val="11"/>
          <w:szCs w:val="11"/>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Domestic Subsidiary</w:t>
      </w:r>
      <w:r>
        <w:rPr>
          <w:rFonts w:ascii="Arial" w:cs="Arial" w:eastAsia="Arial" w:hAnsi="Arial"/>
          <w:sz w:val="12"/>
          <w:szCs w:val="12"/>
          <w:color w:val="auto"/>
        </w:rPr>
        <w:t>” means a Subsidiary organized under the laws of the United States or any state or territory thereof or the District of Columbia.</w:t>
      </w:r>
    </w:p>
    <w:p>
      <w:pPr>
        <w:spacing w:after="0" w:line="141"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EBITDA</w:t>
      </w:r>
      <w:r>
        <w:rPr>
          <w:rFonts w:ascii="Arial" w:cs="Arial" w:eastAsia="Arial" w:hAnsi="Arial"/>
          <w:sz w:val="12"/>
          <w:szCs w:val="12"/>
          <w:color w:val="auto"/>
        </w:rPr>
        <w:t>” shall mean (a) Net Income, plus (b) to the extent deducted in the calculation of Net Income (i) Interest Expense, (ii) depreciation expense and amortization expense, (iii) income tax expense, (iv) provisions for taxes based on income, profits or capital, including federal, foreign, state, franchise, excise, and similar taxes paid or accrued, including any and all present or future stamp or documentary taxes or any other excise or property taxes, charges or similar levies arising from any payment made under the Loan Documents or from the execution, delivery or enforcement of, or otherwise with respect thereto, (v) management and board of director fees, (vi) non-cash stock compensation expense, and (vii) other non-cash items reducing Net Income.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is set forth on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991" w:right="299" w:bottom="1440" w:gutter="0" w:footer="0" w:header="0"/>
        </w:sectPr>
      </w:pPr>
    </w:p>
    <w:bookmarkStart w:id="129" w:name="page130"/>
    <w:bookmarkEnd w:id="129"/>
    <w:p>
      <w:pPr>
        <w:jc w:val="both"/>
        <w:ind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Environmental Laws</w:t>
      </w:r>
      <w:r>
        <w:rPr>
          <w:rFonts w:ascii="Arial" w:cs="Arial" w:eastAsia="Arial" w:hAnsi="Arial"/>
          <w:sz w:val="11"/>
          <w:szCs w:val="11"/>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8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Equipment</w:t>
      </w:r>
      <w:r>
        <w:rPr>
          <w:rFonts w:ascii="Arial" w:cs="Arial" w:eastAsia="Arial" w:hAnsi="Arial"/>
          <w:sz w:val="12"/>
          <w:szCs w:val="12"/>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ERISA</w:t>
      </w:r>
      <w:r>
        <w:rPr>
          <w:rFonts w:ascii="Arial" w:cs="Arial" w:eastAsia="Arial" w:hAnsi="Arial"/>
          <w:sz w:val="12"/>
          <w:szCs w:val="12"/>
          <w:color w:val="auto"/>
        </w:rPr>
        <w:t>” is the Employee Retirement Income Security Act of 1974, as amended, and its regulations.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Event of Default</w:t>
      </w:r>
      <w:r>
        <w:rPr>
          <w:rFonts w:ascii="Arial" w:cs="Arial" w:eastAsia="Arial" w:hAnsi="Arial"/>
          <w:sz w:val="12"/>
          <w:szCs w:val="12"/>
          <w:color w:val="auto"/>
        </w:rPr>
        <w:t>” is defined in Section 7.</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is the Securities Exchange Act of 1934, as amended.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Accounts</w:t>
      </w:r>
      <w:r>
        <w:rPr>
          <w:rFonts w:ascii="Arial" w:cs="Arial" w:eastAsia="Arial" w:hAnsi="Arial"/>
          <w:sz w:val="12"/>
          <w:szCs w:val="12"/>
          <w:color w:val="auto"/>
        </w:rPr>
        <w:t>” is defined in Section 5.7(c).</w:t>
      </w:r>
    </w:p>
    <w:p>
      <w:pPr>
        <w:spacing w:after="0" w:line="141"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Taxes</w:t>
      </w:r>
      <w:r>
        <w:rPr>
          <w:rFonts w:ascii="Arial" w:cs="Arial" w:eastAsia="Arial" w:hAnsi="Arial"/>
          <w:sz w:val="12"/>
          <w:szCs w:val="12"/>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or the Revolving Line pursuant to a law in effect on the date on which (i) Bank acquires such interest in the Credit Extensions or Revolving Line or (ii) Bank changes its lending office, except in each case to the extent that, pursuant to Section 1.8, amounts with respect to such Taxes were payable either to Bank’s assignor immediately before Bank became a party hereto or to Bank immediately before it changed its lending office, (c) Taxes attributable to Bank’s failure to comply with Section 1.8(e), and (d) any withholding Taxes imposed under FATCA.</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Exclusion Event</w:t>
      </w:r>
      <w:r>
        <w:rPr>
          <w:rFonts w:ascii="Arial" w:cs="Arial" w:eastAsia="Arial" w:hAnsi="Arial"/>
          <w:sz w:val="12"/>
          <w:szCs w:val="12"/>
          <w:color w:val="auto"/>
        </w:rPr>
        <w:t>” means an event or events resulting in the exclusion of Borrower or any Guarantor from participation in any Medical Reimbursement Program.</w:t>
      </w:r>
    </w:p>
    <w:p>
      <w:pPr>
        <w:spacing w:after="0" w:line="14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FATCA</w:t>
      </w:r>
      <w:r>
        <w:rPr>
          <w:rFonts w:ascii="Arial" w:cs="Arial" w:eastAsia="Arial" w:hAnsi="Arial"/>
          <w:sz w:val="11"/>
          <w:szCs w:val="11"/>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Financial Statement Repository</w:t>
      </w:r>
      <w:r>
        <w:rPr>
          <w:rFonts w:ascii="Arial" w:cs="Arial" w:eastAsia="Arial" w:hAnsi="Arial"/>
          <w:sz w:val="11"/>
          <w:szCs w:val="11"/>
          <w:color w:val="auto"/>
        </w:rPr>
        <w:t>” is NEDevice&amp;DigHealth@svb.com or such other means of collecting information approved and designated by Bank after providing notice thereof to Borrower from time to time.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Foreign Currency</w:t>
      </w:r>
      <w:r>
        <w:rPr>
          <w:rFonts w:ascii="Arial" w:cs="Arial" w:eastAsia="Arial" w:hAnsi="Arial"/>
          <w:sz w:val="12"/>
          <w:szCs w:val="12"/>
          <w:color w:val="auto"/>
        </w:rPr>
        <w:t>” is the lawful money of a country other than the United States.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Foreign Subsidiary</w:t>
      </w:r>
      <w:r>
        <w:rPr>
          <w:rFonts w:ascii="Arial" w:cs="Arial" w:eastAsia="Arial" w:hAnsi="Arial"/>
          <w:sz w:val="12"/>
          <w:szCs w:val="12"/>
          <w:color w:val="auto"/>
        </w:rPr>
        <w:t>” means any Subsidiary which is not a Domestic Subsidiary.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Funding Date</w:t>
      </w:r>
      <w:r>
        <w:rPr>
          <w:rFonts w:ascii="Arial" w:cs="Arial" w:eastAsia="Arial" w:hAnsi="Arial"/>
          <w:sz w:val="12"/>
          <w:szCs w:val="12"/>
          <w:color w:val="auto"/>
        </w:rPr>
        <w:t>” is any date on which a Credit Extension is made to or for the account of Borrower which shall be a Business Day.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FX Contract</w:t>
      </w:r>
      <w:r>
        <w:rPr>
          <w:rFonts w:ascii="Arial" w:cs="Arial" w:eastAsia="Arial" w:hAnsi="Arial"/>
          <w:sz w:val="11"/>
          <w:szCs w:val="11"/>
          <w:color w:val="auto"/>
        </w:rPr>
        <w:t>” is any foreign exchange contract by and between Borrower and Bank under which Borrower commits to purchase from or sell to Bank a specific amount of Foreign Currency at a set price or on a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991" w:right="299" w:bottom="1440" w:gutter="0" w:footer="0" w:header="0"/>
        </w:sectPr>
      </w:pPr>
    </w:p>
    <w:bookmarkStart w:id="130" w:name="page131"/>
    <w:bookmarkEnd w:id="130"/>
    <w:p>
      <w:pPr>
        <w:jc w:val="both"/>
        <w:ind w:firstLine="432"/>
        <w:spacing w:after="0" w:line="25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1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General Intangibles</w:t>
      </w:r>
      <w:r>
        <w:rPr>
          <w:rFonts w:ascii="Arial" w:cs="Arial" w:eastAsia="Arial" w:hAnsi="Arial"/>
          <w:sz w:val="11"/>
          <w:szCs w:val="11"/>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Account Debtor</w:t>
      </w:r>
      <w:r>
        <w:rPr>
          <w:rFonts w:ascii="Arial" w:cs="Arial" w:eastAsia="Arial" w:hAnsi="Arial"/>
          <w:sz w:val="12"/>
          <w:szCs w:val="12"/>
          <w:color w:val="auto"/>
        </w:rPr>
        <w:t>” means an account debtor making payments under Medicare, Medicaid, TRICARE and any other health care program operated by or financed in whole or in part by any federal, state or local government (but specifically excluding Medicare Advantage plans).</w:t>
      </w:r>
    </w:p>
    <w:p>
      <w:pPr>
        <w:spacing w:after="0" w:line="10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Approval</w:t>
      </w:r>
      <w:r>
        <w:rPr>
          <w:rFonts w:ascii="Arial" w:cs="Arial" w:eastAsia="Arial" w:hAnsi="Arial"/>
          <w:sz w:val="12"/>
          <w:szCs w:val="12"/>
          <w:color w:val="auto"/>
        </w:rPr>
        <w:t>” is any consent, authorization, approval, order, license, franchise, permit, certificate, accreditation, registration, filing or notice, of, issued by, from or to, or other act by or in respect of, any Governmental Authority, including, without limitation, Healthcare Permits.</w:t>
      </w:r>
    </w:p>
    <w:p>
      <w:pPr>
        <w:spacing w:after="0" w:line="107"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Collection Account(s)</w:t>
      </w:r>
      <w:r>
        <w:rPr>
          <w:rFonts w:ascii="Arial" w:cs="Arial" w:eastAsia="Arial" w:hAnsi="Arial"/>
          <w:sz w:val="12"/>
          <w:szCs w:val="12"/>
          <w:color w:val="auto"/>
        </w:rPr>
        <w:t>” is/are Borrower’s segregated operating account(s) held at Bank which shall collect all payments in respect of Accounts payable by Governmental Account Debtors.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Guarantor</w:t>
      </w:r>
      <w:r>
        <w:rPr>
          <w:rFonts w:ascii="Arial" w:cs="Arial" w:eastAsia="Arial" w:hAnsi="Arial"/>
          <w:sz w:val="12"/>
          <w:szCs w:val="12"/>
          <w:color w:val="auto"/>
        </w:rPr>
        <w:t>” is any Person providing a Guaranty in favor of Bank.</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Guaranty</w:t>
      </w:r>
      <w:r>
        <w:rPr>
          <w:rFonts w:ascii="Arial" w:cs="Arial" w:eastAsia="Arial" w:hAnsi="Arial"/>
          <w:sz w:val="12"/>
          <w:szCs w:val="12"/>
          <w:color w:val="auto"/>
        </w:rPr>
        <w:t>” is any guarantee of all or any part of the Obligations, as the same may from time to time be amended, restated, modified or otherwise supplemented.</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Healthcare Laws</w:t>
      </w:r>
      <w:r>
        <w:rPr>
          <w:rFonts w:ascii="Arial" w:cs="Arial" w:eastAsia="Arial" w:hAnsi="Arial"/>
          <w:sz w:val="11"/>
          <w:szCs w:val="11"/>
          <w:color w:val="auto"/>
        </w:rPr>
        <w:t>”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Healthcare Permit</w:t>
      </w:r>
      <w:r>
        <w:rPr>
          <w:rFonts w:ascii="Arial" w:cs="Arial" w:eastAsia="Arial" w:hAnsi="Arial"/>
          <w:sz w:val="11"/>
          <w:szCs w:val="11"/>
          <w:color w:val="auto"/>
        </w:rPr>
        <w:t>” means, with respect to any Person, a permit issued or required under Healthcare Laws applicable to the business of Borrower or any Guarantor, or necessary in the testing, possession, manufacture,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991" w:right="299"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color w:val="auto"/>
        </w:rPr>
        <w:t>ownership, warehousing, marketing, promoting, sale, labeling, furnishing, distribution or delivery of goods or services under Healthcare Laws applicable to the business of Borrower or any Guarantor.</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HHS</w:t>
      </w:r>
      <w:r>
        <w:rPr>
          <w:rFonts w:ascii="Arial" w:cs="Arial" w:eastAsia="Arial" w:hAnsi="Arial"/>
          <w:sz w:val="12"/>
          <w:szCs w:val="12"/>
          <w:color w:val="auto"/>
        </w:rPr>
        <w:t>” is defined in the definition of OIG.</w:t>
      </w:r>
    </w:p>
    <w:p>
      <w:pPr>
        <w:spacing w:after="0" w:line="14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HIPAA</w:t>
      </w:r>
      <w:r>
        <w:rPr>
          <w:rFonts w:ascii="Arial" w:cs="Arial" w:eastAsia="Arial" w:hAnsi="Arial"/>
          <w:sz w:val="12"/>
          <w:szCs w:val="12"/>
          <w:color w:val="auto"/>
        </w:rPr>
        <w:t>” means, collectively, the Health Insurance Portability and Accountability Act of 1996, as amended by the Health Information Technology for Economic Clinical Health (HITECKH) Act and the implementing regulations thereto.</w:t>
      </w:r>
    </w:p>
    <w:p>
      <w:pPr>
        <w:spacing w:after="0" w:line="107" w:lineRule="exact"/>
        <w:rPr>
          <w:sz w:val="20"/>
          <w:szCs w:val="20"/>
          <w:color w:val="auto"/>
        </w:rPr>
      </w:pPr>
    </w:p>
    <w:p>
      <w:pPr>
        <w:ind w:right="20"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Indebtedness</w:t>
      </w:r>
      <w:r>
        <w:rPr>
          <w:rFonts w:ascii="Arial" w:cs="Arial" w:eastAsia="Arial" w:hAnsi="Arial"/>
          <w:sz w:val="11"/>
          <w:szCs w:val="11"/>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Person</w:t>
      </w:r>
      <w:r>
        <w:rPr>
          <w:rFonts w:ascii="Arial" w:cs="Arial" w:eastAsia="Arial" w:hAnsi="Arial"/>
          <w:sz w:val="12"/>
          <w:szCs w:val="12"/>
          <w:color w:val="auto"/>
        </w:rPr>
        <w:t>” is defined in Section 11.3.</w:t>
      </w:r>
    </w:p>
    <w:p>
      <w:pPr>
        <w:spacing w:after="0" w:line="141" w:lineRule="exact"/>
        <w:rPr>
          <w:sz w:val="20"/>
          <w:szCs w:val="20"/>
          <w:color w:val="auto"/>
        </w:rPr>
      </w:pPr>
    </w:p>
    <w:p>
      <w:pPr>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Taxes</w:t>
      </w:r>
      <w:r>
        <w:rPr>
          <w:rFonts w:ascii="Arial" w:cs="Arial" w:eastAsia="Arial" w:hAnsi="Arial"/>
          <w:sz w:val="12"/>
          <w:szCs w:val="12"/>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Information</w:t>
      </w:r>
      <w:r>
        <w:rPr>
          <w:rFonts w:ascii="Arial" w:cs="Arial" w:eastAsia="Arial" w:hAnsi="Arial"/>
          <w:sz w:val="12"/>
          <w:szCs w:val="12"/>
          <w:color w:val="auto"/>
        </w:rPr>
        <w:t>” is defined in Section 11.8.</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Audit</w:t>
      </w:r>
      <w:r>
        <w:rPr>
          <w:rFonts w:ascii="Arial" w:cs="Arial" w:eastAsia="Arial" w:hAnsi="Arial"/>
          <w:sz w:val="12"/>
          <w:szCs w:val="12"/>
          <w:color w:val="auto"/>
        </w:rPr>
        <w:t>” is Bank’s inspection of Borrower’s Accounts, the Collateral, and Borrower’s Books, with results satisfactory to Bank in its sole discretion.</w:t>
      </w:r>
    </w:p>
    <w:p>
      <w:pPr>
        <w:spacing w:after="0" w:line="14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Insolvency Proceeding</w:t>
      </w:r>
      <w:r>
        <w:rPr>
          <w:rFonts w:ascii="Arial" w:cs="Arial" w:eastAsia="Arial" w:hAnsi="Arial"/>
          <w:sz w:val="12"/>
          <w:szCs w:val="12"/>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w:t>
      </w:r>
      <w:r>
        <w:rPr>
          <w:rFonts w:ascii="Arial" w:cs="Arial" w:eastAsia="Arial" w:hAnsi="Arial"/>
          <w:sz w:val="12"/>
          <w:szCs w:val="12"/>
          <w:color w:val="auto"/>
        </w:rPr>
        <w:t>” means, with respect to any Person, all of such Person’s right, title, and interest in and to the following:</w:t>
      </w:r>
    </w:p>
    <w:p>
      <w:pPr>
        <w:spacing w:after="0" w:line="145" w:lineRule="exact"/>
        <w:rPr>
          <w:sz w:val="20"/>
          <w:szCs w:val="20"/>
          <w:color w:val="auto"/>
        </w:rPr>
      </w:pPr>
    </w:p>
    <w:p>
      <w:pPr>
        <w:ind w:left="1280" w:hanging="424"/>
        <w:spacing w:after="0"/>
        <w:tabs>
          <w:tab w:leader="none" w:pos="12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its Copyrights, Trademarks and Patents;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any and all trade secrets and trade secret rights, including, without limitation, any rights to unpatented inventions, know-how and operating manuals;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any and all source code;</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any and all design rights which may be available to such Person;</w:t>
      </w:r>
    </w:p>
    <w:p>
      <w:pPr>
        <w:spacing w:after="0" w:line="141" w:lineRule="exact"/>
        <w:rPr>
          <w:rFonts w:ascii="Arial" w:cs="Arial" w:eastAsia="Arial" w:hAnsi="Arial"/>
          <w:sz w:val="12"/>
          <w:szCs w:val="12"/>
          <w:color w:val="auto"/>
        </w:rPr>
      </w:pPr>
    </w:p>
    <w:p>
      <w:pPr>
        <w:ind w:firstLine="856"/>
        <w:spacing w:after="0" w:line="260" w:lineRule="auto"/>
        <w:tabs>
          <w:tab w:leader="none" w:pos="1294"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all amendments, renewals and extensions of any of the Copyrights, Trademarks or Patents.</w:t>
      </w:r>
    </w:p>
    <w:p>
      <w:pPr>
        <w:spacing w:after="0" w:line="13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Interest Expense</w:t>
      </w:r>
      <w:r>
        <w:rPr>
          <w:rFonts w:ascii="Arial" w:cs="Arial" w:eastAsia="Arial" w:hAnsi="Arial"/>
          <w:sz w:val="11"/>
          <w:szCs w:val="11"/>
          <w:color w:val="auto"/>
        </w:rPr>
        <w:t>” means for any fiscal period, interest expense (whether cash or non-cash) determined in accordance with GAAP for the relevant period ending on such date, including, in any event, interest expense with respect to any Credit Extension and other Indebtedness of Target,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995" w:right="299" w:bottom="1440" w:gutter="0" w:footer="0" w:header="0"/>
        </w:sectPr>
      </w:pPr>
    </w:p>
    <w:bookmarkStart w:id="132" w:name="page133"/>
    <w:bookmarkEnd w:id="132"/>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Internal Revenue Code</w:t>
      </w:r>
      <w:r>
        <w:rPr>
          <w:rFonts w:ascii="Arial" w:cs="Arial" w:eastAsia="Arial" w:hAnsi="Arial"/>
          <w:sz w:val="12"/>
          <w:szCs w:val="12"/>
          <w:color w:val="auto"/>
        </w:rPr>
        <w:t>” means the U.S. Internal Revenue Code of 1986, and the rules and regulations promulgated thereunder, each as amended or modified from time to time.</w:t>
      </w:r>
    </w:p>
    <w:p>
      <w:pPr>
        <w:spacing w:after="0" w:line="14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Inventory</w:t>
      </w:r>
      <w:r>
        <w:rPr>
          <w:rFonts w:ascii="Arial" w:cs="Arial" w:eastAsia="Arial" w:hAnsi="Arial"/>
          <w:sz w:val="12"/>
          <w:szCs w:val="12"/>
          <w:color w:val="auto"/>
        </w:rPr>
        <w:t>” is all “</w:t>
      </w:r>
      <w:r>
        <w:rPr>
          <w:rFonts w:ascii="Arial" w:cs="Arial" w:eastAsia="Arial" w:hAnsi="Arial"/>
          <w:sz w:val="12"/>
          <w:szCs w:val="12"/>
          <w:b w:val="1"/>
          <w:bCs w:val="1"/>
          <w:color w:val="auto"/>
        </w:rPr>
        <w:t>inventory</w:t>
      </w:r>
      <w:r>
        <w:rPr>
          <w:rFonts w:ascii="Arial" w:cs="Arial" w:eastAsia="Arial" w:hAnsi="Arial"/>
          <w:sz w:val="12"/>
          <w:szCs w:val="12"/>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Investment</w:t>
      </w:r>
      <w:r>
        <w:rPr>
          <w:rFonts w:ascii="Arial" w:cs="Arial" w:eastAsia="Arial" w:hAnsi="Arial"/>
          <w:sz w:val="11"/>
          <w:szCs w:val="11"/>
          <w:color w:val="auto"/>
        </w:rPr>
        <w:t>” is any beneficial ownership interest in any Person (including stock, partnership, membership, or other ownership interest or other equity securities), and any loan, advance or capital contribution to any Person.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Key Person</w:t>
      </w:r>
      <w:r>
        <w:rPr>
          <w:rFonts w:ascii="Arial" w:cs="Arial" w:eastAsia="Arial" w:hAnsi="Arial"/>
          <w:sz w:val="12"/>
          <w:szCs w:val="12"/>
          <w:color w:val="auto"/>
        </w:rPr>
        <w:t>” is each of Borrower’s Chief Executive Officer and Chief Financial Officer.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Letter of Credit</w:t>
      </w:r>
      <w:r>
        <w:rPr>
          <w:rFonts w:ascii="Arial" w:cs="Arial" w:eastAsia="Arial" w:hAnsi="Arial"/>
          <w:sz w:val="11"/>
          <w:szCs w:val="11"/>
          <w:color w:val="auto"/>
        </w:rPr>
        <w:t>” is a standby or commercial letter of credit issued by Bank upon request of Borrower based upon an application, guarantee, indemnity, or similar agreement on the part of Bank as set forth in Section 1.2.</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Letter of Credit Application</w:t>
      </w:r>
      <w:r>
        <w:rPr>
          <w:rFonts w:ascii="Arial" w:cs="Arial" w:eastAsia="Arial" w:hAnsi="Arial"/>
          <w:sz w:val="12"/>
          <w:szCs w:val="12"/>
          <w:color w:val="auto"/>
        </w:rPr>
        <w:t>” is defined in Section 1.2(c).</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Letter of Credit Fee</w:t>
      </w:r>
      <w:r>
        <w:rPr>
          <w:rFonts w:ascii="Arial" w:cs="Arial" w:eastAsia="Arial" w:hAnsi="Arial"/>
          <w:sz w:val="12"/>
          <w:szCs w:val="12"/>
          <w:color w:val="auto"/>
        </w:rPr>
        <w:t>” is a fee equal to 1.50% per annum of the Dollar Equivalent of the face amount of each Letter of Credit issued according to Section 1.2.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Letter of Credit Reserve</w:t>
      </w:r>
      <w:r>
        <w:rPr>
          <w:rFonts w:ascii="Arial" w:cs="Arial" w:eastAsia="Arial" w:hAnsi="Arial"/>
          <w:sz w:val="12"/>
          <w:szCs w:val="12"/>
          <w:color w:val="auto"/>
        </w:rPr>
        <w:t>” is defined in Section 1.2(f).</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Lien</w:t>
      </w:r>
      <w:r>
        <w:rPr>
          <w:rFonts w:ascii="Arial" w:cs="Arial" w:eastAsia="Arial" w:hAnsi="Arial"/>
          <w:sz w:val="10"/>
          <w:szCs w:val="10"/>
          <w:color w:val="auto"/>
        </w:rPr>
        <w:t>” is a claim, mortgage, deed of trust, levy, attachment charge, pledge, hypothecation, security interest or other encumbrance of any kind, whether voluntarily incurred or arising by operation of law or otherwise against any</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property.</w:t>
      </w:r>
    </w:p>
    <w:p>
      <w:pPr>
        <w:spacing w:after="0" w:line="127"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Liquidity</w:t>
      </w:r>
      <w:r>
        <w:rPr>
          <w:rFonts w:ascii="Arial" w:cs="Arial" w:eastAsia="Arial" w:hAnsi="Arial"/>
          <w:sz w:val="11"/>
          <w:szCs w:val="11"/>
          <w:color w:val="auto"/>
        </w:rPr>
        <w:t>” is, at any time (a) Borrower’s unrestricted and unencumbered cash maintained at Bank, minus (b) the sum of (i) all outstanding principal amounts of any Advances, (ii) the aggregate Dollar Equivalent of the face amount of outstanding Letters of Credit (including drawn but unreimbursed Letters of Credit and any Letter of Credit Reserve), and (iii) all outstanding amounts used for Cash Management Services.</w:t>
      </w:r>
    </w:p>
    <w:p>
      <w:pPr>
        <w:spacing w:after="0" w:line="8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Loan Documents</w:t>
      </w:r>
      <w:r>
        <w:rPr>
          <w:rFonts w:ascii="Arial" w:cs="Arial" w:eastAsia="Arial" w:hAnsi="Arial"/>
          <w:sz w:val="11"/>
          <w:szCs w:val="11"/>
          <w:color w:val="auto"/>
        </w:rPr>
        <w:t>” are, collectively, this Agreement and any schedules, exhibits, certificates, notices, and any other documents related to this Agreement, the Perfection Certificate, the CDEC Subordination Agreement, any Control Agreements,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Net Income</w:t>
      </w:r>
      <w:r>
        <w:rPr>
          <w:rFonts w:ascii="Arial" w:cs="Arial" w:eastAsia="Arial" w:hAnsi="Arial"/>
          <w:sz w:val="12"/>
          <w:szCs w:val="12"/>
          <w:color w:val="auto"/>
        </w:rPr>
        <w:t>” means, for any period as at any date of determination, the net profit (or loss), after provision for taxes, of Target for such period taken as a single accounting period.</w:t>
      </w:r>
    </w:p>
    <w:p>
      <w:pPr>
        <w:spacing w:after="0" w:line="14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Change</w:t>
      </w:r>
      <w:r>
        <w:rPr>
          <w:rFonts w:ascii="Arial" w:cs="Arial" w:eastAsia="Arial" w:hAnsi="Arial"/>
          <w:sz w:val="12"/>
          <w:szCs w:val="12"/>
          <w:color w:val="auto"/>
        </w:rPr>
        <w:t>” is (a) a material impairment in the perfection or priority of Bank’s Lien in the Collateral or in the value of such Collateral; (b) 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substantial likelihood that Borrower shall fail to comply with one or more of the financial covenants in Section 5 during the next succeeding financial reporting period.</w:t>
      </w:r>
    </w:p>
    <w:p>
      <w:pPr>
        <w:spacing w:after="0" w:line="11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Medicaid</w:t>
      </w:r>
      <w:r>
        <w:rPr>
          <w:rFonts w:ascii="Arial" w:cs="Arial" w:eastAsia="Arial" w:hAnsi="Arial"/>
          <w:sz w:val="12"/>
          <w:szCs w:val="12"/>
          <w:color w:val="auto"/>
        </w:rPr>
        <w:t>” means that means-tested entitlement program under Title XIX of the Social Security Act, which provides federal grants to states for medical assistance based on specific eligibility criteria, as set forth at Section 1396, et seq. of Title 42 of the United States Code, as amended, and any statute succeeding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991" w:right="299" w:bottom="1440" w:gutter="0" w:footer="0" w:header="0"/>
        </w:sectPr>
      </w:pPr>
    </w:p>
    <w:bookmarkStart w:id="133" w:name="page134"/>
    <w:bookmarkEnd w:id="133"/>
    <w:p>
      <w:pPr>
        <w:jc w:val="both"/>
        <w:ind w:firstLine="432"/>
        <w:spacing w:after="0" w:line="26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Medicaid Regulations</w:t>
      </w:r>
      <w:r>
        <w:rPr>
          <w:rFonts w:ascii="Arial" w:cs="Arial" w:eastAsia="Arial" w:hAnsi="Arial"/>
          <w:sz w:val="11"/>
          <w:szCs w:val="11"/>
          <w:color w:val="auto"/>
        </w:rPr>
        <w:t>” means, collectively, (i) all federal statutes (whether set forth in Title XIX of the Social Security Act or elsewhere) affecting the medical assistance program established by Title XIX of the Social Security Act and any statutes succeeding thereto; (ii) all applicable provisions of all federal rules, regulations, manuals and orders of all Governmental Authorities promulgated pursuant to or in connection with the statutes described in clause (i) above and all federal administrative, reimbursement and other guidelines of all Governmental Authorities having the force of law promulgated pursuant to or in connection with the statutes described in clause (i) above; (iii) all state statutes and plans for medical assistance enacted in connection with the statutes and provisions described in clauses (i) and (ii) above; and (iv) all applicable provisions of all rules, regulations, manuals and orders of all Governmental Authorities promulgated pursuant to or in connection with the statutes described in clause (iii) above and all state administrative, reimbursement and other guidelines of all Governmental Authorities having the force of law promulgated pursuant to or in connection with the statutes described in clause (ii) above, in each case as may be amended, supplemented or otherwise modified from time to time.</w:t>
      </w:r>
    </w:p>
    <w:p>
      <w:pPr>
        <w:spacing w:after="0" w:line="11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Medical Reimbursement Programs</w:t>
      </w:r>
      <w:r>
        <w:rPr>
          <w:rFonts w:ascii="Arial" w:cs="Arial" w:eastAsia="Arial" w:hAnsi="Arial"/>
          <w:sz w:val="12"/>
          <w:szCs w:val="12"/>
          <w:color w:val="auto"/>
        </w:rPr>
        <w:t>” means a collective reference to Medicare, Medicaid and any other health care program operated by or financed in whole or in part by any foreign or domestic federal, state or local government and any other non-government funded third party payor programs.</w:t>
      </w:r>
    </w:p>
    <w:p>
      <w:pPr>
        <w:spacing w:after="0" w:line="10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Medicare</w:t>
      </w:r>
      <w:r>
        <w:rPr>
          <w:rFonts w:ascii="Arial" w:cs="Arial" w:eastAsia="Arial" w:hAnsi="Arial"/>
          <w:sz w:val="12"/>
          <w:szCs w:val="12"/>
          <w:color w:val="auto"/>
        </w:rPr>
        <w:t>” means that government-sponsored entitlement program under Title XVIII of the Social Security Act, which provides for a health insurance system for eligible elderly and disabled individuals, as set forth at 42 U.S.C. Section 1395, et seq., as amended, and any statute succeeding thereto.</w:t>
      </w:r>
    </w:p>
    <w:p>
      <w:pPr>
        <w:spacing w:after="0" w:line="107"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Medicare Regulations</w:t>
      </w:r>
      <w:r>
        <w:rPr>
          <w:rFonts w:ascii="Arial" w:cs="Arial" w:eastAsia="Arial" w:hAnsi="Arial"/>
          <w:sz w:val="12"/>
          <w:szCs w:val="12"/>
          <w:color w:val="auto"/>
        </w:rPr>
        <w:t>” means, collectively, all federal statutes (whether set forth in Title XVIII of the Social Security Act or elsewhere) affecting the health insurance program for the aged and disabled established by Title XVIII of the Social Security Act and any statutes succeeding thereto; together with all applicable provisions of all rules, regulations, manuals and orders and administrative, reimbursement and other guidelines having the force of law of all Governmental Authorities (including The Centers for Medicare &amp; Medicaid Services (“</w:t>
      </w:r>
      <w:r>
        <w:rPr>
          <w:rFonts w:ascii="Arial" w:cs="Arial" w:eastAsia="Arial" w:hAnsi="Arial"/>
          <w:sz w:val="12"/>
          <w:szCs w:val="12"/>
          <w:b w:val="1"/>
          <w:bCs w:val="1"/>
          <w:color w:val="auto"/>
        </w:rPr>
        <w:t>CMS</w:t>
      </w:r>
      <w:r>
        <w:rPr>
          <w:rFonts w:ascii="Arial" w:cs="Arial" w:eastAsia="Arial" w:hAnsi="Arial"/>
          <w:sz w:val="12"/>
          <w:szCs w:val="12"/>
          <w:color w:val="auto"/>
        </w:rPr>
        <w:t>”), the OIG, HHS, or any person succeeding to the functions of any of the foregoing) promulgated pursuant to or in connection with any of the foregoing having the force of law, as each may be amended, supplemented or otherwise modified from time to time.</w:t>
      </w:r>
    </w:p>
    <w:p>
      <w:pPr>
        <w:spacing w:after="0" w:line="12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Obligations</w:t>
      </w:r>
      <w:r>
        <w:rPr>
          <w:rFonts w:ascii="Arial" w:cs="Arial" w:eastAsia="Arial" w:hAnsi="Arial"/>
          <w:sz w:val="11"/>
          <w:szCs w:val="11"/>
          <w:color w:val="auto"/>
        </w:rPr>
        <w:t>” are Borrower’s obligations to pay when due any debts, principal, interest, fees, Bank Expenses, the Unused Revolving Line Facility Fee, the Letter of Credit Fee, the Anniversary Fees, the Termination Fee,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OFAC</w:t>
      </w:r>
      <w:r>
        <w:rPr>
          <w:rFonts w:ascii="Arial" w:cs="Arial" w:eastAsia="Arial" w:hAnsi="Arial"/>
          <w:sz w:val="12"/>
          <w:szCs w:val="12"/>
          <w:color w:val="auto"/>
        </w:rPr>
        <w:t>” is the Office of Foreign Assets Control of the United States Department of the Treasury and any successor thereto.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OIG</w:t>
      </w:r>
      <w:r>
        <w:rPr>
          <w:rFonts w:ascii="Arial" w:cs="Arial" w:eastAsia="Arial" w:hAnsi="Arial"/>
          <w:sz w:val="12"/>
          <w:szCs w:val="12"/>
          <w:color w:val="auto"/>
        </w:rPr>
        <w:t>” means The Office of Inspector General of the United States Department of Health and Human Services (“</w:t>
      </w:r>
      <w:r>
        <w:rPr>
          <w:rFonts w:ascii="Arial" w:cs="Arial" w:eastAsia="Arial" w:hAnsi="Arial"/>
          <w:sz w:val="12"/>
          <w:szCs w:val="12"/>
          <w:b w:val="1"/>
          <w:bCs w:val="1"/>
          <w:color w:val="auto"/>
        </w:rPr>
        <w:t>HHS</w:t>
      </w:r>
      <w:r>
        <w:rPr>
          <w:rFonts w:ascii="Arial" w:cs="Arial" w:eastAsia="Arial" w:hAnsi="Arial"/>
          <w:sz w:val="12"/>
          <w:szCs w:val="12"/>
          <w:color w:val="auto"/>
        </w:rPr>
        <w:t>”) and any successor thereof.</w:t>
      </w:r>
    </w:p>
    <w:p>
      <w:pPr>
        <w:spacing w:after="0" w:line="14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Operating Documents</w:t>
      </w:r>
      <w:r>
        <w:rPr>
          <w:rFonts w:ascii="Arial" w:cs="Arial" w:eastAsia="Arial" w:hAnsi="Arial"/>
          <w:sz w:val="11"/>
          <w:szCs w:val="11"/>
          <w:color w:val="auto"/>
        </w:rPr>
        <w:t>” are, for any Person, such Person’s formation documents, as certified by the Secretary of State (or equivalent agency) of such Person’s jurisdiction of organization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98"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Other Connection Taxes</w:t>
      </w:r>
      <w:r>
        <w:rPr>
          <w:rFonts w:ascii="Arial" w:cs="Arial" w:eastAsia="Arial" w:hAnsi="Arial"/>
          <w:sz w:val="12"/>
          <w:szCs w:val="12"/>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991" w:right="299" w:bottom="1440" w:gutter="0" w:footer="0" w:header="0"/>
        </w:sectPr>
      </w:pPr>
    </w:p>
    <w:bookmarkStart w:id="134" w:name="page135"/>
    <w:bookmarkEnd w:id="134"/>
    <w:p>
      <w:pPr>
        <w:ind w:right="20"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Other Taxes</w:t>
      </w:r>
      <w:r>
        <w:rPr>
          <w:rFonts w:ascii="Arial" w:cs="Arial" w:eastAsia="Arial" w:hAnsi="Arial"/>
          <w:sz w:val="11"/>
          <w:szCs w:val="11"/>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Patents</w:t>
      </w:r>
      <w:r>
        <w:rPr>
          <w:rFonts w:ascii="Arial" w:cs="Arial" w:eastAsia="Arial" w:hAnsi="Arial"/>
          <w:sz w:val="11"/>
          <w:szCs w:val="11"/>
          <w:color w:val="auto"/>
        </w:rPr>
        <w:t>” means all patents, patent applications, and like protections including without limitation improvements, divisions, continuations, renewals, reissues, extensions, and continuations-in-part of the same.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Participant Register</w:t>
      </w:r>
      <w:r>
        <w:rPr>
          <w:rFonts w:ascii="Arial" w:cs="Arial" w:eastAsia="Arial" w:hAnsi="Arial"/>
          <w:sz w:val="12"/>
          <w:szCs w:val="12"/>
          <w:color w:val="auto"/>
        </w:rPr>
        <w:t>” is defined in Section 11.2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Payment Date</w:t>
      </w:r>
      <w:r>
        <w:rPr>
          <w:rFonts w:ascii="Arial" w:cs="Arial" w:eastAsia="Arial" w:hAnsi="Arial"/>
          <w:sz w:val="12"/>
          <w:szCs w:val="12"/>
          <w:color w:val="auto"/>
        </w:rPr>
        <w:t>” is set forth on Schedule I 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Perfection Certificate</w:t>
      </w:r>
      <w:r>
        <w:rPr>
          <w:rFonts w:ascii="Arial" w:cs="Arial" w:eastAsia="Arial" w:hAnsi="Arial"/>
          <w:sz w:val="12"/>
          <w:szCs w:val="12"/>
          <w:color w:val="auto"/>
        </w:rPr>
        <w:t>” is the Perfection Certificate delivered by Borrower in connection with this Agreement.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Accounts</w:t>
      </w:r>
      <w:r>
        <w:rPr>
          <w:rFonts w:ascii="Arial" w:cs="Arial" w:eastAsia="Arial" w:hAnsi="Arial"/>
          <w:sz w:val="12"/>
          <w:szCs w:val="12"/>
          <w:color w:val="auto"/>
        </w:rPr>
        <w:t>” is defined in Section 5.7(a).</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Permitted Acquisition</w:t>
      </w:r>
      <w:r>
        <w:rPr>
          <w:rFonts w:ascii="Arial" w:cs="Arial" w:eastAsia="Arial" w:hAnsi="Arial"/>
          <w:sz w:val="11"/>
          <w:szCs w:val="11"/>
          <w:color w:val="auto"/>
        </w:rPr>
        <w:t>” means a transaction whereby Borrower acquires all or substantially all of the equity interest or property of another Person (a “</w:t>
      </w:r>
      <w:r>
        <w:rPr>
          <w:rFonts w:ascii="Arial" w:cs="Arial" w:eastAsia="Arial" w:hAnsi="Arial"/>
          <w:sz w:val="11"/>
          <w:szCs w:val="11"/>
          <w:b w:val="1"/>
          <w:bCs w:val="1"/>
          <w:color w:val="auto"/>
        </w:rPr>
        <w:t>Target</w:t>
      </w:r>
      <w:r>
        <w:rPr>
          <w:rFonts w:ascii="Arial" w:cs="Arial" w:eastAsia="Arial" w:hAnsi="Arial"/>
          <w:sz w:val="11"/>
          <w:szCs w:val="11"/>
          <w:color w:val="auto"/>
        </w:rPr>
        <w:t>”), which satisfies each of the following conditions:</w:t>
      </w:r>
    </w:p>
    <w:p>
      <w:pPr>
        <w:spacing w:after="0" w:line="157" w:lineRule="exact"/>
        <w:rPr>
          <w:sz w:val="20"/>
          <w:szCs w:val="20"/>
          <w:color w:val="auto"/>
        </w:rPr>
      </w:pPr>
    </w:p>
    <w:p>
      <w:pPr>
        <w:ind w:firstLine="856"/>
        <w:spacing w:after="0" w:line="260" w:lineRule="auto"/>
        <w:tabs>
          <w:tab w:leader="none" w:pos="1294" w:val="left"/>
        </w:tabs>
        <w:numPr>
          <w:ilvl w:val="0"/>
          <w:numId w:val="97"/>
        </w:numPr>
        <w:rPr>
          <w:rFonts w:ascii="Arial" w:cs="Arial" w:eastAsia="Arial" w:hAnsi="Arial"/>
          <w:sz w:val="12"/>
          <w:szCs w:val="12"/>
          <w:color w:val="auto"/>
        </w:rPr>
      </w:pPr>
      <w:r>
        <w:rPr>
          <w:rFonts w:ascii="Arial" w:cs="Arial" w:eastAsia="Arial" w:hAnsi="Arial"/>
          <w:sz w:val="12"/>
          <w:szCs w:val="12"/>
          <w:color w:val="auto"/>
        </w:rPr>
        <w:t>Borrower provides Bank with evidence, satisfactory to Bank in its commercially reasonable discretion, that Target achieved EBITDA of at least ($15,000,000.00) for the trailing 12 month period ending on the date of the transaction. Dollar amounts in this section that are set off in parentheses denote negative dollar amounts;</w:t>
      </w:r>
    </w:p>
    <w:p>
      <w:pPr>
        <w:spacing w:after="0" w:line="43" w:lineRule="exact"/>
        <w:rPr>
          <w:rFonts w:ascii="Arial" w:cs="Arial" w:eastAsia="Arial" w:hAnsi="Arial"/>
          <w:sz w:val="12"/>
          <w:szCs w:val="12"/>
          <w:color w:val="auto"/>
        </w:rPr>
      </w:pPr>
    </w:p>
    <w:p>
      <w:pPr>
        <w:ind w:right="20" w:firstLine="856"/>
        <w:spacing w:after="0" w:line="260" w:lineRule="auto"/>
        <w:tabs>
          <w:tab w:leader="none" w:pos="1292" w:val="left"/>
        </w:tabs>
        <w:numPr>
          <w:ilvl w:val="0"/>
          <w:numId w:val="97"/>
        </w:numPr>
        <w:rPr>
          <w:rFonts w:ascii="Arial" w:cs="Arial" w:eastAsia="Arial" w:hAnsi="Arial"/>
          <w:sz w:val="12"/>
          <w:szCs w:val="12"/>
          <w:color w:val="auto"/>
        </w:rPr>
      </w:pPr>
      <w:r>
        <w:rPr>
          <w:rFonts w:ascii="Arial" w:cs="Arial" w:eastAsia="Arial" w:hAnsi="Arial"/>
          <w:sz w:val="12"/>
          <w:szCs w:val="12"/>
          <w:color w:val="auto"/>
        </w:rPr>
        <w:t>such transaction shall only involve an entity formed, and assets located, in the United States, and the party or parties being acquired is in the same or a substantially similar line of business as Borrower or a business reasonably related and complementary thereto or a logical extension thereof, as determined by Bank in its commercially reasonable discretion;</w:t>
      </w:r>
    </w:p>
    <w:p>
      <w:pPr>
        <w:spacing w:after="0" w:line="43" w:lineRule="exact"/>
        <w:rPr>
          <w:rFonts w:ascii="Arial" w:cs="Arial" w:eastAsia="Arial" w:hAnsi="Arial"/>
          <w:sz w:val="12"/>
          <w:szCs w:val="12"/>
          <w:color w:val="auto"/>
        </w:rPr>
      </w:pPr>
    </w:p>
    <w:p>
      <w:pPr>
        <w:ind w:right="20" w:firstLine="856"/>
        <w:spacing w:after="0" w:line="260" w:lineRule="auto"/>
        <w:tabs>
          <w:tab w:leader="none" w:pos="1294"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 Event of Default has occurred and is continuing or would result from giving effect to the transaction and Bank has received evidence, satisfactory to Bank in its commercially reasonable discretion, that Borrower is in compliance with all terms and conditions of this Agreement (and that it will be in compliance immediately after giving effect to the transaction);</w:t>
      </w:r>
    </w:p>
    <w:p>
      <w:pPr>
        <w:spacing w:after="0" w:line="43" w:lineRule="exact"/>
        <w:rPr>
          <w:rFonts w:ascii="Arial" w:cs="Arial" w:eastAsia="Arial" w:hAnsi="Arial"/>
          <w:sz w:val="12"/>
          <w:szCs w:val="12"/>
          <w:color w:val="auto"/>
        </w:rPr>
      </w:pPr>
    </w:p>
    <w:p>
      <w:pPr>
        <w:ind w:left="1280" w:hanging="424"/>
        <w:spacing w:after="0"/>
        <w:tabs>
          <w:tab w:leader="none" w:pos="12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transaction is approved by the board of directors (or equivalent control group) of all parties to the transaction;</w:t>
      </w:r>
    </w:p>
    <w:p>
      <w:pPr>
        <w:spacing w:after="0" w:line="69" w:lineRule="exact"/>
        <w:rPr>
          <w:rFonts w:ascii="Arial" w:cs="Arial" w:eastAsia="Arial" w:hAnsi="Arial"/>
          <w:sz w:val="12"/>
          <w:szCs w:val="12"/>
          <w:color w:val="auto"/>
        </w:rPr>
      </w:pPr>
    </w:p>
    <w:p>
      <w:pPr>
        <w:ind w:left="1280" w:hanging="424"/>
        <w:spacing w:after="0"/>
        <w:tabs>
          <w:tab w:leader="none" w:pos="1280" w:val="left"/>
        </w:tabs>
        <w:numPr>
          <w:ilvl w:val="0"/>
          <w:numId w:val="97"/>
        </w:numPr>
        <w:rPr>
          <w:rFonts w:ascii="Arial" w:cs="Arial" w:eastAsia="Arial" w:hAnsi="Arial"/>
          <w:sz w:val="10"/>
          <w:szCs w:val="10"/>
          <w:color w:val="auto"/>
        </w:rPr>
      </w:pPr>
      <w:r>
        <w:rPr>
          <w:rFonts w:ascii="Arial" w:cs="Arial" w:eastAsia="Arial" w:hAnsi="Arial"/>
          <w:sz w:val="10"/>
          <w:szCs w:val="10"/>
          <w:color w:val="auto"/>
        </w:rPr>
        <w:t>the total value of the consideration to be paid by Borrower and its Subsidiaries in connection with any individual transaction or in the aggregate for all such transactions does not exceed $25,000,000.00 in any</w:t>
      </w:r>
    </w:p>
    <w:p>
      <w:pPr>
        <w:spacing w:after="0" w:line="30"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12 month period;</w:t>
      </w:r>
    </w:p>
    <w:p>
      <w:pPr>
        <w:spacing w:after="0" w:line="59" w:lineRule="exact"/>
        <w:rPr>
          <w:rFonts w:ascii="Arial" w:cs="Arial" w:eastAsia="Arial" w:hAnsi="Arial"/>
          <w:sz w:val="10"/>
          <w:szCs w:val="10"/>
          <w:color w:val="auto"/>
        </w:rPr>
      </w:pPr>
    </w:p>
    <w:p>
      <w:pPr>
        <w:ind w:right="20" w:firstLine="856"/>
        <w:spacing w:after="0" w:line="306" w:lineRule="auto"/>
        <w:tabs>
          <w:tab w:leader="none" w:pos="1290" w:val="left"/>
        </w:tabs>
        <w:numPr>
          <w:ilvl w:val="0"/>
          <w:numId w:val="97"/>
        </w:numPr>
        <w:rPr>
          <w:rFonts w:ascii="Arial" w:cs="Arial" w:eastAsia="Arial" w:hAnsi="Arial"/>
          <w:sz w:val="11"/>
          <w:szCs w:val="11"/>
          <w:color w:val="auto"/>
        </w:rPr>
      </w:pPr>
      <w:r>
        <w:rPr>
          <w:rFonts w:ascii="Arial" w:cs="Arial" w:eastAsia="Arial" w:hAnsi="Arial"/>
          <w:sz w:val="11"/>
          <w:szCs w:val="11"/>
          <w:color w:val="auto"/>
        </w:rPr>
        <w:t>Borrower provides Bank (i) written notice of the transaction at least 15 days before the closing of the transaction, and (ii) copies of the transaction agreement and other material documents relative to the contemplated transaction and such other financial information, financial analysis, documentation or other information relating to such transaction as Bank shall reasonably request at least 15 days before the closing of the transaction;</w:t>
      </w:r>
    </w:p>
    <w:p>
      <w:pPr>
        <w:spacing w:after="0" w:line="19" w:lineRule="exact"/>
        <w:rPr>
          <w:rFonts w:ascii="Arial" w:cs="Arial" w:eastAsia="Arial" w:hAnsi="Arial"/>
          <w:sz w:val="11"/>
          <w:szCs w:val="11"/>
          <w:color w:val="auto"/>
        </w:rPr>
      </w:pPr>
    </w:p>
    <w:p>
      <w:pPr>
        <w:ind w:left="1280" w:hanging="424"/>
        <w:spacing w:after="0"/>
        <w:tabs>
          <w:tab w:leader="none" w:pos="12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Borrower is a surviving legal entity after completion of the contemplated transaction;</w:t>
      </w:r>
    </w:p>
    <w:p>
      <w:pPr>
        <w:spacing w:after="0" w:line="69" w:lineRule="exact"/>
        <w:rPr>
          <w:rFonts w:ascii="Arial" w:cs="Arial" w:eastAsia="Arial" w:hAnsi="Arial"/>
          <w:sz w:val="12"/>
          <w:szCs w:val="12"/>
          <w:color w:val="auto"/>
        </w:rPr>
      </w:pPr>
    </w:p>
    <w:p>
      <w:pPr>
        <w:ind w:left="1280" w:hanging="424"/>
        <w:spacing w:after="0"/>
        <w:tabs>
          <w:tab w:leader="none" w:pos="12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contemplated transaction is consensual and non-hostile;</w:t>
      </w:r>
    </w:p>
    <w:p>
      <w:pPr>
        <w:spacing w:after="0" w:line="69" w:lineRule="exact"/>
        <w:rPr>
          <w:rFonts w:ascii="Arial" w:cs="Arial" w:eastAsia="Arial" w:hAnsi="Arial"/>
          <w:sz w:val="12"/>
          <w:szCs w:val="12"/>
          <w:color w:val="auto"/>
        </w:rPr>
      </w:pPr>
    </w:p>
    <w:p>
      <w:pPr>
        <w:ind w:firstLine="856"/>
        <w:spacing w:after="0" w:line="260" w:lineRule="auto"/>
        <w:tabs>
          <w:tab w:leader="none" w:pos="1292"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 Indebtedness will be incurred, assumed, or would exist with respect to Borrower or its Subsidiaries as a result of the contemplated transaction, other than Permitted Indebtedness, and no Liens will be incurred, assumed, or would exist with respect to the assets of Borrower or its Subsidiaries as a result of the contemplated transaction, other than Permitted Liens;</w:t>
      </w:r>
    </w:p>
    <w:p>
      <w:pPr>
        <w:spacing w:after="0" w:line="43" w:lineRule="exact"/>
        <w:rPr>
          <w:rFonts w:ascii="Arial" w:cs="Arial" w:eastAsia="Arial" w:hAnsi="Arial"/>
          <w:sz w:val="12"/>
          <w:szCs w:val="12"/>
          <w:color w:val="auto"/>
        </w:rPr>
      </w:pPr>
    </w:p>
    <w:p>
      <w:pPr>
        <w:ind w:firstLine="856"/>
        <w:spacing w:after="0" w:line="260" w:lineRule="auto"/>
        <w:tabs>
          <w:tab w:leader="none" w:pos="1292"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any Target acquired in the transaction shall, within 30 days of the consummation of the transaction (or such longer period of time as Bank may agree in writing in its sole and absolute discretion), provide Bank either joinder documentation to cause such Target to become a co-borrower hereunder or a guaranty to cause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991" w:right="299" w:bottom="1440" w:gutter="0" w:footer="0" w:header="0"/>
        </w:sectPr>
      </w:pPr>
    </w:p>
    <w:bookmarkStart w:id="135" w:name="page136"/>
    <w:bookmarkEnd w:id="135"/>
    <w:p>
      <w:pPr>
        <w:ind w:right="20"/>
        <w:spacing w:after="0" w:line="260" w:lineRule="auto"/>
        <w:rPr>
          <w:sz w:val="20"/>
          <w:szCs w:val="20"/>
          <w:color w:val="auto"/>
        </w:rPr>
      </w:pPr>
      <w:r>
        <w:rPr>
          <w:rFonts w:ascii="Arial" w:cs="Arial" w:eastAsia="Arial" w:hAnsi="Arial"/>
          <w:sz w:val="12"/>
          <w:szCs w:val="12"/>
          <w:color w:val="auto"/>
        </w:rPr>
        <w:t>such Target to become a Guarantor hereunder (as determined by Bank in its sole discretion), together with documentation, all in form and substance satisfactory to Bank (including being sufficient to grant Bank a first priority Lien (subject to Permitted Liens) in and to the assets of such Target);</w:t>
      </w:r>
    </w:p>
    <w:p>
      <w:pPr>
        <w:spacing w:after="0" w:line="43" w:lineRule="exact"/>
        <w:rPr>
          <w:sz w:val="20"/>
          <w:szCs w:val="20"/>
          <w:color w:val="auto"/>
        </w:rPr>
      </w:pPr>
    </w:p>
    <w:p>
      <w:pPr>
        <w:ind w:left="1280" w:hanging="424"/>
        <w:spacing w:after="0"/>
        <w:tabs>
          <w:tab w:leader="none" w:pos="12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transaction and Target are accretive in all respects; and</w:t>
      </w:r>
    </w:p>
    <w:p>
      <w:pPr>
        <w:spacing w:after="0" w:line="69" w:lineRule="exact"/>
        <w:rPr>
          <w:rFonts w:ascii="Arial" w:cs="Arial" w:eastAsia="Arial" w:hAnsi="Arial"/>
          <w:sz w:val="12"/>
          <w:szCs w:val="12"/>
          <w:color w:val="auto"/>
        </w:rPr>
      </w:pPr>
    </w:p>
    <w:p>
      <w:pPr>
        <w:jc w:val="both"/>
        <w:ind w:firstLine="856"/>
        <w:spacing w:after="0" w:line="247" w:lineRule="auto"/>
        <w:tabs>
          <w:tab w:leader="none" w:pos="1292" w:val="left"/>
        </w:tabs>
        <w:numPr>
          <w:ilvl w:val="0"/>
          <w:numId w:val="98"/>
        </w:numPr>
        <w:rPr>
          <w:rFonts w:ascii="Arial" w:cs="Arial" w:eastAsia="Arial" w:hAnsi="Arial"/>
          <w:sz w:val="12"/>
          <w:szCs w:val="12"/>
          <w:color w:val="auto"/>
        </w:rPr>
      </w:pPr>
      <w:r>
        <w:rPr>
          <w:rFonts w:ascii="Arial" w:cs="Arial" w:eastAsia="Arial" w:hAnsi="Arial"/>
          <w:sz w:val="12"/>
          <w:szCs w:val="12"/>
          <w:color w:val="auto"/>
        </w:rPr>
        <w:t>Borrower shall have delivered to Bank on date on which any such transaction is to be consummated (or such later date as is agreed by Bank in its sole discretion), a certificate of a Responsible Officer of Borrower, in form and substance reasonably satisfactory to Bank, certifying that all of the requirements set forth in this definition have been satisfied or will be satisfied on or prior to the consummation of such purchase or other acquisition.</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Indebtedness</w:t>
      </w:r>
      <w:r>
        <w:rPr>
          <w:rFonts w:ascii="Arial" w:cs="Arial" w:eastAsia="Arial" w:hAnsi="Arial"/>
          <w:sz w:val="12"/>
          <w:szCs w:val="12"/>
          <w:color w:val="auto"/>
        </w:rPr>
        <w:t>” is:</w:t>
      </w:r>
    </w:p>
    <w:p>
      <w:pPr>
        <w:spacing w:after="0" w:line="145" w:lineRule="exact"/>
        <w:rPr>
          <w:sz w:val="20"/>
          <w:szCs w:val="20"/>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Borrower’s Indebtedness to Bank under this Agreement and the other Loan Documents;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Indebtedness existing on the Effective Date which is shown on the Perfection Certificate;</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Subordinated Debt;</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unsecured Indebtedness to trade creditors incurred in the ordinary course of business;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Indebtedness incurred as a result of endorsing negotiable instruments received in the ordinary course of business;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Indebtedness secured by Liens permitted under clauses (a) and (c) of the definition of “Permitted Liens” hereunder;</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Indebtedness incurred to finance insurance premiums in the ordinary course of Borrower’s business;</w:t>
      </w:r>
    </w:p>
    <w:p>
      <w:pPr>
        <w:spacing w:after="0" w:line="141" w:lineRule="exact"/>
        <w:rPr>
          <w:rFonts w:ascii="Arial" w:cs="Arial" w:eastAsia="Arial" w:hAnsi="Arial"/>
          <w:sz w:val="12"/>
          <w:szCs w:val="12"/>
          <w:color w:val="auto"/>
        </w:rPr>
      </w:pPr>
    </w:p>
    <w:p>
      <w:pPr>
        <w:ind w:right="20" w:firstLine="856"/>
        <w:spacing w:after="0" w:line="260" w:lineRule="auto"/>
        <w:tabs>
          <w:tab w:leader="none" w:pos="1292"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Indebtedness in respect of performance bonds, bid bonds, appeal bonds, surety bonds and similar obligations, in each case provided in the ordinary course of Borrower’s business in an aggregate amount not to exceed $250,000.00 outstanding at any time;</w:t>
      </w:r>
    </w:p>
    <w:p>
      <w:pPr>
        <w:spacing w:after="0" w:line="115" w:lineRule="exact"/>
        <w:rPr>
          <w:rFonts w:ascii="Arial" w:cs="Arial" w:eastAsia="Arial" w:hAnsi="Arial"/>
          <w:sz w:val="12"/>
          <w:szCs w:val="12"/>
          <w:color w:val="auto"/>
        </w:rPr>
      </w:pPr>
    </w:p>
    <w:p>
      <w:pPr>
        <w:ind w:left="1280" w:hanging="424"/>
        <w:spacing w:after="0"/>
        <w:tabs>
          <w:tab w:leader="none" w:pos="12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other unsecured Indebtedness not otherwise permitted hereunder in an aggregate amount not to exceed $500,000.00 outstanding at any time; and</w:t>
      </w:r>
    </w:p>
    <w:p>
      <w:pPr>
        <w:spacing w:after="0" w:line="141" w:lineRule="exact"/>
        <w:rPr>
          <w:rFonts w:ascii="Arial" w:cs="Arial" w:eastAsia="Arial" w:hAnsi="Arial"/>
          <w:sz w:val="12"/>
          <w:szCs w:val="12"/>
          <w:color w:val="auto"/>
        </w:rPr>
      </w:pPr>
    </w:p>
    <w:p>
      <w:pPr>
        <w:ind w:firstLine="856"/>
        <w:spacing w:after="0" w:line="260" w:lineRule="auto"/>
        <w:tabs>
          <w:tab w:leader="none" w:pos="1292" w:val="left"/>
        </w:tabs>
        <w:numPr>
          <w:ilvl w:val="0"/>
          <w:numId w:val="99"/>
        </w:numPr>
        <w:rPr>
          <w:rFonts w:ascii="Arial" w:cs="Arial" w:eastAsia="Arial" w:hAnsi="Arial"/>
          <w:sz w:val="12"/>
          <w:szCs w:val="12"/>
          <w:color w:val="auto"/>
        </w:rPr>
      </w:pPr>
      <w:r>
        <w:rPr>
          <w:rFonts w:ascii="Arial" w:cs="Arial" w:eastAsia="Arial" w:hAnsi="Arial"/>
          <w:sz w:val="12"/>
          <w:szCs w:val="12"/>
          <w:color w:val="auto"/>
        </w:rPr>
        <w:t>extensions, refinancings, modifications, amendments and restatements of any items of Permitted Indebtedness (a) through (g) above, provided that the principal amount thereof is not increased or the terms thereof are not modified to impose more burdensome terms upon Borrower or its Subsidiary, as the case may be.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Investments</w:t>
      </w:r>
      <w:r>
        <w:rPr>
          <w:rFonts w:ascii="Arial" w:cs="Arial" w:eastAsia="Arial" w:hAnsi="Arial"/>
          <w:sz w:val="12"/>
          <w:szCs w:val="12"/>
          <w:color w:val="auto"/>
        </w:rPr>
        <w:t>” are:</w:t>
      </w:r>
    </w:p>
    <w:p>
      <w:pPr>
        <w:spacing w:after="0" w:line="145" w:lineRule="exact"/>
        <w:rPr>
          <w:sz w:val="20"/>
          <w:szCs w:val="20"/>
          <w:color w:val="auto"/>
        </w:rPr>
      </w:pPr>
    </w:p>
    <w:p>
      <w:pPr>
        <w:ind w:left="1280" w:hanging="424"/>
        <w:spacing w:after="0"/>
        <w:tabs>
          <w:tab w:leader="none" w:pos="12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Investments (including, without limitation, Subsidiaries) existing on the Effective Date which are shown on the Perfection Certificate;</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Investments consisting of Cash Equivalents;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Investments consisting of the endorsement of negotiable instruments for deposit or collection or similar transactions in the ordinary course of Borrower’s business;</w:t>
      </w:r>
    </w:p>
    <w:p>
      <w:pPr>
        <w:spacing w:after="0" w:line="141" w:lineRule="exact"/>
        <w:rPr>
          <w:rFonts w:ascii="Arial" w:cs="Arial" w:eastAsia="Arial" w:hAnsi="Arial"/>
          <w:sz w:val="12"/>
          <w:szCs w:val="12"/>
          <w:color w:val="auto"/>
        </w:rPr>
      </w:pPr>
    </w:p>
    <w:p>
      <w:pPr>
        <w:ind w:firstLine="856"/>
        <w:spacing w:after="0" w:line="260" w:lineRule="auto"/>
        <w:tabs>
          <w:tab w:leader="none" w:pos="1292"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Investments consisting of deposit or securities accounts (but only to the extent that Borrower is permitted to maintain such accounts pursuant to Section 5.7 of this Agreement) in which, to the extent required pursuant to Section 5.7, Bank has a first priority perfected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0"/>
          </w:cols>
          <w:pgMar w:left="300" w:top="1067" w:right="299" w:bottom="1440" w:gutter="0" w:footer="0" w:header="0"/>
        </w:sectPr>
      </w:pPr>
    </w:p>
    <w:bookmarkStart w:id="136" w:name="page137"/>
    <w:bookmarkEnd w:id="136"/>
    <w:p>
      <w:pPr>
        <w:ind w:left="1288" w:hanging="424"/>
        <w:spacing w:after="0"/>
        <w:tabs>
          <w:tab w:leader="none" w:pos="128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Investments accepted in connection with Transfers permitted by Section 6.1;</w:t>
      </w:r>
    </w:p>
    <w:p>
      <w:pPr>
        <w:spacing w:after="0" w:line="141" w:lineRule="exact"/>
        <w:rPr>
          <w:rFonts w:ascii="Arial" w:cs="Arial" w:eastAsia="Arial" w:hAnsi="Arial"/>
          <w:sz w:val="12"/>
          <w:szCs w:val="12"/>
          <w:color w:val="auto"/>
        </w:rPr>
      </w:pPr>
    </w:p>
    <w:p>
      <w:pPr>
        <w:ind w:left="8" w:firstLine="856"/>
        <w:spacing w:after="0" w:line="306" w:lineRule="auto"/>
        <w:tabs>
          <w:tab w:leader="none" w:pos="1298" w:val="left"/>
        </w:tabs>
        <w:numPr>
          <w:ilvl w:val="1"/>
          <w:numId w:val="101"/>
        </w:numPr>
        <w:rPr>
          <w:rFonts w:ascii="Arial" w:cs="Arial" w:eastAsia="Arial" w:hAnsi="Arial"/>
          <w:sz w:val="11"/>
          <w:szCs w:val="11"/>
          <w:color w:val="auto"/>
        </w:rPr>
      </w:pPr>
      <w:r>
        <w:rPr>
          <w:rFonts w:ascii="Arial" w:cs="Arial" w:eastAsia="Arial" w:hAnsi="Arial"/>
          <w:sz w:val="11"/>
          <w:szCs w:val="11"/>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91" w:lineRule="exact"/>
        <w:rPr>
          <w:rFonts w:ascii="Arial" w:cs="Arial" w:eastAsia="Arial" w:hAnsi="Arial"/>
          <w:sz w:val="11"/>
          <w:szCs w:val="11"/>
          <w:color w:val="auto"/>
        </w:rPr>
      </w:pPr>
    </w:p>
    <w:p>
      <w:pPr>
        <w:ind w:left="8" w:firstLine="856"/>
        <w:spacing w:after="0" w:line="260" w:lineRule="auto"/>
        <w:tabs>
          <w:tab w:leader="none" w:pos="130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5" w:lineRule="exact"/>
        <w:rPr>
          <w:rFonts w:ascii="Arial" w:cs="Arial" w:eastAsia="Arial" w:hAnsi="Arial"/>
          <w:sz w:val="12"/>
          <w:szCs w:val="12"/>
          <w:color w:val="auto"/>
        </w:rPr>
      </w:pPr>
    </w:p>
    <w:p>
      <w:pPr>
        <w:ind w:left="1288" w:hanging="424"/>
        <w:spacing w:after="0"/>
        <w:tabs>
          <w:tab w:leader="none" w:pos="1288" w:val="left"/>
        </w:tabs>
        <w:numPr>
          <w:ilvl w:val="1"/>
          <w:numId w:val="101"/>
        </w:numPr>
        <w:rPr>
          <w:rFonts w:ascii="Arial" w:cs="Arial" w:eastAsia="Arial" w:hAnsi="Arial"/>
          <w:sz w:val="10"/>
          <w:szCs w:val="10"/>
          <w:color w:val="auto"/>
        </w:rPr>
      </w:pPr>
      <w:r>
        <w:rPr>
          <w:rFonts w:ascii="Arial" w:cs="Arial" w:eastAsia="Arial" w:hAnsi="Arial"/>
          <w:sz w:val="10"/>
          <w:szCs w:val="10"/>
          <w:color w:val="auto"/>
        </w:rPr>
        <w:t>Investments consisting of notes receivable of, or prepaid royalties and other credit extensions, to customers and suppliers who are not Affiliates, in the ordinary course of business; provided that this paragraph</w:t>
      </w:r>
    </w:p>
    <w:p>
      <w:pPr>
        <w:spacing w:after="0" w:line="30" w:lineRule="exact"/>
        <w:rPr>
          <w:rFonts w:ascii="Arial" w:cs="Arial" w:eastAsia="Arial" w:hAnsi="Arial"/>
          <w:sz w:val="10"/>
          <w:szCs w:val="10"/>
          <w:color w:val="auto"/>
        </w:rPr>
      </w:pPr>
    </w:p>
    <w:p>
      <w:pPr>
        <w:ind w:left="168" w:hanging="168"/>
        <w:spacing w:after="0"/>
        <w:tabs>
          <w:tab w:leader="none" w:pos="168" w:val="left"/>
        </w:tabs>
        <w:numPr>
          <w:ilvl w:val="0"/>
          <w:numId w:val="102"/>
        </w:numPr>
        <w:rPr>
          <w:rFonts w:ascii="Arial" w:cs="Arial" w:eastAsia="Arial" w:hAnsi="Arial"/>
          <w:sz w:val="12"/>
          <w:szCs w:val="12"/>
          <w:color w:val="auto"/>
        </w:rPr>
      </w:pPr>
      <w:r>
        <w:rPr>
          <w:rFonts w:ascii="Arial" w:cs="Arial" w:eastAsia="Arial" w:hAnsi="Arial"/>
          <w:sz w:val="12"/>
          <w:szCs w:val="12"/>
          <w:color w:val="auto"/>
        </w:rPr>
        <w:t>shall not apply to Investments of Borrower in any Subsidiary;</w:t>
      </w:r>
    </w:p>
    <w:p>
      <w:pPr>
        <w:spacing w:after="0" w:line="131" w:lineRule="exact"/>
        <w:rPr>
          <w:rFonts w:ascii="Arial" w:cs="Arial" w:eastAsia="Arial" w:hAnsi="Arial"/>
          <w:sz w:val="12"/>
          <w:szCs w:val="12"/>
          <w:color w:val="auto"/>
        </w:rPr>
      </w:pPr>
    </w:p>
    <w:p>
      <w:pPr>
        <w:ind w:left="1288" w:hanging="424"/>
        <w:spacing w:after="0"/>
        <w:tabs>
          <w:tab w:leader="none" w:pos="1288" w:val="left"/>
        </w:tabs>
        <w:numPr>
          <w:ilvl w:val="1"/>
          <w:numId w:val="102"/>
        </w:numPr>
        <w:rPr>
          <w:rFonts w:ascii="Arial" w:cs="Arial" w:eastAsia="Arial" w:hAnsi="Arial"/>
          <w:sz w:val="12"/>
          <w:szCs w:val="12"/>
          <w:color w:val="auto"/>
        </w:rPr>
      </w:pPr>
      <w:r>
        <w:rPr>
          <w:rFonts w:ascii="Arial" w:cs="Arial" w:eastAsia="Arial" w:hAnsi="Arial"/>
          <w:sz w:val="12"/>
          <w:szCs w:val="12"/>
          <w:color w:val="auto"/>
        </w:rPr>
        <w:t>Investments in connection with joint ventures and strategic alliances permitted under this Agreement, in an aggregate amount not to exceed $500,000.00 at any time; and</w:t>
      </w:r>
    </w:p>
    <w:p>
      <w:pPr>
        <w:spacing w:after="0" w:line="141" w:lineRule="exact"/>
        <w:rPr>
          <w:rFonts w:ascii="Arial" w:cs="Arial" w:eastAsia="Arial" w:hAnsi="Arial"/>
          <w:sz w:val="12"/>
          <w:szCs w:val="12"/>
          <w:color w:val="auto"/>
        </w:rPr>
      </w:pPr>
    </w:p>
    <w:p>
      <w:pPr>
        <w:ind w:left="1288" w:hanging="424"/>
        <w:spacing w:after="0"/>
        <w:tabs>
          <w:tab w:leader="none" w:pos="1288" w:val="left"/>
        </w:tabs>
        <w:numPr>
          <w:ilvl w:val="1"/>
          <w:numId w:val="102"/>
        </w:numPr>
        <w:rPr>
          <w:rFonts w:ascii="Arial" w:cs="Arial" w:eastAsia="Arial" w:hAnsi="Arial"/>
          <w:sz w:val="12"/>
          <w:szCs w:val="12"/>
          <w:color w:val="auto"/>
        </w:rPr>
      </w:pPr>
      <w:r>
        <w:rPr>
          <w:rFonts w:ascii="Arial" w:cs="Arial" w:eastAsia="Arial" w:hAnsi="Arial"/>
          <w:sz w:val="12"/>
          <w:szCs w:val="12"/>
          <w:color w:val="auto"/>
        </w:rPr>
        <w:t>other Investments not otherwise permitted by Section 6.7 not exceeding $500,000.00 in the aggregate in any fiscal year.</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Liens</w:t>
      </w:r>
      <w:r>
        <w:rPr>
          <w:rFonts w:ascii="Arial" w:cs="Arial" w:eastAsia="Arial" w:hAnsi="Arial"/>
          <w:sz w:val="12"/>
          <w:szCs w:val="12"/>
          <w:color w:val="auto"/>
        </w:rPr>
        <w:t>” are:</w:t>
      </w:r>
    </w:p>
    <w:p>
      <w:pPr>
        <w:spacing w:after="0" w:line="145" w:lineRule="exact"/>
        <w:rPr>
          <w:sz w:val="20"/>
          <w:szCs w:val="20"/>
          <w:color w:val="auto"/>
        </w:rPr>
      </w:pPr>
    </w:p>
    <w:p>
      <w:pPr>
        <w:ind w:left="1288" w:hanging="424"/>
        <w:spacing w:after="0"/>
        <w:tabs>
          <w:tab w:leader="none" w:pos="128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Liens existing on the Effective Date which are shown on the Perfection Certificate or arising under this Agreement or the other Loan Documents;</w:t>
      </w:r>
    </w:p>
    <w:p>
      <w:pPr>
        <w:spacing w:after="0" w:line="141" w:lineRule="exact"/>
        <w:rPr>
          <w:rFonts w:ascii="Arial" w:cs="Arial" w:eastAsia="Arial" w:hAnsi="Arial"/>
          <w:sz w:val="12"/>
          <w:szCs w:val="12"/>
          <w:color w:val="auto"/>
        </w:rPr>
      </w:pPr>
    </w:p>
    <w:p>
      <w:pPr>
        <w:ind w:left="8" w:right="20" w:firstLine="856"/>
        <w:spacing w:after="0" w:line="260" w:lineRule="auto"/>
        <w:tabs>
          <w:tab w:leader="none" w:pos="13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15" w:lineRule="exact"/>
        <w:rPr>
          <w:rFonts w:ascii="Arial" w:cs="Arial" w:eastAsia="Arial" w:hAnsi="Arial"/>
          <w:sz w:val="12"/>
          <w:szCs w:val="12"/>
          <w:color w:val="auto"/>
        </w:rPr>
      </w:pPr>
    </w:p>
    <w:p>
      <w:pPr>
        <w:ind w:left="8" w:firstLine="856"/>
        <w:spacing w:after="0" w:line="260" w:lineRule="auto"/>
        <w:tabs>
          <w:tab w:leader="none" w:pos="130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purchase money Liens and capital leases (i) on Equipment acquired or held by Borrower incurred for financing the acquisition of the Equipment securing no more than $10,000,000.00 in the aggregate amount outstanding, or (ii) existing on Equipment when acquired, if the Lien is confined to the property and improvements and the proceeds of the Equipment;</w:t>
      </w:r>
    </w:p>
    <w:p>
      <w:pPr>
        <w:spacing w:after="0" w:line="115" w:lineRule="exact"/>
        <w:rPr>
          <w:rFonts w:ascii="Arial" w:cs="Arial" w:eastAsia="Arial" w:hAnsi="Arial"/>
          <w:sz w:val="12"/>
          <w:szCs w:val="12"/>
          <w:color w:val="auto"/>
        </w:rPr>
      </w:pPr>
    </w:p>
    <w:p>
      <w:pPr>
        <w:jc w:val="both"/>
        <w:ind w:left="8" w:firstLine="856"/>
        <w:spacing w:after="0" w:line="247" w:lineRule="auto"/>
        <w:tabs>
          <w:tab w:leader="none" w:pos="13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Liens of carriers, warehousemen, suppliers, or other Persons that are possessory in nature arising in the ordinary course of business so long as such Liens attach only to Inventory, securing liabilities in the aggregate amount not to exceed $500,000.00,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22" w:lineRule="exact"/>
        <w:rPr>
          <w:rFonts w:ascii="Arial" w:cs="Arial" w:eastAsia="Arial" w:hAnsi="Arial"/>
          <w:sz w:val="12"/>
          <w:szCs w:val="12"/>
          <w:color w:val="auto"/>
        </w:rPr>
      </w:pPr>
    </w:p>
    <w:p>
      <w:pPr>
        <w:ind w:left="1288" w:hanging="424"/>
        <w:spacing w:after="0"/>
        <w:tabs>
          <w:tab w:leader="none" w:pos="1288" w:val="left"/>
        </w:tabs>
        <w:numPr>
          <w:ilvl w:val="0"/>
          <w:numId w:val="103"/>
        </w:numPr>
        <w:rPr>
          <w:rFonts w:ascii="Arial" w:cs="Arial" w:eastAsia="Arial" w:hAnsi="Arial"/>
          <w:sz w:val="10"/>
          <w:szCs w:val="10"/>
          <w:color w:val="auto"/>
        </w:rPr>
      </w:pPr>
      <w:r>
        <w:rPr>
          <w:rFonts w:ascii="Arial" w:cs="Arial" w:eastAsia="Arial" w:hAnsi="Arial"/>
          <w:sz w:val="10"/>
          <w:szCs w:val="10"/>
          <w:color w:val="auto"/>
        </w:rPr>
        <w:t>Liens to secure payment of workers’ compensation, employment insurance, old-age pensions, social security and other like obligations incurred in the ordinary course of business (other than Liens imposed by</w:t>
      </w:r>
    </w:p>
    <w:p>
      <w:pPr>
        <w:spacing w:after="0" w:line="30"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ERISA);</w:t>
      </w:r>
    </w:p>
    <w:p>
      <w:pPr>
        <w:spacing w:after="0" w:line="131" w:lineRule="exact"/>
        <w:rPr>
          <w:rFonts w:ascii="Arial" w:cs="Arial" w:eastAsia="Arial" w:hAnsi="Arial"/>
          <w:sz w:val="10"/>
          <w:szCs w:val="10"/>
          <w:color w:val="auto"/>
        </w:rPr>
      </w:pPr>
    </w:p>
    <w:p>
      <w:pPr>
        <w:jc w:val="both"/>
        <w:ind w:left="8" w:right="20" w:firstLine="856"/>
        <w:spacing w:after="0" w:line="247" w:lineRule="auto"/>
        <w:tabs>
          <w:tab w:leader="none" w:pos="129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22" w:lineRule="exact"/>
        <w:rPr>
          <w:rFonts w:ascii="Arial" w:cs="Arial" w:eastAsia="Arial" w:hAnsi="Arial"/>
          <w:sz w:val="12"/>
          <w:szCs w:val="12"/>
          <w:color w:val="auto"/>
        </w:rPr>
      </w:pPr>
    </w:p>
    <w:p>
      <w:pPr>
        <w:ind w:left="8" w:firstLine="856"/>
        <w:spacing w:after="0" w:line="260" w:lineRule="auto"/>
        <w:tabs>
          <w:tab w:leader="none" w:pos="13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8"/>
          </w:cols>
          <w:pgMar w:left="292" w:top="995" w:right="299" w:bottom="1440" w:gutter="0" w:footer="0" w:header="0"/>
        </w:sectPr>
      </w:pPr>
    </w:p>
    <w:bookmarkStart w:id="137" w:name="page138"/>
    <w:bookmarkEnd w:id="137"/>
    <w:p>
      <w:pPr>
        <w:ind w:left="1280" w:hanging="424"/>
        <w:spacing w:after="0"/>
        <w:tabs>
          <w:tab w:leader="none" w:pos="12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Liens arising from attachments or judgments, orders, or decrees in circumstances not constituting an Event of Default under Sections 7.4 and 7.7;</w:t>
      </w:r>
    </w:p>
    <w:p>
      <w:pPr>
        <w:spacing w:after="0" w:line="141" w:lineRule="exact"/>
        <w:rPr>
          <w:rFonts w:ascii="Arial" w:cs="Arial" w:eastAsia="Arial" w:hAnsi="Arial"/>
          <w:sz w:val="12"/>
          <w:szCs w:val="12"/>
          <w:color w:val="auto"/>
        </w:rPr>
      </w:pPr>
    </w:p>
    <w:p>
      <w:pPr>
        <w:ind w:firstLine="856"/>
        <w:spacing w:after="0" w:line="306" w:lineRule="auto"/>
        <w:tabs>
          <w:tab w:leader="none" w:pos="1292" w:val="left"/>
        </w:tabs>
        <w:numPr>
          <w:ilvl w:val="0"/>
          <w:numId w:val="104"/>
        </w:numPr>
        <w:rPr>
          <w:rFonts w:ascii="Arial" w:cs="Arial" w:eastAsia="Arial" w:hAnsi="Arial"/>
          <w:sz w:val="11"/>
          <w:szCs w:val="11"/>
          <w:color w:val="auto"/>
        </w:rPr>
      </w:pPr>
      <w:r>
        <w:rPr>
          <w:rFonts w:ascii="Arial" w:cs="Arial" w:eastAsia="Arial" w:hAnsi="Arial"/>
          <w:sz w:val="11"/>
          <w:szCs w:val="11"/>
          <w:color w:val="auto"/>
        </w:rPr>
        <w:t>customary Liens of any bank in connection with statutory, common law and contractual rights of setoff and recoupment with respect to any deposit account or securities account of Borrower, provided that (i) to the extent required by Section 5.7, Bank has a first priority perfected security interest in such account and (ii) such account is permitted to be maintained pursuant to Section 5.7 of this Agreement;</w:t>
      </w:r>
    </w:p>
    <w:p>
      <w:pPr>
        <w:spacing w:after="0" w:line="91" w:lineRule="exact"/>
        <w:rPr>
          <w:rFonts w:ascii="Arial" w:cs="Arial" w:eastAsia="Arial" w:hAnsi="Arial"/>
          <w:sz w:val="11"/>
          <w:szCs w:val="11"/>
          <w:color w:val="auto"/>
        </w:rPr>
      </w:pPr>
    </w:p>
    <w:p>
      <w:pPr>
        <w:ind w:left="1280" w:hanging="424"/>
        <w:spacing w:after="0"/>
        <w:tabs>
          <w:tab w:leader="none" w:pos="12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Liens in favor of customs or revenue authorities arising as a matter of law to secure payment of customs duties in connection with the importation of goods;</w:t>
      </w:r>
    </w:p>
    <w:p>
      <w:pPr>
        <w:spacing w:after="0" w:line="141" w:lineRule="exact"/>
        <w:rPr>
          <w:rFonts w:ascii="Arial" w:cs="Arial" w:eastAsia="Arial" w:hAnsi="Arial"/>
          <w:sz w:val="12"/>
          <w:szCs w:val="12"/>
          <w:color w:val="auto"/>
        </w:rPr>
      </w:pPr>
    </w:p>
    <w:p>
      <w:pPr>
        <w:ind w:left="1280" w:hanging="424"/>
        <w:spacing w:after="0"/>
        <w:tabs>
          <w:tab w:leader="none" w:pos="128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Liens arising from the filing of any precautionary financing statement on operating leases covering the leased property, to the extent such operating leases are permitted under this Agreement;</w:t>
      </w:r>
    </w:p>
    <w:p>
      <w:pPr>
        <w:spacing w:after="0" w:line="152" w:lineRule="exact"/>
        <w:rPr>
          <w:rFonts w:ascii="Arial" w:cs="Arial" w:eastAsia="Arial" w:hAnsi="Arial"/>
          <w:sz w:val="11"/>
          <w:szCs w:val="11"/>
          <w:color w:val="auto"/>
        </w:rPr>
      </w:pPr>
    </w:p>
    <w:p>
      <w:pPr>
        <w:ind w:left="1280" w:hanging="424"/>
        <w:spacing w:after="0"/>
        <w:tabs>
          <w:tab w:leader="none" w:pos="12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Liens securing Indebtedness permitted under clause (h) of the definition of “Permitted Indebtedness” hereunder; and</w:t>
      </w:r>
    </w:p>
    <w:p>
      <w:pPr>
        <w:spacing w:after="0" w:line="141" w:lineRule="exact"/>
        <w:rPr>
          <w:rFonts w:ascii="Arial" w:cs="Arial" w:eastAsia="Arial" w:hAnsi="Arial"/>
          <w:sz w:val="12"/>
          <w:szCs w:val="12"/>
          <w:color w:val="auto"/>
        </w:rPr>
      </w:pPr>
    </w:p>
    <w:p>
      <w:pPr>
        <w:ind w:firstLine="856"/>
        <w:spacing w:after="0" w:line="260" w:lineRule="auto"/>
        <w:tabs>
          <w:tab w:leader="none" w:pos="1289" w:val="left"/>
        </w:tabs>
        <w:numPr>
          <w:ilvl w:val="0"/>
          <w:numId w:val="104"/>
        </w:numPr>
        <w:rPr>
          <w:rFonts w:ascii="Arial" w:cs="Arial" w:eastAsia="Arial" w:hAnsi="Arial"/>
          <w:sz w:val="12"/>
          <w:szCs w:val="12"/>
          <w:color w:val="auto"/>
        </w:rPr>
      </w:pPr>
      <w:r>
        <w:rPr>
          <w:rFonts w:ascii="Arial" w:cs="Arial" w:eastAsia="Arial" w:hAnsi="Arial"/>
          <w:sz w:val="12"/>
          <w:szCs w:val="12"/>
          <w:color w:val="auto"/>
        </w:rPr>
        <w:t>Liens incurred in the extension, renewal or refinancing of the Indebtedness secured by Liens described in (a) through (l), but any extension, renewal or replacement Lien must be limited to the property encumbered by the existing Lien and the principal amount of the indebtedness may not increase.</w:t>
      </w:r>
    </w:p>
    <w:p>
      <w:pPr>
        <w:spacing w:after="0" w:line="11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Person</w:t>
      </w:r>
      <w:r>
        <w:rPr>
          <w:rFonts w:ascii="Arial" w:cs="Arial" w:eastAsia="Arial" w:hAnsi="Arial"/>
          <w:sz w:val="12"/>
          <w:szCs w:val="12"/>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Prime Rate</w:t>
      </w:r>
      <w:r>
        <w:rPr>
          <w:rFonts w:ascii="Arial" w:cs="Arial" w:eastAsia="Arial" w:hAnsi="Arial"/>
          <w:sz w:val="12"/>
          <w:szCs w:val="12"/>
          <w:color w:val="auto"/>
        </w:rPr>
        <w:t>” is set forth on Schedule I 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Prime Rate Margin</w:t>
      </w:r>
      <w:r>
        <w:rPr>
          <w:rFonts w:ascii="Arial" w:cs="Arial" w:eastAsia="Arial" w:hAnsi="Arial"/>
          <w:sz w:val="12"/>
          <w:szCs w:val="12"/>
          <w:color w:val="auto"/>
        </w:rPr>
        <w:t>” is set forth on Schedule I 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Quick Assets</w:t>
      </w:r>
      <w:r>
        <w:rPr>
          <w:rFonts w:ascii="Arial" w:cs="Arial" w:eastAsia="Arial" w:hAnsi="Arial"/>
          <w:sz w:val="12"/>
          <w:szCs w:val="12"/>
          <w:color w:val="auto"/>
        </w:rPr>
        <w:t>” is, on any date, Borrower’s, unrestricted and unencumbered cash maintained with Bank, plus billed accounts receivable.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Register</w:t>
      </w:r>
      <w:r>
        <w:rPr>
          <w:rFonts w:ascii="Arial" w:cs="Arial" w:eastAsia="Arial" w:hAnsi="Arial"/>
          <w:sz w:val="12"/>
          <w:szCs w:val="12"/>
          <w:color w:val="auto"/>
        </w:rPr>
        <w:t>” is defined in Section 11.2.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Registered Organization</w:t>
      </w:r>
      <w:r>
        <w:rPr>
          <w:rFonts w:ascii="Arial" w:cs="Arial" w:eastAsia="Arial" w:hAnsi="Arial"/>
          <w:sz w:val="12"/>
          <w:szCs w:val="12"/>
          <w:color w:val="auto"/>
        </w:rPr>
        <w:t>” is any “registered organization” as defined in the Code with such additions to such term as may hereafter be made.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Representatives</w:t>
      </w:r>
      <w:r>
        <w:rPr>
          <w:rFonts w:ascii="Arial" w:cs="Arial" w:eastAsia="Arial" w:hAnsi="Arial"/>
          <w:sz w:val="12"/>
          <w:szCs w:val="12"/>
          <w:color w:val="auto"/>
        </w:rPr>
        <w:t>” is defined in Section 11.8.</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Responsible Officer</w:t>
      </w:r>
      <w:r>
        <w:rPr>
          <w:rFonts w:ascii="Arial" w:cs="Arial" w:eastAsia="Arial" w:hAnsi="Arial"/>
          <w:sz w:val="12"/>
          <w:szCs w:val="12"/>
          <w:color w:val="auto"/>
        </w:rPr>
        <w:t>” is any of the Chief Executive Officer, President, Chief Financial Officer and Controller of Borrower.</w:t>
      </w:r>
    </w:p>
    <w:p>
      <w:pPr>
        <w:spacing w:after="0" w:line="14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Restricted License</w:t>
      </w:r>
      <w:r>
        <w:rPr>
          <w:rFonts w:ascii="Arial" w:cs="Arial" w:eastAsia="Arial" w:hAnsi="Arial"/>
          <w:sz w:val="12"/>
          <w:szCs w:val="12"/>
          <w:color w:val="auto"/>
        </w:rPr>
        <w:t>” is any material license or other similar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Revolving Line</w:t>
      </w:r>
      <w:r>
        <w:rPr>
          <w:rFonts w:ascii="Arial" w:cs="Arial" w:eastAsia="Arial" w:hAnsi="Arial"/>
          <w:sz w:val="12"/>
          <w:szCs w:val="12"/>
          <w:color w:val="auto"/>
        </w:rPr>
        <w:t>” is set forth on Schedule I 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Revolving Line Maturity Date</w:t>
      </w:r>
      <w:r>
        <w:rPr>
          <w:rFonts w:ascii="Arial" w:cs="Arial" w:eastAsia="Arial" w:hAnsi="Arial"/>
          <w:sz w:val="12"/>
          <w:szCs w:val="12"/>
          <w:color w:val="auto"/>
        </w:rPr>
        <w:t>” is set forth on Schedule I hereto.</w:t>
      </w:r>
    </w:p>
    <w:p>
      <w:pPr>
        <w:spacing w:after="0" w:line="141" w:lineRule="exact"/>
        <w:rPr>
          <w:sz w:val="20"/>
          <w:szCs w:val="20"/>
          <w:color w:val="auto"/>
        </w:rPr>
      </w:pPr>
    </w:p>
    <w:p>
      <w:pPr>
        <w:ind w:firstLine="432"/>
        <w:spacing w:after="0" w:line="31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Sanctioned Person</w:t>
      </w:r>
      <w:r>
        <w:rPr>
          <w:rFonts w:ascii="Arial" w:cs="Arial" w:eastAsia="Arial" w:hAnsi="Arial"/>
          <w:sz w:val="11"/>
          <w:szCs w:val="11"/>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50.0% or more owned or controlled by 1 or more Persons described in clauses (a) and (b)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995" w:right="299" w:bottom="1440" w:gutter="0" w:footer="0" w:header="0"/>
        </w:sectPr>
      </w:pPr>
    </w:p>
    <w:bookmarkStart w:id="138" w:name="page139"/>
    <w:bookmarkEnd w:id="138"/>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Sanctions</w:t>
      </w:r>
      <w:r>
        <w:rPr>
          <w:rFonts w:ascii="Arial" w:cs="Arial" w:eastAsia="Arial" w:hAnsi="Arial"/>
          <w:sz w:val="12"/>
          <w:szCs w:val="12"/>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w:t>
      </w:r>
      <w:r>
        <w:rPr>
          <w:rFonts w:ascii="Arial" w:cs="Arial" w:eastAsia="Arial" w:hAnsi="Arial"/>
          <w:sz w:val="12"/>
          <w:szCs w:val="12"/>
          <w:color w:val="auto"/>
        </w:rPr>
        <w:t>” is the Securities and Exchange Commission, any successor thereto, and any analogous Governmental Authority.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Account</w:t>
      </w:r>
      <w:r>
        <w:rPr>
          <w:rFonts w:ascii="Arial" w:cs="Arial" w:eastAsia="Arial" w:hAnsi="Arial"/>
          <w:sz w:val="12"/>
          <w:szCs w:val="12"/>
          <w:color w:val="auto"/>
        </w:rPr>
        <w:t>” is any “securities account” as defined in the Code with such additions to such term as may hereafter be made.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Stripe Account</w:t>
      </w:r>
      <w:r>
        <w:rPr>
          <w:rFonts w:ascii="Arial" w:cs="Arial" w:eastAsia="Arial" w:hAnsi="Arial"/>
          <w:sz w:val="12"/>
          <w:szCs w:val="12"/>
          <w:color w:val="auto"/>
        </w:rPr>
        <w:t>” is defined in Section 5.7(a).</w:t>
      </w:r>
    </w:p>
    <w:p>
      <w:pPr>
        <w:spacing w:after="0" w:line="14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Debt</w:t>
      </w:r>
      <w:r>
        <w:rPr>
          <w:rFonts w:ascii="Arial" w:cs="Arial" w:eastAsia="Arial" w:hAnsi="Arial"/>
          <w:sz w:val="12"/>
          <w:szCs w:val="12"/>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07"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Subsidiary</w:t>
      </w:r>
      <w:r>
        <w:rPr>
          <w:rFonts w:ascii="Arial" w:cs="Arial" w:eastAsia="Arial" w:hAnsi="Arial"/>
          <w:sz w:val="12"/>
          <w:szCs w:val="12"/>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2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Taxes</w:t>
      </w:r>
      <w:r>
        <w:rPr>
          <w:rFonts w:ascii="Arial" w:cs="Arial" w:eastAsia="Arial" w:hAnsi="Arial"/>
          <w:sz w:val="12"/>
          <w:szCs w:val="1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Termination Fee</w:t>
      </w:r>
      <w:r>
        <w:rPr>
          <w:rFonts w:ascii="Arial" w:cs="Arial" w:eastAsia="Arial" w:hAnsi="Arial"/>
          <w:sz w:val="12"/>
          <w:szCs w:val="12"/>
          <w:color w:val="auto"/>
        </w:rPr>
        <w:t>” is defined in Section 1.5(d).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Total Liabilities</w:t>
      </w:r>
      <w:r>
        <w:rPr>
          <w:rFonts w:ascii="Arial" w:cs="Arial" w:eastAsia="Arial" w:hAnsi="Arial"/>
          <w:sz w:val="12"/>
          <w:szCs w:val="12"/>
          <w:color w:val="auto"/>
        </w:rPr>
        <w:t>” is on any day, obligations that should, under GAAP, be classified as liabilities on Borrower’s consolidated balance sheet, including all Indebtedness.</w:t>
      </w:r>
    </w:p>
    <w:p>
      <w:pPr>
        <w:spacing w:after="0" w:line="14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Trademarks</w:t>
      </w:r>
      <w:r>
        <w:rPr>
          <w:rFonts w:ascii="Arial" w:cs="Arial" w:eastAsia="Arial" w:hAnsi="Arial"/>
          <w:sz w:val="12"/>
          <w:szCs w:val="12"/>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Transfer</w:t>
      </w:r>
      <w:r>
        <w:rPr>
          <w:rFonts w:ascii="Arial" w:cs="Arial" w:eastAsia="Arial" w:hAnsi="Arial"/>
          <w:sz w:val="12"/>
          <w:szCs w:val="12"/>
          <w:color w:val="auto"/>
        </w:rPr>
        <w:t>” is defined in Section 6.1.</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Transition Period</w:t>
      </w:r>
      <w:r>
        <w:rPr>
          <w:rFonts w:ascii="Arial" w:cs="Arial" w:eastAsia="Arial" w:hAnsi="Arial"/>
          <w:sz w:val="12"/>
          <w:szCs w:val="12"/>
          <w:color w:val="auto"/>
        </w:rPr>
        <w:t>” means the period of time commencing on the Effective Date and continuing through the earlier to occur of (i) March 15, 2022</w:t>
      </w:r>
      <w:r>
        <w:rPr>
          <w:rFonts w:ascii="Arial" w:cs="Arial" w:eastAsia="Arial" w:hAnsi="Arial"/>
          <w:sz w:val="12"/>
          <w:szCs w:val="12"/>
          <w:i w:val="1"/>
          <w:iCs w:val="1"/>
          <w:color w:val="auto"/>
        </w:rPr>
        <w:t>,</w:t>
      </w:r>
      <w:r>
        <w:rPr>
          <w:rFonts w:ascii="Arial" w:cs="Arial" w:eastAsia="Arial" w:hAnsi="Arial"/>
          <w:sz w:val="12"/>
          <w:szCs w:val="12"/>
          <w:color w:val="auto"/>
        </w:rPr>
        <w:t xml:space="preserve"> and (ii) an Event of Default.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Unused Revolving Line Facility Fee</w:t>
      </w:r>
      <w:r>
        <w:rPr>
          <w:rFonts w:ascii="Arial" w:cs="Arial" w:eastAsia="Arial" w:hAnsi="Arial"/>
          <w:sz w:val="12"/>
          <w:szCs w:val="12"/>
          <w:color w:val="auto"/>
        </w:rPr>
        <w:t>” is defined in Section 1.5(e).</w:t>
      </w:r>
    </w:p>
    <w:p>
      <w:pPr>
        <w:spacing w:after="0" w:line="141"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USA Patriot Act</w:t>
      </w:r>
      <w:r>
        <w:rPr>
          <w:rFonts w:ascii="Arial" w:cs="Arial" w:eastAsia="Arial" w:hAnsi="Arial"/>
          <w:sz w:val="12"/>
          <w:szCs w:val="12"/>
          <w:color w:val="auto"/>
        </w:rPr>
        <w:t>” means the “Uniting and Strengthening America by Providing Appropriate Tools Required to Intercept and Obstruct Terrorism Act of 2001” (Public Law 107-56, signed into law on October 26, 2001), as amended from time to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991" w:right="299" w:bottom="1440" w:gutter="0" w:footer="0" w:header="0"/>
        </w:sectPr>
      </w:pPr>
    </w:p>
    <w:bookmarkStart w:id="139" w:name="page140"/>
    <w:bookmarkEnd w:id="139"/>
    <w:p>
      <w:pPr>
        <w:spacing w:after="0"/>
        <w:rPr>
          <w:sz w:val="20"/>
          <w:szCs w:val="20"/>
          <w:color w:val="auto"/>
        </w:rPr>
      </w:pPr>
      <w:r>
        <w:rPr>
          <w:rFonts w:ascii="Arial" w:cs="Arial" w:eastAsia="Arial" w:hAnsi="Arial"/>
          <w:sz w:val="10"/>
          <w:szCs w:val="10"/>
          <w:b w:val="1"/>
          <w:bCs w:val="1"/>
          <w:color w:val="auto"/>
        </w:rPr>
        <w:t>IN WITNESS WHEREOF</w:t>
      </w:r>
      <w:r>
        <w:rPr>
          <w:rFonts w:ascii="Arial" w:cs="Arial" w:eastAsia="Arial" w:hAnsi="Arial"/>
          <w:sz w:val="10"/>
          <w:szCs w:val="10"/>
          <w:color w:val="auto"/>
        </w:rPr>
        <w:t>, the parties hereto have caused this Agreement to be executed as a sealed instrument under the laws of the Commonwealth of Massachusetts as of the Effective Date.</w:t>
      </w:r>
    </w:p>
    <w:p>
      <w:pPr>
        <w:sectPr>
          <w:pgSz w:w="11900" w:h="16838" w:orient="portrait"/>
          <w:cols w:equalWidth="0" w:num="1">
            <w:col w:w="9739"/>
          </w:cols>
          <w:pgMar w:left="720" w:top="991" w:right="1440" w:bottom="1440" w:gutter="0" w:footer="0" w:header="0"/>
        </w:sectPr>
      </w:pPr>
    </w:p>
    <w:p>
      <w:pPr>
        <w:spacing w:after="0" w:line="164"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BORROWER:</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SEMA4 HOLDINGS CORP.</w:t>
      </w:r>
    </w:p>
    <w:p>
      <w:pPr>
        <w:spacing w:after="0" w:line="200" w:lineRule="exact"/>
        <w:rPr>
          <w:sz w:val="20"/>
          <w:szCs w:val="20"/>
          <w:color w:val="auto"/>
        </w:rPr>
      </w:pPr>
    </w:p>
    <w:p>
      <w:pPr>
        <w:spacing w:after="0" w:line="287"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w:t>
      </w:r>
      <w:r>
        <w:rPr>
          <w:rFonts w:ascii="Arial" w:cs="Arial" w:eastAsia="Arial" w:hAnsi="Arial"/>
          <w:sz w:val="12"/>
          <w:szCs w:val="12"/>
          <w:u w:val="single" w:color="auto"/>
          <w:color w:val="auto"/>
        </w:rPr>
        <w:t>/s/ Isaac Ro</w:t>
      </w:r>
      <w:r>
        <w:rPr>
          <w:rFonts w:ascii="Arial" w:cs="Arial" w:eastAsia="Arial" w:hAnsi="Arial"/>
          <w:sz w:val="12"/>
          <w:szCs w:val="12"/>
          <w:color w:val="auto"/>
        </w:rPr>
        <w:t xml:space="preserve"> ___________________________</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Name: Isaac Ro</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Title: Chief Financial Officer</w:t>
      </w:r>
    </w:p>
    <w:p>
      <w:pPr>
        <w:spacing w:after="0" w:line="317"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SEMA4 OPCO, INC.</w:t>
      </w:r>
    </w:p>
    <w:p>
      <w:pPr>
        <w:spacing w:after="0" w:line="200" w:lineRule="exact"/>
        <w:rPr>
          <w:sz w:val="20"/>
          <w:szCs w:val="20"/>
          <w:color w:val="auto"/>
        </w:rPr>
      </w:pPr>
    </w:p>
    <w:p>
      <w:pPr>
        <w:spacing w:after="0" w:line="287"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w:t>
      </w:r>
      <w:r>
        <w:rPr>
          <w:rFonts w:ascii="Arial" w:cs="Arial" w:eastAsia="Arial" w:hAnsi="Arial"/>
          <w:sz w:val="12"/>
          <w:szCs w:val="12"/>
          <w:u w:val="single" w:color="auto"/>
          <w:color w:val="auto"/>
        </w:rPr>
        <w:t>/s/ Isaac Ro</w:t>
      </w:r>
      <w:r>
        <w:rPr>
          <w:rFonts w:ascii="Arial" w:cs="Arial" w:eastAsia="Arial" w:hAnsi="Arial"/>
          <w:sz w:val="12"/>
          <w:szCs w:val="12"/>
          <w:color w:val="auto"/>
        </w:rPr>
        <w:t xml:space="preserve"> ___________________________</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Name: Isaac Ro</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Title: Chief Financial Officer</w:t>
      </w:r>
    </w:p>
    <w:p>
      <w:pPr>
        <w:spacing w:after="0" w:line="200" w:lineRule="exact"/>
        <w:rPr>
          <w:sz w:val="20"/>
          <w:szCs w:val="20"/>
          <w:color w:val="auto"/>
        </w:rPr>
      </w:pPr>
    </w:p>
    <w:p>
      <w:pPr>
        <w:spacing w:after="0" w:line="279"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BANK:</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SILICON VALLEY BANK</w:t>
      </w:r>
    </w:p>
    <w:p>
      <w:pPr>
        <w:spacing w:after="0" w:line="200" w:lineRule="exact"/>
        <w:rPr>
          <w:sz w:val="20"/>
          <w:szCs w:val="20"/>
          <w:color w:val="auto"/>
        </w:rPr>
      </w:pPr>
    </w:p>
    <w:p>
      <w:pPr>
        <w:spacing w:after="0" w:line="287"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w:t>
      </w:r>
      <w:r>
        <w:rPr>
          <w:rFonts w:ascii="Arial" w:cs="Arial" w:eastAsia="Arial" w:hAnsi="Arial"/>
          <w:sz w:val="12"/>
          <w:szCs w:val="12"/>
          <w:u w:val="single" w:color="auto"/>
          <w:color w:val="auto"/>
        </w:rPr>
        <w:t>/s/ Evan Chen</w:t>
      </w:r>
      <w:r>
        <w:rPr>
          <w:rFonts w:ascii="Arial" w:cs="Arial" w:eastAsia="Arial" w:hAnsi="Arial"/>
          <w:sz w:val="12"/>
          <w:szCs w:val="12"/>
          <w:color w:val="auto"/>
        </w:rPr>
        <w:t xml:space="preserve"> __________________________</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Name: Evan Chen</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3359"/>
        <w:spacing w:after="0"/>
        <w:rPr>
          <w:sz w:val="20"/>
          <w:szCs w:val="20"/>
          <w:color w:val="auto"/>
        </w:rPr>
      </w:pPr>
      <w:r>
        <w:rPr>
          <w:rFonts w:ascii="Arial" w:cs="Arial" w:eastAsia="Arial" w:hAnsi="Arial"/>
          <w:sz w:val="12"/>
          <w:szCs w:val="12"/>
          <w:color w:val="auto"/>
        </w:rPr>
        <w:t>Signature Page to Loan and Security Agreement</w:t>
      </w:r>
    </w:p>
    <w:p>
      <w:pPr>
        <w:sectPr>
          <w:pgSz w:w="11900" w:h="16838" w:orient="portrait"/>
          <w:cols w:equalWidth="0" w:num="1">
            <w:col w:w="9739"/>
          </w:cols>
          <w:pgMar w:left="720" w:top="991" w:right="1440" w:bottom="1440" w:gutter="0" w:footer="0" w:header="0"/>
          <w:type w:val="continuous"/>
        </w:sectPr>
      </w:pPr>
    </w:p>
    <w:bookmarkStart w:id="140" w:name="page141"/>
    <w:bookmarkEnd w:id="140"/>
    <w:tbl>
      <w:tblPr>
        <w:tblLayout w:type="fixed"/>
        <w:tblInd w:w="1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SCHEDULE I</w:t>
            </w:r>
          </w:p>
        </w:tc>
        <w:tc>
          <w:tcPr>
            <w:tcW w:w="5180" w:type="dxa"/>
            <w:vAlign w:val="bottom"/>
            <w:gridSpan w:val="4"/>
          </w:tcPr>
          <w:p>
            <w:pPr>
              <w:spacing w:after="0"/>
              <w:rPr>
                <w:sz w:val="12"/>
                <w:szCs w:val="12"/>
                <w:color w:val="auto"/>
              </w:rPr>
            </w:pPr>
          </w:p>
        </w:tc>
      </w:tr>
      <w:tr>
        <w:trPr>
          <w:trHeight w:val="115"/>
        </w:trPr>
        <w:tc>
          <w:tcPr>
            <w:tcW w:w="1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40" w:type="dxa"/>
            <w:vAlign w:val="bottom"/>
            <w:gridSpan w:val="3"/>
          </w:tcPr>
          <w:p>
            <w:pPr>
              <w:ind w:left="1360"/>
              <w:spacing w:after="0" w:line="115" w:lineRule="exact"/>
              <w:rPr>
                <w:sz w:val="20"/>
                <w:szCs w:val="20"/>
                <w:color w:val="auto"/>
              </w:rPr>
            </w:pPr>
            <w:r>
              <w:rPr>
                <w:rFonts w:ascii="Arial" w:cs="Arial" w:eastAsia="Arial" w:hAnsi="Arial"/>
                <w:sz w:val="12"/>
                <w:szCs w:val="12"/>
                <w:b w:val="1"/>
                <w:bCs w:val="1"/>
                <w:color w:val="auto"/>
                <w:w w:val="84"/>
              </w:rPr>
              <w:t>LSA PROVISIONS</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60" w:type="dxa"/>
            <w:vAlign w:val="bottom"/>
          </w:tcPr>
          <w:p>
            <w:pPr>
              <w:spacing w:after="0"/>
              <w:rPr>
                <w:sz w:val="10"/>
                <w:szCs w:val="10"/>
                <w:color w:val="auto"/>
              </w:rPr>
            </w:pPr>
          </w:p>
        </w:tc>
      </w:tr>
      <w:tr>
        <w:trPr>
          <w:trHeight w:val="178"/>
        </w:trPr>
        <w:tc>
          <w:tcPr>
            <w:tcW w:w="1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r>
      <w:tr>
        <w:trPr>
          <w:trHeight w:val="124"/>
        </w:trPr>
        <w:tc>
          <w:tcPr>
            <w:tcW w:w="1560" w:type="dxa"/>
            <w:vAlign w:val="bottom"/>
            <w:tcBorders>
              <w:left w:val="single" w:sz="8" w:color="auto"/>
            </w:tcBorders>
          </w:tcPr>
          <w:p>
            <w:pPr>
              <w:spacing w:after="0"/>
              <w:rPr>
                <w:sz w:val="10"/>
                <w:szCs w:val="10"/>
                <w:color w:val="auto"/>
              </w:rPr>
            </w:pPr>
          </w:p>
        </w:tc>
        <w:tc>
          <w:tcPr>
            <w:tcW w:w="2220" w:type="dxa"/>
            <w:vAlign w:val="bottom"/>
            <w:tcBorders>
              <w:right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rPr>
              <w:t>LSA Section</w:t>
            </w: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100" w:type="dxa"/>
            <w:vAlign w:val="bottom"/>
            <w:tcBorders>
              <w:right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rPr>
              <w:t>LSA Provision</w:t>
            </w:r>
          </w:p>
        </w:tc>
      </w:tr>
      <w:tr>
        <w:trPr>
          <w:trHeight w:val="20"/>
        </w:trPr>
        <w:tc>
          <w:tcPr>
            <w:tcW w:w="156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r>
      <w:tr>
        <w:trPr>
          <w:trHeight w:val="129"/>
        </w:trPr>
        <w:tc>
          <w:tcPr>
            <w:tcW w:w="3780" w:type="dxa"/>
            <w:vAlign w:val="bottom"/>
            <w:tcBorders>
              <w:left w:val="single" w:sz="8" w:color="auto"/>
              <w:right w:val="single" w:sz="8" w:color="auto"/>
            </w:tcBorders>
            <w:gridSpan w:val="3"/>
          </w:tcPr>
          <w:p>
            <w:pPr>
              <w:ind w:left="40"/>
              <w:spacing w:after="0" w:line="129" w:lineRule="exact"/>
              <w:rPr>
                <w:sz w:val="20"/>
                <w:szCs w:val="20"/>
                <w:color w:val="auto"/>
              </w:rPr>
            </w:pPr>
            <w:r>
              <w:rPr>
                <w:rFonts w:ascii="Arial" w:cs="Arial" w:eastAsia="Arial" w:hAnsi="Arial"/>
                <w:sz w:val="12"/>
                <w:szCs w:val="12"/>
                <w:color w:val="auto"/>
              </w:rPr>
              <w:t>1.1(a) – Revolving Line – Availability</w:t>
            </w:r>
          </w:p>
        </w:tc>
        <w:tc>
          <w:tcPr>
            <w:tcW w:w="7420" w:type="dxa"/>
            <w:vAlign w:val="bottom"/>
            <w:tcBorders>
              <w:right w:val="single" w:sz="8" w:color="auto"/>
            </w:tcBorders>
            <w:gridSpan w:val="7"/>
          </w:tcPr>
          <w:p>
            <w:pPr>
              <w:spacing w:after="0" w:line="129" w:lineRule="exact"/>
              <w:rPr>
                <w:sz w:val="20"/>
                <w:szCs w:val="20"/>
                <w:color w:val="auto"/>
              </w:rPr>
            </w:pPr>
            <w:r>
              <w:rPr>
                <w:rFonts w:ascii="Arial" w:cs="Arial" w:eastAsia="Arial" w:hAnsi="Arial"/>
                <w:sz w:val="12"/>
                <w:szCs w:val="12"/>
                <w:color w:val="auto"/>
                <w:w w:val="96"/>
              </w:rPr>
              <w:t>Amounts borrowed under the Revolving Line may be prepaid or repaid and, prior to the Revolving Line Maturity Date, reborrowed, subject to the</w:t>
            </w:r>
          </w:p>
        </w:tc>
      </w:tr>
      <w:tr>
        <w:trPr>
          <w:trHeight w:val="157"/>
        </w:trPr>
        <w:tc>
          <w:tcPr>
            <w:tcW w:w="156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rPr>
              <w:t>applicable terms and conditions precedent herein.</w:t>
            </w:r>
          </w:p>
        </w:tc>
      </w:tr>
      <w:tr>
        <w:trPr>
          <w:trHeight w:val="138"/>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1.2(a) – Letter of Credit Sublimit</w:t>
            </w:r>
          </w:p>
        </w:tc>
        <w:tc>
          <w:tcPr>
            <w:tcW w:w="7420" w:type="dxa"/>
            <w:vAlign w:val="bottom"/>
            <w:tcBorders>
              <w:right w:val="single" w:sz="8" w:color="auto"/>
            </w:tcBorders>
            <w:gridSpan w:val="7"/>
          </w:tcPr>
          <w:p>
            <w:pPr>
              <w:spacing w:after="0"/>
              <w:rPr>
                <w:sz w:val="20"/>
                <w:szCs w:val="20"/>
                <w:color w:val="auto"/>
              </w:rPr>
            </w:pPr>
            <w:r>
              <w:rPr>
                <w:rFonts w:ascii="Arial" w:cs="Arial" w:eastAsia="Arial" w:hAnsi="Arial"/>
                <w:sz w:val="12"/>
                <w:szCs w:val="12"/>
                <w:color w:val="auto"/>
                <w:w w:val="92"/>
              </w:rPr>
              <w:t>The aggregate Dollar Equivalent of the face amount of outstanding Letters of Credit (including drawn but unreimbursed Letters of Credit and any Letter</w:t>
            </w:r>
          </w:p>
        </w:tc>
      </w:tr>
      <w:tr>
        <w:trPr>
          <w:trHeight w:val="157"/>
        </w:trPr>
        <w:tc>
          <w:tcPr>
            <w:tcW w:w="156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rPr>
              <w:t>of Credit Reserve) may not exceed $20,000,000.00 minus all amounts used for Cash Management Services.</w:t>
            </w:r>
          </w:p>
        </w:tc>
      </w:tr>
      <w:tr>
        <w:trPr>
          <w:trHeight w:val="138"/>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1.3 – Cash Management Services Sublimit</w:t>
            </w:r>
          </w:p>
        </w:tc>
        <w:tc>
          <w:tcPr>
            <w:tcW w:w="7420" w:type="dxa"/>
            <w:vAlign w:val="bottom"/>
            <w:tcBorders>
              <w:right w:val="single" w:sz="8" w:color="auto"/>
            </w:tcBorders>
            <w:gridSpan w:val="7"/>
          </w:tcPr>
          <w:p>
            <w:pPr>
              <w:ind w:left="40"/>
              <w:spacing w:after="0"/>
              <w:rPr>
                <w:sz w:val="20"/>
                <w:szCs w:val="20"/>
                <w:color w:val="auto"/>
              </w:rPr>
            </w:pPr>
            <w:r>
              <w:rPr>
                <w:rFonts w:ascii="Arial" w:cs="Arial" w:eastAsia="Arial" w:hAnsi="Arial"/>
                <w:sz w:val="12"/>
                <w:szCs w:val="12"/>
                <w:color w:val="auto"/>
                <w:w w:val="91"/>
              </w:rPr>
              <w:t>The aggregate amount used for Cash Management Services at any one time may not exceed $20,000,000.00 minus the aggregate Dollar Equivalent of</w:t>
            </w:r>
          </w:p>
        </w:tc>
      </w:tr>
      <w:tr>
        <w:trPr>
          <w:trHeight w:val="153"/>
        </w:trPr>
        <w:tc>
          <w:tcPr>
            <w:tcW w:w="156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gridSpan w:val="7"/>
          </w:tcPr>
          <w:p>
            <w:pPr>
              <w:ind w:left="40"/>
              <w:spacing w:after="0"/>
              <w:rPr>
                <w:sz w:val="20"/>
                <w:szCs w:val="20"/>
                <w:color w:val="auto"/>
              </w:rPr>
            </w:pPr>
            <w:r>
              <w:rPr>
                <w:rFonts w:ascii="Arial" w:cs="Arial" w:eastAsia="Arial" w:hAnsi="Arial"/>
                <w:sz w:val="12"/>
                <w:szCs w:val="12"/>
                <w:color w:val="auto"/>
              </w:rPr>
              <w:t>the face amount of outstanding Letters of Credit (including drawn but unreimbursed Letters of Credit and any Letter of Credit Reserve).</w:t>
            </w:r>
          </w:p>
        </w:tc>
      </w:tr>
      <w:tr>
        <w:trPr>
          <w:trHeight w:val="81"/>
        </w:trPr>
        <w:tc>
          <w:tcPr>
            <w:tcW w:w="1560" w:type="dxa"/>
            <w:vAlign w:val="bottom"/>
            <w:tcBorders>
              <w:left w:val="single" w:sz="8" w:color="auto"/>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tcBorders>
            <w:gridSpan w:val="5"/>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133"/>
        </w:trPr>
        <w:tc>
          <w:tcPr>
            <w:tcW w:w="3780" w:type="dxa"/>
            <w:vAlign w:val="bottom"/>
            <w:tcBorders>
              <w:left w:val="single" w:sz="8" w:color="auto"/>
              <w:right w:val="single" w:sz="8" w:color="auto"/>
            </w:tcBorders>
            <w:gridSpan w:val="3"/>
          </w:tcPr>
          <w:p>
            <w:pPr>
              <w:ind w:left="40"/>
              <w:spacing w:after="0" w:line="133" w:lineRule="exact"/>
              <w:rPr>
                <w:sz w:val="20"/>
                <w:szCs w:val="20"/>
                <w:color w:val="auto"/>
              </w:rPr>
            </w:pPr>
            <w:r>
              <w:rPr>
                <w:rFonts w:ascii="Arial" w:cs="Arial" w:eastAsia="Arial" w:hAnsi="Arial"/>
                <w:sz w:val="12"/>
                <w:szCs w:val="12"/>
                <w:color w:val="auto"/>
              </w:rPr>
              <w:t>1.4(a) – Interest Payments – Advances</w:t>
            </w:r>
          </w:p>
        </w:tc>
        <w:tc>
          <w:tcPr>
            <w:tcW w:w="7420" w:type="dxa"/>
            <w:vAlign w:val="bottom"/>
            <w:tcBorders>
              <w:right w:val="single" w:sz="8" w:color="auto"/>
            </w:tcBorders>
            <w:gridSpan w:val="7"/>
          </w:tcPr>
          <w:p>
            <w:pPr>
              <w:spacing w:after="0" w:line="133" w:lineRule="exact"/>
              <w:rPr>
                <w:sz w:val="20"/>
                <w:szCs w:val="20"/>
                <w:color w:val="auto"/>
              </w:rPr>
            </w:pPr>
            <w:r>
              <w:rPr>
                <w:rFonts w:ascii="Arial" w:cs="Arial" w:eastAsia="Arial" w:hAnsi="Arial"/>
                <w:sz w:val="12"/>
                <w:szCs w:val="12"/>
                <w:color w:val="auto"/>
                <w:w w:val="90"/>
              </w:rPr>
              <w:t>Interest on the principal amount of each Advance is payable in arrears monthly (A) on each Payment Date, (B) on the date of any prepayment and (C) on</w:t>
            </w:r>
          </w:p>
        </w:tc>
      </w:tr>
      <w:tr>
        <w:trPr>
          <w:trHeight w:val="157"/>
        </w:trPr>
        <w:tc>
          <w:tcPr>
            <w:tcW w:w="156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rPr>
              <w:t>the Revolving Line Maturity Date.</w:t>
            </w:r>
          </w:p>
        </w:tc>
      </w:tr>
      <w:tr>
        <w:trPr>
          <w:trHeight w:val="138"/>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1.4(b)(i) – Interest Rate – Advances</w:t>
            </w:r>
          </w:p>
        </w:tc>
        <w:tc>
          <w:tcPr>
            <w:tcW w:w="7420" w:type="dxa"/>
            <w:vAlign w:val="bottom"/>
            <w:tcBorders>
              <w:right w:val="single" w:sz="8" w:color="auto"/>
            </w:tcBorders>
            <w:gridSpan w:val="7"/>
          </w:tcPr>
          <w:p>
            <w:pPr>
              <w:spacing w:after="0"/>
              <w:rPr>
                <w:sz w:val="20"/>
                <w:szCs w:val="20"/>
                <w:color w:val="auto"/>
              </w:rPr>
            </w:pPr>
            <w:r>
              <w:rPr>
                <w:rFonts w:ascii="Arial" w:cs="Arial" w:eastAsia="Arial" w:hAnsi="Arial"/>
                <w:sz w:val="12"/>
                <w:szCs w:val="12"/>
                <w:color w:val="auto"/>
                <w:w w:val="92"/>
              </w:rPr>
              <w:t>The outstanding principal amount of any Advance shall accrue interest at a floating rate per annum equal to the greater of (1) 4.00% and (2) the Prime</w:t>
            </w:r>
          </w:p>
        </w:tc>
      </w:tr>
      <w:tr>
        <w:trPr>
          <w:trHeight w:val="157"/>
        </w:trPr>
        <w:tc>
          <w:tcPr>
            <w:tcW w:w="156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rPr>
              <w:t>Rate plus the Prime Rate Margin, which interest shall be payable in accordance with Section 1.4(a).</w:t>
            </w:r>
          </w:p>
        </w:tc>
      </w:tr>
      <w:tr>
        <w:trPr>
          <w:trHeight w:val="160"/>
        </w:trPr>
        <w:tc>
          <w:tcPr>
            <w:tcW w:w="37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1.4(e) – Interest Computation</w:t>
            </w: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rPr>
              <w:t>Interest shall be computed on the basis of the actual number of days elapsed and a 360-day year for any Credit Extension.</w:t>
            </w:r>
          </w:p>
        </w:tc>
      </w:tr>
      <w:tr>
        <w:trPr>
          <w:trHeight w:val="160"/>
        </w:trPr>
        <w:tc>
          <w:tcPr>
            <w:tcW w:w="37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1.5(a) – Revolving Line Commitment Fee</w:t>
            </w: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rPr>
              <w:t>A fully earned, non-refundable commitment fee of $500,000.00 on the Effective Date.</w:t>
            </w:r>
          </w:p>
        </w:tc>
      </w:tr>
      <w:tr>
        <w:trPr>
          <w:trHeight w:val="138"/>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8.8 – Borrower Liability</w:t>
            </w:r>
          </w:p>
        </w:tc>
        <w:tc>
          <w:tcPr>
            <w:tcW w:w="7420" w:type="dxa"/>
            <w:vAlign w:val="bottom"/>
            <w:tcBorders>
              <w:right w:val="single" w:sz="8" w:color="auto"/>
            </w:tcBorders>
            <w:gridSpan w:val="7"/>
          </w:tcPr>
          <w:p>
            <w:pPr>
              <w:spacing w:after="0"/>
              <w:rPr>
                <w:sz w:val="20"/>
                <w:szCs w:val="20"/>
                <w:color w:val="auto"/>
              </w:rPr>
            </w:pPr>
            <w:r>
              <w:rPr>
                <w:rFonts w:ascii="Arial" w:cs="Arial" w:eastAsia="Arial" w:hAnsi="Arial"/>
                <w:sz w:val="12"/>
                <w:szCs w:val="12"/>
                <w:color w:val="auto"/>
                <w:w w:val="95"/>
              </w:rPr>
              <w:t>Each Borrower hereunder shall be jointly and severally obligated to repay all Credit Extensions made hereunder and any other Obligations related</w:t>
            </w:r>
          </w:p>
        </w:tc>
      </w:tr>
      <w:tr>
        <w:trPr>
          <w:trHeight w:val="157"/>
        </w:trPr>
        <w:tc>
          <w:tcPr>
            <w:tcW w:w="156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74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2"/>
                <w:szCs w:val="12"/>
                <w:color w:val="auto"/>
                <w:w w:val="94"/>
              </w:rPr>
              <w:t>thereto, regardless of which Borrower actually receives said Credit Extension, as if each Borrower hereunder directly received all Credit Extensions.</w:t>
            </w:r>
          </w:p>
        </w:tc>
      </w:tr>
      <w:tr>
        <w:trPr>
          <w:trHeight w:val="155"/>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12.2 – “Borrower”</w:t>
            </w:r>
          </w:p>
        </w:tc>
        <w:tc>
          <w:tcPr>
            <w:tcW w:w="7420" w:type="dxa"/>
            <w:vAlign w:val="bottom"/>
            <w:tcBorders>
              <w:right w:val="single" w:sz="8" w:color="auto"/>
            </w:tcBorders>
            <w:gridSpan w:val="7"/>
          </w:tcPr>
          <w:p>
            <w:pPr>
              <w:ind w:left="4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b w:val="1"/>
                <w:bCs w:val="1"/>
                <w:color w:val="auto"/>
                <w:w w:val="99"/>
              </w:rPr>
              <w:t>Borrower</w:t>
            </w:r>
            <w:r>
              <w:rPr>
                <w:rFonts w:ascii="Arial" w:cs="Arial" w:eastAsia="Arial" w:hAnsi="Arial"/>
                <w:sz w:val="12"/>
                <w:szCs w:val="12"/>
                <w:color w:val="auto"/>
                <w:w w:val="99"/>
              </w:rPr>
              <w:t xml:space="preserve">” means each of (a) </w:t>
            </w:r>
            <w:r>
              <w:rPr>
                <w:rFonts w:ascii="Arial" w:cs="Arial" w:eastAsia="Arial" w:hAnsi="Arial"/>
                <w:sz w:val="12"/>
                <w:szCs w:val="12"/>
                <w:b w:val="1"/>
                <w:bCs w:val="1"/>
                <w:color w:val="auto"/>
                <w:w w:val="99"/>
              </w:rPr>
              <w:t>SEMA4 HOLDINGS CORP.</w:t>
            </w:r>
            <w:r>
              <w:rPr>
                <w:rFonts w:ascii="Arial" w:cs="Arial" w:eastAsia="Arial" w:hAnsi="Arial"/>
                <w:sz w:val="12"/>
                <w:szCs w:val="12"/>
                <w:color w:val="auto"/>
                <w:w w:val="99"/>
              </w:rPr>
              <w:t xml:space="preserve">, a Delaware corporation, and (b) </w:t>
            </w:r>
            <w:r>
              <w:rPr>
                <w:rFonts w:ascii="Arial" w:cs="Arial" w:eastAsia="Arial" w:hAnsi="Arial"/>
                <w:sz w:val="12"/>
                <w:szCs w:val="12"/>
                <w:b w:val="1"/>
                <w:bCs w:val="1"/>
                <w:color w:val="auto"/>
                <w:w w:val="99"/>
              </w:rPr>
              <w:t>SEMA4 OPCO, INC.</w:t>
            </w:r>
            <w:r>
              <w:rPr>
                <w:rFonts w:ascii="Arial" w:cs="Arial" w:eastAsia="Arial" w:hAnsi="Arial"/>
                <w:sz w:val="12"/>
                <w:szCs w:val="12"/>
                <w:color w:val="auto"/>
                <w:w w:val="99"/>
              </w:rPr>
              <w:t>, a Delaware corporation.</w:t>
            </w:r>
          </w:p>
        </w:tc>
      </w:tr>
      <w:tr>
        <w:trPr>
          <w:trHeight w:val="81"/>
        </w:trPr>
        <w:tc>
          <w:tcPr>
            <w:tcW w:w="1560" w:type="dxa"/>
            <w:vAlign w:val="bottom"/>
            <w:tcBorders>
              <w:left w:val="single" w:sz="8" w:color="auto"/>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tcBorders>
            <w:gridSpan w:val="5"/>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151"/>
        </w:trPr>
        <w:tc>
          <w:tcPr>
            <w:tcW w:w="3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12.2 – “Effective Date”</w:t>
            </w:r>
          </w:p>
        </w:tc>
        <w:tc>
          <w:tcPr>
            <w:tcW w:w="7420" w:type="dxa"/>
            <w:vAlign w:val="bottom"/>
            <w:tcBorders>
              <w:right w:val="single" w:sz="8" w:color="auto"/>
            </w:tcBorders>
            <w:gridSpan w:val="7"/>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is November 15, 2021.</w:t>
            </w:r>
          </w:p>
        </w:tc>
      </w:tr>
      <w:tr>
        <w:trPr>
          <w:trHeight w:val="81"/>
        </w:trPr>
        <w:tc>
          <w:tcPr>
            <w:tcW w:w="1560" w:type="dxa"/>
            <w:vAlign w:val="bottom"/>
            <w:tcBorders>
              <w:left w:val="single" w:sz="8" w:color="auto"/>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tcBorders>
            <w:gridSpan w:val="5"/>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155"/>
        </w:trPr>
        <w:tc>
          <w:tcPr>
            <w:tcW w:w="37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12.2 – “Payment Date”</w:t>
            </w:r>
          </w:p>
        </w:tc>
        <w:tc>
          <w:tcPr>
            <w:tcW w:w="7420" w:type="dxa"/>
            <w:vAlign w:val="bottom"/>
            <w:tcBorders>
              <w:bottom w:val="single" w:sz="8" w:color="auto"/>
              <w:right w:val="single" w:sz="8" w:color="auto"/>
            </w:tcBorders>
            <w:gridSpan w:val="7"/>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Payment Date</w:t>
            </w:r>
            <w:r>
              <w:rPr>
                <w:rFonts w:ascii="Arial" w:cs="Arial" w:eastAsia="Arial" w:hAnsi="Arial"/>
                <w:sz w:val="12"/>
                <w:szCs w:val="12"/>
                <w:color w:val="auto"/>
              </w:rPr>
              <w:t>” is the last calendar day of each month.</w:t>
            </w:r>
          </w:p>
        </w:tc>
      </w:tr>
      <w:tr>
        <w:trPr>
          <w:trHeight w:val="930"/>
        </w:trPr>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5"/>
          </w:tcPr>
          <w:p>
            <w:pPr>
              <w:jc w:val="center"/>
              <w:ind w:right="5180"/>
              <w:spacing w:after="0"/>
              <w:rPr>
                <w:sz w:val="20"/>
                <w:szCs w:val="20"/>
                <w:color w:val="auto"/>
              </w:rPr>
            </w:pPr>
            <w:r>
              <w:rPr>
                <w:rFonts w:ascii="Arial" w:cs="Arial" w:eastAsia="Arial" w:hAnsi="Arial"/>
                <w:sz w:val="12"/>
                <w:szCs w:val="12"/>
                <w:color w:val="auto"/>
                <w:w w:val="99"/>
              </w:rPr>
              <w:t>I-1</w:t>
            </w:r>
          </w:p>
        </w:tc>
      </w:tr>
    </w:tbl>
    <w:p>
      <w:pPr>
        <w:sectPr>
          <w:pgSz w:w="11900" w:h="16838" w:orient="portrait"/>
          <w:cols w:equalWidth="0" w:num="1">
            <w:col w:w="11180"/>
          </w:cols>
          <w:pgMar w:left="300" w:top="982" w:right="4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350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 “Prime Rate”</w:t>
            </w:r>
          </w:p>
        </w:tc>
        <w:tc>
          <w:tcPr>
            <w:tcW w:w="40" w:type="dxa"/>
            <w:vAlign w:val="bottom"/>
            <w:tcBorders>
              <w:top w:val="single" w:sz="8" w:color="auto"/>
            </w:tcBorders>
          </w:tcPr>
          <w:p>
            <w:pPr>
              <w:spacing w:after="0"/>
              <w:rPr>
                <w:sz w:val="12"/>
                <w:szCs w:val="12"/>
                <w:color w:val="auto"/>
              </w:rPr>
            </w:pPr>
          </w:p>
        </w:tc>
        <w:tc>
          <w:tcPr>
            <w:tcW w:w="73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b w:val="1"/>
                <w:bCs w:val="1"/>
                <w:color w:val="auto"/>
                <w:w w:val="95"/>
              </w:rPr>
              <w:t>Prime Rate</w:t>
            </w:r>
            <w:r>
              <w:rPr>
                <w:rFonts w:ascii="Arial" w:cs="Arial" w:eastAsia="Arial" w:hAnsi="Arial"/>
                <w:sz w:val="12"/>
                <w:szCs w:val="12"/>
                <w:color w:val="auto"/>
                <w:w w:val="95"/>
              </w:rPr>
              <w:t>” is the rate of interest per annum from time to time published in the money rates section of The Wall Street Journal or any successor</w:t>
            </w: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35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24"/>
        </w:trPr>
        <w:tc>
          <w:tcPr>
            <w:tcW w:w="280" w:type="dxa"/>
            <w:vAlign w:val="bottom"/>
            <w:tcBorders>
              <w:left w:val="single" w:sz="8" w:color="auto"/>
            </w:tcBorders>
          </w:tcPr>
          <w:p>
            <w:pPr>
              <w:spacing w:after="0"/>
              <w:rPr>
                <w:sz w:val="10"/>
                <w:szCs w:val="10"/>
                <w:color w:val="auto"/>
              </w:rPr>
            </w:pPr>
          </w:p>
        </w:tc>
        <w:tc>
          <w:tcPr>
            <w:tcW w:w="3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380" w:type="dxa"/>
            <w:vAlign w:val="bottom"/>
            <w:tcBorders>
              <w:right w:val="single" w:sz="8" w:color="auto"/>
            </w:tcBorders>
            <w:gridSpan w:val="4"/>
          </w:tcPr>
          <w:p>
            <w:pPr>
              <w:spacing w:after="0" w:line="124" w:lineRule="exact"/>
              <w:rPr>
                <w:sz w:val="20"/>
                <w:szCs w:val="20"/>
                <w:color w:val="auto"/>
              </w:rPr>
            </w:pPr>
            <w:r>
              <w:rPr>
                <w:rFonts w:ascii="Arial" w:cs="Arial" w:eastAsia="Arial" w:hAnsi="Arial"/>
                <w:sz w:val="12"/>
                <w:szCs w:val="12"/>
                <w:color w:val="auto"/>
                <w:w w:val="93"/>
              </w:rPr>
              <w:t>publication thereto as the “prime rate” then in effect; provided that if such rate of interest, as set forth from time to time in the money rates section of</w:t>
            </w:r>
          </w:p>
        </w:tc>
      </w:tr>
      <w:tr>
        <w:trPr>
          <w:trHeight w:val="126"/>
        </w:trPr>
        <w:tc>
          <w:tcPr>
            <w:tcW w:w="280" w:type="dxa"/>
            <w:vAlign w:val="bottom"/>
            <w:tcBorders>
              <w:left w:val="single" w:sz="8" w:color="auto"/>
            </w:tcBorders>
          </w:tcPr>
          <w:p>
            <w:pPr>
              <w:spacing w:after="0"/>
              <w:rPr>
                <w:sz w:val="10"/>
                <w:szCs w:val="10"/>
                <w:color w:val="auto"/>
              </w:rPr>
            </w:pPr>
          </w:p>
        </w:tc>
        <w:tc>
          <w:tcPr>
            <w:tcW w:w="3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380" w:type="dxa"/>
            <w:vAlign w:val="bottom"/>
            <w:tcBorders>
              <w:right w:val="single" w:sz="8" w:color="auto"/>
            </w:tcBorders>
            <w:gridSpan w:val="4"/>
          </w:tcPr>
          <w:p>
            <w:pPr>
              <w:spacing w:after="0" w:line="126" w:lineRule="exact"/>
              <w:rPr>
                <w:sz w:val="20"/>
                <w:szCs w:val="20"/>
                <w:color w:val="auto"/>
              </w:rPr>
            </w:pPr>
            <w:r>
              <w:rPr>
                <w:rFonts w:ascii="Arial" w:cs="Arial" w:eastAsia="Arial" w:hAnsi="Arial"/>
                <w:sz w:val="12"/>
                <w:szCs w:val="12"/>
                <w:color w:val="auto"/>
                <w:w w:val="95"/>
              </w:rPr>
              <w:t>The Wall Street Journal, becomes unavailable for any reason as determined by Bank, the “Prime Rate” shall mean the rate of interest per annum</w:t>
            </w: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35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0" w:type="dxa"/>
            <w:vAlign w:val="bottom"/>
            <w:tcBorders>
              <w:right w:val="single" w:sz="8" w:color="auto"/>
            </w:tcBorders>
            <w:gridSpan w:val="3"/>
          </w:tcPr>
          <w:p>
            <w:pPr>
              <w:spacing w:after="0" w:line="20" w:lineRule="exact"/>
              <w:rPr>
                <w:sz w:val="1"/>
                <w:szCs w:val="1"/>
                <w:color w:val="auto"/>
              </w:rPr>
            </w:pPr>
          </w:p>
        </w:tc>
      </w:tr>
      <w:tr>
        <w:trPr>
          <w:trHeight w:val="124"/>
        </w:trPr>
        <w:tc>
          <w:tcPr>
            <w:tcW w:w="280" w:type="dxa"/>
            <w:vAlign w:val="bottom"/>
            <w:tcBorders>
              <w:left w:val="single" w:sz="8" w:color="auto"/>
            </w:tcBorders>
          </w:tcPr>
          <w:p>
            <w:pPr>
              <w:spacing w:after="0"/>
              <w:rPr>
                <w:sz w:val="10"/>
                <w:szCs w:val="10"/>
                <w:color w:val="auto"/>
              </w:rPr>
            </w:pPr>
          </w:p>
        </w:tc>
        <w:tc>
          <w:tcPr>
            <w:tcW w:w="3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380" w:type="dxa"/>
            <w:vAlign w:val="bottom"/>
            <w:tcBorders>
              <w:right w:val="single" w:sz="8" w:color="auto"/>
            </w:tcBorders>
            <w:gridSpan w:val="4"/>
          </w:tcPr>
          <w:p>
            <w:pPr>
              <w:spacing w:after="0" w:line="124" w:lineRule="exact"/>
              <w:rPr>
                <w:sz w:val="20"/>
                <w:szCs w:val="20"/>
                <w:color w:val="auto"/>
              </w:rPr>
            </w:pPr>
            <w:r>
              <w:rPr>
                <w:rFonts w:ascii="Arial" w:cs="Arial" w:eastAsia="Arial" w:hAnsi="Arial"/>
                <w:sz w:val="12"/>
                <w:szCs w:val="12"/>
                <w:color w:val="auto"/>
                <w:w w:val="91"/>
              </w:rPr>
              <w:t>announced by Bank as its prime rate in effect at its principal office in the State of California (such Bank announced Prime Rate not being intended to be</w:t>
            </w:r>
          </w:p>
        </w:tc>
      </w:tr>
      <w:tr>
        <w:trPr>
          <w:trHeight w:val="135"/>
        </w:trPr>
        <w:tc>
          <w:tcPr>
            <w:tcW w:w="280" w:type="dxa"/>
            <w:vAlign w:val="bottom"/>
            <w:tcBorders>
              <w:left w:val="single" w:sz="8" w:color="auto"/>
            </w:tcBorders>
          </w:tcPr>
          <w:p>
            <w:pPr>
              <w:spacing w:after="0"/>
              <w:rPr>
                <w:sz w:val="11"/>
                <w:szCs w:val="11"/>
                <w:color w:val="auto"/>
              </w:rPr>
            </w:pPr>
          </w:p>
        </w:tc>
        <w:tc>
          <w:tcPr>
            <w:tcW w:w="35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380" w:type="dxa"/>
            <w:vAlign w:val="bottom"/>
            <w:tcBorders>
              <w:right w:val="single" w:sz="8" w:color="auto"/>
            </w:tcBorders>
            <w:gridSpan w:val="4"/>
          </w:tcPr>
          <w:p>
            <w:pPr>
              <w:spacing w:after="0" w:line="135" w:lineRule="exact"/>
              <w:rPr>
                <w:sz w:val="20"/>
                <w:szCs w:val="20"/>
                <w:color w:val="auto"/>
              </w:rPr>
            </w:pPr>
            <w:r>
              <w:rPr>
                <w:rFonts w:ascii="Arial" w:cs="Arial" w:eastAsia="Arial" w:hAnsi="Arial"/>
                <w:sz w:val="12"/>
                <w:szCs w:val="12"/>
                <w:color w:val="auto"/>
                <w:w w:val="93"/>
              </w:rPr>
              <w:t>the lowest rate of interest charged by Bank in connection with extensions of credit to debtors); provided that, in the event such rate of interest is less</w:t>
            </w:r>
          </w:p>
        </w:tc>
      </w:tr>
      <w:tr>
        <w:trPr>
          <w:trHeight w:val="157"/>
        </w:trPr>
        <w:tc>
          <w:tcPr>
            <w:tcW w:w="280" w:type="dxa"/>
            <w:vAlign w:val="bottom"/>
            <w:tcBorders>
              <w:left w:val="single" w:sz="8" w:color="auto"/>
              <w:bottom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3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2"/>
                <w:szCs w:val="12"/>
                <w:color w:val="auto"/>
              </w:rPr>
              <w:t>than 0.0% per annum, such rate shall be deemed to be 0.0% per annum for purposes of this Agreement.</w:t>
            </w:r>
          </w:p>
        </w:tc>
      </w:tr>
      <w:tr>
        <w:trPr>
          <w:trHeight w:val="156"/>
        </w:trPr>
        <w:tc>
          <w:tcPr>
            <w:tcW w:w="280" w:type="dxa"/>
            <w:vAlign w:val="bottom"/>
            <w:tcBorders>
              <w:left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35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“Prime Rate Margin”</w:t>
            </w:r>
          </w:p>
        </w:tc>
        <w:tc>
          <w:tcPr>
            <w:tcW w:w="40" w:type="dxa"/>
            <w:vAlign w:val="bottom"/>
          </w:tcPr>
          <w:p>
            <w:pPr>
              <w:spacing w:after="0"/>
              <w:rPr>
                <w:sz w:val="13"/>
                <w:szCs w:val="13"/>
                <w:color w:val="auto"/>
              </w:rPr>
            </w:pPr>
          </w:p>
        </w:tc>
        <w:tc>
          <w:tcPr>
            <w:tcW w:w="7380" w:type="dxa"/>
            <w:vAlign w:val="bottom"/>
            <w:tcBorders>
              <w:right w:val="single" w:sz="8" w:color="auto"/>
            </w:tcBorders>
            <w:gridSpan w:val="4"/>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Prime Rate Margin</w:t>
            </w:r>
            <w:r>
              <w:rPr>
                <w:rFonts w:ascii="Arial" w:cs="Arial" w:eastAsia="Arial" w:hAnsi="Arial"/>
                <w:sz w:val="12"/>
                <w:szCs w:val="12"/>
                <w:color w:val="auto"/>
              </w:rPr>
              <w:t>” is 0.75%.</w:t>
            </w:r>
          </w:p>
        </w:tc>
      </w:tr>
      <w:tr>
        <w:trPr>
          <w:trHeight w:val="81"/>
        </w:trPr>
        <w:tc>
          <w:tcPr>
            <w:tcW w:w="280" w:type="dxa"/>
            <w:vAlign w:val="bottom"/>
            <w:tcBorders>
              <w:left w:val="single" w:sz="8" w:color="auto"/>
              <w:bottom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r>
      <w:tr>
        <w:trPr>
          <w:trHeight w:val="151"/>
        </w:trPr>
        <w:tc>
          <w:tcPr>
            <w:tcW w:w="280" w:type="dxa"/>
            <w:vAlign w:val="bottom"/>
            <w:tcBorders>
              <w:left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35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“Revolving Line”</w:t>
            </w:r>
          </w:p>
        </w:tc>
        <w:tc>
          <w:tcPr>
            <w:tcW w:w="40" w:type="dxa"/>
            <w:vAlign w:val="bottom"/>
          </w:tcPr>
          <w:p>
            <w:pPr>
              <w:spacing w:after="0"/>
              <w:rPr>
                <w:sz w:val="13"/>
                <w:szCs w:val="13"/>
                <w:color w:val="auto"/>
              </w:rPr>
            </w:pPr>
          </w:p>
        </w:tc>
        <w:tc>
          <w:tcPr>
            <w:tcW w:w="7380" w:type="dxa"/>
            <w:vAlign w:val="bottom"/>
            <w:tcBorders>
              <w:right w:val="single" w:sz="8" w:color="auto"/>
            </w:tcBorders>
            <w:gridSpan w:val="4"/>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Revolving Line</w:t>
            </w:r>
            <w:r>
              <w:rPr>
                <w:rFonts w:ascii="Arial" w:cs="Arial" w:eastAsia="Arial" w:hAnsi="Arial"/>
                <w:sz w:val="12"/>
                <w:szCs w:val="12"/>
                <w:color w:val="auto"/>
              </w:rPr>
              <w:t>” is an aggregate principal amount equal to $125,000,000.00.</w:t>
            </w:r>
          </w:p>
        </w:tc>
      </w:tr>
      <w:tr>
        <w:trPr>
          <w:trHeight w:val="81"/>
        </w:trPr>
        <w:tc>
          <w:tcPr>
            <w:tcW w:w="280" w:type="dxa"/>
            <w:vAlign w:val="bottom"/>
            <w:tcBorders>
              <w:left w:val="single" w:sz="8" w:color="auto"/>
              <w:bottom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r>
      <w:tr>
        <w:trPr>
          <w:trHeight w:val="151"/>
        </w:trPr>
        <w:tc>
          <w:tcPr>
            <w:tcW w:w="280" w:type="dxa"/>
            <w:vAlign w:val="bottom"/>
            <w:tcBorders>
              <w:left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35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“Revolving Line Maturity Date”</w:t>
            </w:r>
          </w:p>
        </w:tc>
        <w:tc>
          <w:tcPr>
            <w:tcW w:w="40" w:type="dxa"/>
            <w:vAlign w:val="bottom"/>
          </w:tcPr>
          <w:p>
            <w:pPr>
              <w:spacing w:after="0"/>
              <w:rPr>
                <w:sz w:val="13"/>
                <w:szCs w:val="13"/>
                <w:color w:val="auto"/>
              </w:rPr>
            </w:pPr>
          </w:p>
        </w:tc>
        <w:tc>
          <w:tcPr>
            <w:tcW w:w="7380" w:type="dxa"/>
            <w:vAlign w:val="bottom"/>
            <w:tcBorders>
              <w:right w:val="single" w:sz="8" w:color="auto"/>
            </w:tcBorders>
            <w:gridSpan w:val="4"/>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Revolving Line Maturity Date</w:t>
            </w:r>
            <w:r>
              <w:rPr>
                <w:rFonts w:ascii="Arial" w:cs="Arial" w:eastAsia="Arial" w:hAnsi="Arial"/>
                <w:sz w:val="12"/>
                <w:szCs w:val="12"/>
                <w:color w:val="auto"/>
              </w:rPr>
              <w:t>” is November 15, 2024.</w:t>
            </w:r>
          </w:p>
        </w:tc>
      </w:tr>
      <w:tr>
        <w:trPr>
          <w:trHeight w:val="81"/>
        </w:trPr>
        <w:tc>
          <w:tcPr>
            <w:tcW w:w="280" w:type="dxa"/>
            <w:vAlign w:val="bottom"/>
            <w:tcBorders>
              <w:left w:val="single" w:sz="8" w:color="auto"/>
              <w:bottom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I-2</w:t>
      </w:r>
    </w:p>
    <w:p>
      <w:pPr>
        <w:sectPr>
          <w:pgSz w:w="11900" w:h="16838" w:orient="portrait"/>
          <w:cols w:equalWidth="0" w:num="1">
            <w:col w:w="11180"/>
          </w:cols>
          <w:pgMar w:left="300" w:top="1001" w:right="419" w:bottom="1440" w:gutter="0" w:footer="0" w:header="0"/>
        </w:sectPr>
      </w:pPr>
    </w:p>
    <w:bookmarkStart w:id="142" w:name="page143"/>
    <w:bookmarkEnd w:id="142"/>
    <w:p>
      <w:pPr>
        <w:jc w:val="center"/>
        <w:ind w:right="60"/>
        <w:spacing w:after="0"/>
        <w:rPr>
          <w:sz w:val="20"/>
          <w:szCs w:val="20"/>
          <w:color w:val="auto"/>
        </w:rPr>
      </w:pPr>
      <w:r>
        <w:rPr>
          <w:rFonts w:ascii="Arial" w:cs="Arial" w:eastAsia="Arial" w:hAnsi="Arial"/>
          <w:sz w:val="12"/>
          <w:szCs w:val="12"/>
          <w:b w:val="1"/>
          <w:bCs w:val="1"/>
          <w:u w:val="single" w:color="auto"/>
          <w:color w:val="auto"/>
        </w:rPr>
        <w:t>EXHIBIT A</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1"/>
          <w:szCs w:val="11"/>
          <w:u w:val="single" w:color="auto"/>
          <w:color w:val="auto"/>
        </w:rPr>
        <w:t>COMPLIANCE STATEMENT</w:t>
      </w:r>
    </w:p>
    <w:p>
      <w:pPr>
        <w:sectPr>
          <w:pgSz w:w="11900" w:h="16838" w:orient="portrait"/>
          <w:cols w:equalWidth="0" w:num="1">
            <w:col w:w="11360"/>
          </w:cols>
          <w:pgMar w:left="300" w:top="991" w:right="239" w:bottom="1440" w:gutter="0" w:footer="0" w:header="0"/>
        </w:sectPr>
      </w:pP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SILICON VALLEY BANK</w:t>
      </w:r>
    </w:p>
    <w:p>
      <w:pPr>
        <w:spacing w:after="0" w:line="7" w:lineRule="exact"/>
        <w:rPr>
          <w:sz w:val="20"/>
          <w:szCs w:val="20"/>
          <w:color w:val="auto"/>
        </w:rPr>
      </w:pPr>
    </w:p>
    <w:p>
      <w:pPr>
        <w:spacing w:after="0"/>
        <w:tabs>
          <w:tab w:leader="none" w:pos="500" w:val="left"/>
        </w:tabs>
        <w:rPr>
          <w:sz w:val="20"/>
          <w:szCs w:val="20"/>
          <w:color w:val="auto"/>
        </w:rPr>
      </w:pPr>
      <w:r>
        <w:rPr>
          <w:rFonts w:ascii="Arial" w:cs="Arial" w:eastAsia="Arial" w:hAnsi="Arial"/>
          <w:sz w:val="11"/>
          <w:szCs w:val="11"/>
          <w:color w:val="auto"/>
        </w:rPr>
        <w:t>FROM:</w:t>
        <w:tab/>
        <w:t>SEMA4 HOLDINGS CORP.</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SEMA4 OPCO,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6985</wp:posOffset>
            </wp:positionV>
            <wp:extent cx="3048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304800" cy="571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1920" w:space="440"/>
            <w:col w:w="9000"/>
          </w:cols>
          <w:pgMar w:left="300" w:top="991" w:right="239" w:bottom="1440" w:gutter="0" w:footer="0" w:header="0"/>
          <w:type w:val="continuous"/>
        </w:sectPr>
      </w:pPr>
    </w:p>
    <w:p>
      <w:pPr>
        <w:spacing w:after="0" w:line="107" w:lineRule="exact"/>
        <w:rPr>
          <w:sz w:val="20"/>
          <w:szCs w:val="20"/>
          <w:color w:val="auto"/>
        </w:rPr>
      </w:pPr>
    </w:p>
    <w:p>
      <w:pPr>
        <w:ind w:right="60"/>
        <w:spacing w:after="0" w:line="269" w:lineRule="auto"/>
        <w:rPr>
          <w:sz w:val="20"/>
          <w:szCs w:val="20"/>
          <w:color w:val="auto"/>
        </w:rPr>
      </w:pPr>
      <w:r>
        <w:rPr>
          <w:rFonts w:ascii="Arial" w:cs="Arial" w:eastAsia="Arial" w:hAnsi="Arial"/>
          <w:sz w:val="11"/>
          <w:szCs w:val="11"/>
          <w:color w:val="auto"/>
        </w:rPr>
        <w:t>Under the terms and conditions of the Loan and Security Agreement between Borrower and Bank (as amended, modified, supplemented and/or restated from time to time, the “</w:t>
      </w:r>
      <w:r>
        <w:rPr>
          <w:rFonts w:ascii="Arial" w:cs="Arial" w:eastAsia="Arial" w:hAnsi="Arial"/>
          <w:sz w:val="11"/>
          <w:szCs w:val="11"/>
          <w:b w:val="1"/>
          <w:bCs w:val="1"/>
          <w:color w:val="auto"/>
        </w:rPr>
        <w:t>Agreement</w:t>
      </w:r>
      <w:r>
        <w:rPr>
          <w:rFonts w:ascii="Arial" w:cs="Arial" w:eastAsia="Arial" w:hAnsi="Arial"/>
          <w:sz w:val="11"/>
          <w:szCs w:val="11"/>
          <w:color w:val="auto"/>
        </w:rPr>
        <w:t>”), Borrower is in compliance for the period ending _______________ with all required covenants except as noted below. Attached are the required documents evidencing such compliance, setting forth calculations prepared in accordance with GAAP consistently applied from</w:t>
      </w:r>
    </w:p>
    <w:p>
      <w:pPr>
        <w:ind w:right="60"/>
        <w:spacing w:after="0" w:line="243" w:lineRule="auto"/>
        <w:rPr>
          <w:sz w:val="20"/>
          <w:szCs w:val="20"/>
          <w:color w:val="auto"/>
        </w:rPr>
      </w:pPr>
      <w:r>
        <w:rPr>
          <w:rFonts w:ascii="Arial" w:cs="Arial" w:eastAsia="Arial" w:hAnsi="Arial"/>
          <w:sz w:val="12"/>
          <w:szCs w:val="12"/>
          <w:color w:val="auto"/>
        </w:rPr>
        <w:t>one period to the next except as explained in an accompanying letter or footnotes (other than, with respect to unaudited financial statements, for the absence of footnotes and year-end audit adjustments). Capitalized terms used but not otherwise defined herein shall have the meanings given them in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indicate compliance status by circling Yes/No under “Complies” column.</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60" w:type="dxa"/>
            <w:vAlign w:val="bottom"/>
            <w:tcBorders>
              <w:top w:val="single" w:sz="8" w:color="auto"/>
              <w:left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Reporting Covenants</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rPr>
              <w:t>Required</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85"/>
              </w:rPr>
              <w:t>Complies</w:t>
            </w: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60" w:type="dxa"/>
            <w:vAlign w:val="bottom"/>
            <w:tcBorders>
              <w:left w:val="single" w:sz="8" w:color="auto"/>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r>
      <w:tr>
        <w:trPr>
          <w:trHeight w:val="156"/>
        </w:trPr>
        <w:tc>
          <w:tcPr>
            <w:tcW w:w="53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2"/>
                <w:szCs w:val="12"/>
                <w:color w:val="auto"/>
              </w:rPr>
              <w:t>Monthly financial statements with Compliance Statement</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2"/>
                <w:szCs w:val="12"/>
                <w:color w:val="auto"/>
              </w:rPr>
              <w:t>Monthly within 30 days</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r>
        <w:trPr>
          <w:trHeight w:val="160"/>
        </w:trPr>
        <w:tc>
          <w:tcPr>
            <w:tcW w:w="53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2"/>
                <w:szCs w:val="12"/>
                <w:color w:val="auto"/>
              </w:rPr>
              <w:t>10-Q Report</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2"/>
                <w:szCs w:val="12"/>
                <w:color w:val="auto"/>
              </w:rPr>
              <w:t>Quarterly within 45 days of Q1, Q2, and Q3</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r>
        <w:trPr>
          <w:trHeight w:val="160"/>
        </w:trPr>
        <w:tc>
          <w:tcPr>
            <w:tcW w:w="53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2"/>
                <w:szCs w:val="12"/>
                <w:color w:val="auto"/>
              </w:rPr>
              <w:t>10-K Report and annual financial statements (CPA Audited)</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2"/>
                <w:szCs w:val="12"/>
                <w:color w:val="auto"/>
              </w:rPr>
              <w:t>FYE within 90 days</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r>
        <w:trPr>
          <w:trHeight w:val="160"/>
        </w:trPr>
        <w:tc>
          <w:tcPr>
            <w:tcW w:w="53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2"/>
                <w:szCs w:val="12"/>
                <w:color w:val="auto"/>
              </w:rPr>
              <w:t>Filed 10-Q, 10-K and 8-K</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2"/>
                <w:szCs w:val="12"/>
                <w:color w:val="auto"/>
              </w:rPr>
              <w:t>Within 5 days after filing with SEC</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r>
        <w:trPr>
          <w:trHeight w:val="160"/>
        </w:trPr>
        <w:tc>
          <w:tcPr>
            <w:tcW w:w="53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12"/>
                <w:szCs w:val="12"/>
                <w:color w:val="auto"/>
              </w:rPr>
              <w:t>Board approved projections</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2"/>
                <w:szCs w:val="12"/>
                <w:color w:val="auto"/>
              </w:rPr>
              <w:t>FYE within 60 days and as amended/updated</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r>
        <w:trPr>
          <w:trHeight w:val="128"/>
        </w:trPr>
        <w:tc>
          <w:tcPr>
            <w:tcW w:w="60" w:type="dxa"/>
            <w:vAlign w:val="bottom"/>
            <w:tcBorders>
              <w:left w:val="single" w:sz="8" w:color="auto"/>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r>
      <w:tr>
        <w:trPr>
          <w:trHeight w:val="124"/>
        </w:trPr>
        <w:tc>
          <w:tcPr>
            <w:tcW w:w="60" w:type="dxa"/>
            <w:vAlign w:val="bottom"/>
            <w:tcBorders>
              <w:left w:val="single" w:sz="8" w:color="auto"/>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5260" w:type="dxa"/>
            <w:vAlign w:val="bottom"/>
            <w:tcBorders>
              <w:right w:val="single" w:sz="8" w:color="auto"/>
            </w:tcBorders>
            <w:gridSpan w:val="4"/>
          </w:tcPr>
          <w:p>
            <w:pPr>
              <w:spacing w:after="0" w:line="124" w:lineRule="exact"/>
              <w:rPr>
                <w:sz w:val="20"/>
                <w:szCs w:val="20"/>
                <w:color w:val="auto"/>
              </w:rPr>
            </w:pPr>
            <w:r>
              <w:rPr>
                <w:rFonts w:ascii="Arial" w:cs="Arial" w:eastAsia="Arial" w:hAnsi="Arial"/>
                <w:sz w:val="12"/>
                <w:szCs w:val="12"/>
                <w:b w:val="1"/>
                <w:bCs w:val="1"/>
                <w:color w:val="auto"/>
              </w:rPr>
              <w:t>Financial Covenants:</w:t>
            </w:r>
          </w:p>
        </w:tc>
        <w:tc>
          <w:tcPr>
            <w:tcW w:w="1120" w:type="dxa"/>
            <w:vAlign w:val="bottom"/>
            <w:tcBorders>
              <w:right w:val="single" w:sz="8" w:color="auto"/>
            </w:tcBorders>
            <w:gridSpan w:val="4"/>
          </w:tcPr>
          <w:p>
            <w:pPr>
              <w:ind w:left="40"/>
              <w:spacing w:after="0" w:line="124" w:lineRule="exact"/>
              <w:rPr>
                <w:sz w:val="20"/>
                <w:szCs w:val="20"/>
                <w:color w:val="auto"/>
              </w:rPr>
            </w:pPr>
            <w:r>
              <w:rPr>
                <w:rFonts w:ascii="Arial" w:cs="Arial" w:eastAsia="Arial" w:hAnsi="Arial"/>
                <w:sz w:val="12"/>
                <w:szCs w:val="12"/>
                <w:b w:val="1"/>
                <w:bCs w:val="1"/>
                <w:color w:val="auto"/>
              </w:rPr>
              <w:t>Applies</w:t>
            </w: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900" w:type="dxa"/>
            <w:vAlign w:val="bottom"/>
            <w:tcBorders>
              <w:right w:val="single" w:sz="8" w:color="auto"/>
            </w:tcBorders>
            <w:gridSpan w:val="4"/>
          </w:tcPr>
          <w:p>
            <w:pPr>
              <w:spacing w:after="0" w:line="124" w:lineRule="exact"/>
              <w:rPr>
                <w:sz w:val="20"/>
                <w:szCs w:val="20"/>
                <w:color w:val="auto"/>
              </w:rPr>
            </w:pPr>
            <w:r>
              <w:rPr>
                <w:rFonts w:ascii="Arial" w:cs="Arial" w:eastAsia="Arial" w:hAnsi="Arial"/>
                <w:sz w:val="12"/>
                <w:szCs w:val="12"/>
                <w:b w:val="1"/>
                <w:bCs w:val="1"/>
                <w:color w:val="auto"/>
              </w:rPr>
              <w:t>Required</w:t>
            </w:r>
          </w:p>
        </w:tc>
        <w:tc>
          <w:tcPr>
            <w:tcW w:w="40" w:type="dxa"/>
            <w:vAlign w:val="bottom"/>
          </w:tcPr>
          <w:p>
            <w:pPr>
              <w:spacing w:after="0"/>
              <w:rPr>
                <w:sz w:val="10"/>
                <w:szCs w:val="10"/>
                <w:color w:val="auto"/>
              </w:rPr>
            </w:pPr>
          </w:p>
        </w:tc>
        <w:tc>
          <w:tcPr>
            <w:tcW w:w="1560" w:type="dxa"/>
            <w:vAlign w:val="bottom"/>
            <w:tcBorders>
              <w:right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rPr>
              <w:t>Actual</w:t>
            </w:r>
          </w:p>
        </w:tc>
        <w:tc>
          <w:tcPr>
            <w:tcW w:w="1340" w:type="dxa"/>
            <w:vAlign w:val="bottom"/>
            <w:tcBorders>
              <w:right w:val="single" w:sz="8" w:color="auto"/>
            </w:tcBorders>
            <w:gridSpan w:val="3"/>
          </w:tcPr>
          <w:p>
            <w:pPr>
              <w:jc w:val="center"/>
              <w:ind w:right="40"/>
              <w:spacing w:after="0" w:line="124" w:lineRule="exact"/>
              <w:rPr>
                <w:sz w:val="20"/>
                <w:szCs w:val="20"/>
                <w:color w:val="auto"/>
              </w:rPr>
            </w:pPr>
            <w:r>
              <w:rPr>
                <w:rFonts w:ascii="Arial" w:cs="Arial" w:eastAsia="Arial" w:hAnsi="Arial"/>
                <w:sz w:val="12"/>
                <w:szCs w:val="12"/>
                <w:b w:val="1"/>
                <w:bCs w:val="1"/>
                <w:color w:val="auto"/>
                <w:w w:val="85"/>
              </w:rPr>
              <w:t>Complies</w:t>
            </w:r>
          </w:p>
        </w:tc>
      </w:tr>
      <w:tr>
        <w:trPr>
          <w:trHeight w:val="25"/>
        </w:trPr>
        <w:tc>
          <w:tcPr>
            <w:tcW w:w="60" w:type="dxa"/>
            <w:vAlign w:val="bottom"/>
            <w:tcBorders>
              <w:left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24"/>
        </w:trPr>
        <w:tc>
          <w:tcPr>
            <w:tcW w:w="60" w:type="dxa"/>
            <w:vAlign w:val="bottom"/>
            <w:tcBorders>
              <w:left w:val="single" w:sz="8" w:color="auto"/>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r>
      <w:tr>
        <w:trPr>
          <w:trHeight w:val="155"/>
        </w:trPr>
        <w:tc>
          <w:tcPr>
            <w:tcW w:w="60" w:type="dxa"/>
            <w:vAlign w:val="bottom"/>
            <w:tcBorders>
              <w:left w:val="single" w:sz="8" w:color="auto"/>
              <w:bottom w:val="single" w:sz="8" w:color="auto"/>
            </w:tcBorders>
          </w:tcPr>
          <w:p>
            <w:pPr>
              <w:spacing w:after="0"/>
              <w:rPr>
                <w:sz w:val="13"/>
                <w:szCs w:val="13"/>
                <w:color w:val="auto"/>
              </w:rPr>
            </w:pPr>
          </w:p>
        </w:tc>
        <w:tc>
          <w:tcPr>
            <w:tcW w:w="5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2"/>
                <w:szCs w:val="12"/>
                <w:color w:val="auto"/>
              </w:rPr>
              <w:t>Maintain as indicated:</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r>
      <w:tr>
        <w:trPr>
          <w:trHeight w:val="160"/>
        </w:trPr>
        <w:tc>
          <w:tcPr>
            <w:tcW w:w="60" w:type="dxa"/>
            <w:vAlign w:val="bottom"/>
            <w:tcBorders>
              <w:left w:val="single" w:sz="8" w:color="auto"/>
              <w:bottom w:val="single" w:sz="8" w:color="auto"/>
            </w:tcBorders>
          </w:tcPr>
          <w:p>
            <w:pPr>
              <w:spacing w:after="0"/>
              <w:rPr>
                <w:sz w:val="13"/>
                <w:szCs w:val="13"/>
                <w:color w:val="auto"/>
              </w:rPr>
            </w:pPr>
          </w:p>
        </w:tc>
        <w:tc>
          <w:tcPr>
            <w:tcW w:w="5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2"/>
                <w:szCs w:val="12"/>
                <w:color w:val="auto"/>
              </w:rPr>
              <w:t>AQR</w:t>
            </w: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2"/>
                <w:szCs w:val="12"/>
                <w:color w:val="auto"/>
              </w:rPr>
              <w:t>Yes No</w:t>
            </w: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1.25:1.0</w:t>
            </w:r>
          </w:p>
        </w:tc>
        <w:tc>
          <w:tcPr>
            <w:tcW w:w="6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____:1.0</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r>
        <w:trPr>
          <w:trHeight w:val="160"/>
        </w:trPr>
        <w:tc>
          <w:tcPr>
            <w:tcW w:w="60" w:type="dxa"/>
            <w:vAlign w:val="bottom"/>
            <w:tcBorders>
              <w:left w:val="single" w:sz="8" w:color="auto"/>
              <w:bottom w:val="single" w:sz="8" w:color="auto"/>
            </w:tcBorders>
          </w:tcPr>
          <w:p>
            <w:pPr>
              <w:spacing w:after="0"/>
              <w:rPr>
                <w:sz w:val="13"/>
                <w:szCs w:val="13"/>
                <w:color w:val="auto"/>
              </w:rPr>
            </w:pPr>
          </w:p>
        </w:tc>
        <w:tc>
          <w:tcPr>
            <w:tcW w:w="5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2"/>
                <w:szCs w:val="12"/>
                <w:color w:val="auto"/>
              </w:rPr>
              <w:t>Minimum Trailing 6 Month Revenue</w:t>
            </w: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2"/>
                <w:szCs w:val="12"/>
                <w:color w:val="auto"/>
              </w:rPr>
              <w:t>Yes No</w:t>
            </w:r>
          </w:p>
        </w:tc>
        <w:tc>
          <w:tcPr>
            <w:tcW w:w="40" w:type="dxa"/>
            <w:vAlign w:val="bottom"/>
            <w:tcBorders>
              <w:bottom w:val="single" w:sz="8" w:color="auto"/>
            </w:tcBorders>
          </w:tcPr>
          <w:p>
            <w:pPr>
              <w:spacing w:after="0"/>
              <w:rPr>
                <w:sz w:val="13"/>
                <w:szCs w:val="13"/>
                <w:color w:val="auto"/>
              </w:rPr>
            </w:pPr>
          </w:p>
        </w:tc>
        <w:tc>
          <w:tcPr>
            <w:tcW w:w="19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2"/>
                <w:szCs w:val="12"/>
                <w:i w:val="1"/>
                <w:iCs w:val="1"/>
                <w:color w:val="auto"/>
              </w:rPr>
              <w:t>See Section 5.8(b)</w:t>
            </w:r>
          </w:p>
        </w:tc>
        <w:tc>
          <w:tcPr>
            <w:tcW w:w="16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$________</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86"/>
              </w:rPr>
              <w:t>Yes No</w:t>
            </w:r>
          </w:p>
        </w:tc>
      </w:tr>
    </w:tbl>
    <w:p>
      <w:pPr>
        <w:spacing w:after="0" w:line="21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financial covenant analyses and information set forth in Schedule 1 attached hereto are true and correct as of the date of this Compliance Statement.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the exceptions with respect to the statements above: (If no exceptions exist, state “No exceptions to note.”)</w:t>
      </w: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11360"/>
          </w:cols>
          <w:pgMar w:left="300" w:top="991" w:right="239" w:bottom="1440" w:gutter="0" w:footer="0" w:header="0"/>
          <w:type w:val="continuous"/>
        </w:sectPr>
      </w:pPr>
    </w:p>
    <w:bookmarkStart w:id="143" w:name="page144"/>
    <w:bookmarkEnd w:id="143"/>
    <w:p>
      <w:pPr>
        <w:jc w:val="center"/>
        <w:ind w:right="-7"/>
        <w:spacing w:after="0"/>
        <w:rPr>
          <w:sz w:val="20"/>
          <w:szCs w:val="20"/>
          <w:color w:val="auto"/>
        </w:rPr>
      </w:pPr>
      <w:r>
        <w:rPr>
          <w:rFonts w:ascii="Arial" w:cs="Arial" w:eastAsia="Arial" w:hAnsi="Arial"/>
          <w:sz w:val="12"/>
          <w:szCs w:val="12"/>
          <w:b w:val="1"/>
          <w:bCs w:val="1"/>
          <w:u w:val="single" w:color="auto"/>
          <w:color w:val="auto"/>
        </w:rPr>
        <w:t>Schedule 1 to Compliance Statement</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Financial Covenants of Borrower</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the event of a conflict between this Schedule and the Agreement, the terms of the Agreement shall govern.</w:t>
      </w:r>
    </w:p>
    <w:p>
      <w:pPr>
        <w:spacing w:after="0" w:line="159"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0"/>
          <w:szCs w:val="10"/>
          <w:color w:val="auto"/>
        </w:rPr>
        <w:t>____________________</w:t>
      </w:r>
    </w:p>
    <w:p>
      <w:pPr>
        <w:spacing w:after="0" w:line="317" w:lineRule="exact"/>
        <w:rPr>
          <w:sz w:val="20"/>
          <w:szCs w:val="20"/>
          <w:color w:val="auto"/>
        </w:rPr>
      </w:pPr>
    </w:p>
    <w:p>
      <w:pPr>
        <w:ind w:left="8"/>
        <w:spacing w:after="0"/>
        <w:tabs>
          <w:tab w:leader="none" w:pos="168" w:val="left"/>
        </w:tabs>
        <w:rPr>
          <w:sz w:val="20"/>
          <w:szCs w:val="20"/>
          <w:color w:val="auto"/>
        </w:rPr>
      </w:pPr>
      <w:r>
        <w:rPr>
          <w:rFonts w:ascii="Arial" w:cs="Arial" w:eastAsia="Arial" w:hAnsi="Arial"/>
          <w:sz w:val="12"/>
          <w:szCs w:val="12"/>
          <w:b w:val="1"/>
          <w:bCs w:val="1"/>
          <w:color w:val="auto"/>
        </w:rPr>
        <w:t>I.</w:t>
      </w:r>
      <w:r>
        <w:rPr>
          <w:sz w:val="20"/>
          <w:szCs w:val="20"/>
          <w:color w:val="auto"/>
        </w:rPr>
        <w:tab/>
      </w:r>
      <w:r>
        <w:rPr>
          <w:rFonts w:ascii="Arial" w:cs="Arial" w:eastAsia="Arial" w:hAnsi="Arial"/>
          <w:sz w:val="10"/>
          <w:szCs w:val="10"/>
          <w:b w:val="1"/>
          <w:bCs w:val="1"/>
          <w:color w:val="auto"/>
        </w:rPr>
        <w:t>Adjusted Quick Ratio (Section 5.8(a))</w:t>
      </w:r>
    </w:p>
    <w:p>
      <w:pPr>
        <w:spacing w:after="0" w:line="163" w:lineRule="exact"/>
        <w:rPr>
          <w:sz w:val="20"/>
          <w:szCs w:val="20"/>
          <w:color w:val="auto"/>
        </w:rPr>
      </w:pPr>
    </w:p>
    <w:p>
      <w:pPr>
        <w:ind w:left="8"/>
        <w:spacing w:after="0"/>
        <w:tabs>
          <w:tab w:leader="none" w:pos="3288" w:val="left"/>
        </w:tabs>
        <w:rPr>
          <w:sz w:val="20"/>
          <w:szCs w:val="20"/>
          <w:color w:val="auto"/>
        </w:rPr>
      </w:pPr>
      <w:r>
        <w:rPr>
          <w:rFonts w:ascii="Arial" w:cs="Arial" w:eastAsia="Arial" w:hAnsi="Arial"/>
          <w:sz w:val="12"/>
          <w:szCs w:val="12"/>
          <w:color w:val="auto"/>
        </w:rPr>
        <w:t>Required at all times when Liquidity is less than $135,000,000.00:</w:t>
      </w:r>
      <w:r>
        <w:rPr>
          <w:sz w:val="20"/>
          <w:szCs w:val="20"/>
          <w:color w:val="auto"/>
        </w:rPr>
        <w:tab/>
      </w:r>
      <w:r>
        <w:rPr>
          <w:rFonts w:ascii="Arial" w:cs="Arial" w:eastAsia="Arial" w:hAnsi="Arial"/>
          <w:sz w:val="11"/>
          <w:szCs w:val="11"/>
          <w:color w:val="auto"/>
        </w:rPr>
        <w:t>1.25:1.00</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80" w:type="dxa"/>
            <w:vAlign w:val="bottom"/>
          </w:tcPr>
          <w:p>
            <w:pPr>
              <w:spacing w:after="0"/>
              <w:rPr>
                <w:sz w:val="20"/>
                <w:szCs w:val="20"/>
                <w:color w:val="auto"/>
              </w:rPr>
            </w:pPr>
            <w:r>
              <w:rPr>
                <w:rFonts w:ascii="Arial" w:cs="Arial" w:eastAsia="Arial" w:hAnsi="Arial"/>
                <w:sz w:val="12"/>
                <w:szCs w:val="12"/>
                <w:color w:val="auto"/>
              </w:rPr>
              <w:t>Actual:</w:t>
            </w:r>
          </w:p>
        </w:tc>
        <w:tc>
          <w:tcPr>
            <w:tcW w:w="71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33"/>
        </w:trPr>
        <w:tc>
          <w:tcPr>
            <w:tcW w:w="580" w:type="dxa"/>
            <w:vAlign w:val="bottom"/>
          </w:tcPr>
          <w:p>
            <w:pPr>
              <w:ind w:left="100"/>
              <w:spacing w:after="0"/>
              <w:rPr>
                <w:sz w:val="20"/>
                <w:szCs w:val="20"/>
                <w:color w:val="auto"/>
              </w:rPr>
            </w:pPr>
            <w:r>
              <w:rPr>
                <w:rFonts w:ascii="Arial" w:cs="Arial" w:eastAsia="Arial" w:hAnsi="Arial"/>
                <w:sz w:val="12"/>
                <w:szCs w:val="12"/>
                <w:color w:val="auto"/>
              </w:rPr>
              <w:t>A.</w:t>
            </w:r>
          </w:p>
        </w:tc>
        <w:tc>
          <w:tcPr>
            <w:tcW w:w="7140" w:type="dxa"/>
            <w:vAlign w:val="bottom"/>
          </w:tcPr>
          <w:p>
            <w:pPr>
              <w:ind w:left="240"/>
              <w:spacing w:after="0"/>
              <w:rPr>
                <w:sz w:val="20"/>
                <w:szCs w:val="20"/>
                <w:color w:val="auto"/>
              </w:rPr>
            </w:pPr>
            <w:r>
              <w:rPr>
                <w:rFonts w:ascii="Arial" w:cs="Arial" w:eastAsia="Arial" w:hAnsi="Arial"/>
                <w:sz w:val="12"/>
                <w:szCs w:val="12"/>
                <w:color w:val="auto"/>
              </w:rPr>
              <w:t>Aggregate value of the unrestricted and unencumbered cash and cash equivalents of Borrower</w:t>
            </w:r>
          </w:p>
        </w:tc>
        <w:tc>
          <w:tcPr>
            <w:tcW w:w="2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80" w:type="dxa"/>
            <w:vAlign w:val="bottom"/>
          </w:tcPr>
          <w:p>
            <w:pPr>
              <w:ind w:left="100"/>
              <w:spacing w:after="0"/>
              <w:rPr>
                <w:sz w:val="20"/>
                <w:szCs w:val="20"/>
                <w:color w:val="auto"/>
              </w:rPr>
            </w:pPr>
            <w:r>
              <w:rPr>
                <w:rFonts w:ascii="Arial" w:cs="Arial" w:eastAsia="Arial" w:hAnsi="Arial"/>
                <w:sz w:val="12"/>
                <w:szCs w:val="12"/>
                <w:color w:val="auto"/>
              </w:rPr>
              <w:t>B.</w:t>
            </w:r>
          </w:p>
        </w:tc>
        <w:tc>
          <w:tcPr>
            <w:tcW w:w="7140" w:type="dxa"/>
            <w:vAlign w:val="bottom"/>
          </w:tcPr>
          <w:p>
            <w:pPr>
              <w:ind w:left="240"/>
              <w:spacing w:after="0"/>
              <w:rPr>
                <w:sz w:val="20"/>
                <w:szCs w:val="20"/>
                <w:color w:val="auto"/>
              </w:rPr>
            </w:pPr>
            <w:r>
              <w:rPr>
                <w:rFonts w:ascii="Arial" w:cs="Arial" w:eastAsia="Arial" w:hAnsi="Arial"/>
                <w:sz w:val="12"/>
                <w:szCs w:val="12"/>
                <w:color w:val="auto"/>
              </w:rPr>
              <w:t>Aggregate value of the net billed accounts receivable of Borrower</w:t>
            </w:r>
          </w:p>
        </w:tc>
        <w:tc>
          <w:tcPr>
            <w:tcW w:w="2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80" w:type="dxa"/>
            <w:vAlign w:val="bottom"/>
          </w:tcPr>
          <w:p>
            <w:pPr>
              <w:ind w:left="100"/>
              <w:spacing w:after="0"/>
              <w:rPr>
                <w:sz w:val="20"/>
                <w:szCs w:val="20"/>
                <w:color w:val="auto"/>
              </w:rPr>
            </w:pPr>
            <w:r>
              <w:rPr>
                <w:rFonts w:ascii="Arial" w:cs="Arial" w:eastAsia="Arial" w:hAnsi="Arial"/>
                <w:sz w:val="12"/>
                <w:szCs w:val="12"/>
                <w:color w:val="auto"/>
              </w:rPr>
              <w:t>C.</w:t>
            </w:r>
          </w:p>
        </w:tc>
        <w:tc>
          <w:tcPr>
            <w:tcW w:w="7140" w:type="dxa"/>
            <w:vAlign w:val="bottom"/>
          </w:tcPr>
          <w:p>
            <w:pPr>
              <w:ind w:left="240"/>
              <w:spacing w:after="0"/>
              <w:rPr>
                <w:sz w:val="20"/>
                <w:szCs w:val="20"/>
                <w:color w:val="auto"/>
              </w:rPr>
            </w:pPr>
            <w:r>
              <w:rPr>
                <w:rFonts w:ascii="Arial" w:cs="Arial" w:eastAsia="Arial" w:hAnsi="Arial"/>
                <w:sz w:val="12"/>
                <w:szCs w:val="12"/>
                <w:color w:val="auto"/>
              </w:rPr>
              <w:t>Quick Assets (the sum of lines A and B)</w:t>
            </w:r>
          </w:p>
        </w:tc>
        <w:tc>
          <w:tcPr>
            <w:tcW w:w="2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80" w:type="dxa"/>
            <w:vAlign w:val="bottom"/>
          </w:tcPr>
          <w:p>
            <w:pPr>
              <w:ind w:left="100"/>
              <w:spacing w:after="0"/>
              <w:rPr>
                <w:sz w:val="20"/>
                <w:szCs w:val="20"/>
                <w:color w:val="auto"/>
              </w:rPr>
            </w:pPr>
            <w:r>
              <w:rPr>
                <w:rFonts w:ascii="Arial" w:cs="Arial" w:eastAsia="Arial" w:hAnsi="Arial"/>
                <w:sz w:val="12"/>
                <w:szCs w:val="12"/>
                <w:color w:val="auto"/>
              </w:rPr>
              <w:t>D.</w:t>
            </w:r>
          </w:p>
        </w:tc>
        <w:tc>
          <w:tcPr>
            <w:tcW w:w="7140" w:type="dxa"/>
            <w:vAlign w:val="bottom"/>
          </w:tcPr>
          <w:p>
            <w:pPr>
              <w:ind w:left="240"/>
              <w:spacing w:after="0"/>
              <w:rPr>
                <w:sz w:val="20"/>
                <w:szCs w:val="20"/>
                <w:color w:val="auto"/>
              </w:rPr>
            </w:pPr>
            <w:r>
              <w:rPr>
                <w:rFonts w:ascii="Arial" w:cs="Arial" w:eastAsia="Arial" w:hAnsi="Arial"/>
                <w:sz w:val="12"/>
                <w:szCs w:val="12"/>
                <w:color w:val="auto"/>
              </w:rPr>
              <w:t>Aggregate value of Obligations to Bank</w:t>
            </w:r>
          </w:p>
        </w:tc>
        <w:tc>
          <w:tcPr>
            <w:tcW w:w="24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8" w:lineRule="exact"/>
        <w:rPr>
          <w:sz w:val="20"/>
          <w:szCs w:val="20"/>
          <w:color w:val="auto"/>
        </w:rPr>
      </w:pPr>
    </w:p>
    <w:p>
      <w:pPr>
        <w:ind w:left="828" w:right="6140" w:hanging="718"/>
        <w:spacing w:after="0" w:line="260" w:lineRule="auto"/>
        <w:tabs>
          <w:tab w:leader="none" w:pos="828"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Aggregate value of liabilities of Borrower and its Subsidiaries (including all Indebtedness) that matures within one (1) year</w:t>
      </w:r>
    </w:p>
    <w:p>
      <w:pPr>
        <w:spacing w:after="0" w:line="25" w:lineRule="exact"/>
        <w:rPr>
          <w:sz w:val="20"/>
          <w:szCs w:val="20"/>
          <w:color w:val="auto"/>
        </w:rPr>
      </w:pPr>
    </w:p>
    <w:p>
      <w:pPr>
        <w:ind w:left="10108"/>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6450965</wp:posOffset>
            </wp:positionH>
            <wp:positionV relativeFrom="paragraph">
              <wp:posOffset>-6985</wp:posOffset>
            </wp:positionV>
            <wp:extent cx="762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13" w:lineRule="exact"/>
        <w:rPr>
          <w:sz w:val="20"/>
          <w:szCs w:val="20"/>
          <w:color w:val="auto"/>
        </w:rPr>
      </w:pPr>
    </w:p>
    <w:p>
      <w:pPr>
        <w:ind w:left="108"/>
        <w:spacing w:after="0"/>
        <w:tabs>
          <w:tab w:leader="none" w:pos="808" w:val="left"/>
          <w:tab w:leader="none" w:pos="10088" w:val="left"/>
        </w:tabs>
        <w:rPr>
          <w:sz w:val="20"/>
          <w:szCs w:val="20"/>
          <w:color w:val="auto"/>
        </w:rPr>
      </w:pPr>
      <w:r>
        <w:rPr>
          <w:rFonts w:ascii="Arial" w:cs="Arial" w:eastAsia="Arial" w:hAnsi="Arial"/>
          <w:sz w:val="12"/>
          <w:szCs w:val="12"/>
          <w:color w:val="auto"/>
        </w:rPr>
        <w:t>F.</w:t>
      </w:r>
      <w:r>
        <w:rPr>
          <w:sz w:val="20"/>
          <w:szCs w:val="20"/>
          <w:color w:val="auto"/>
        </w:rPr>
        <w:tab/>
      </w:r>
      <w:r>
        <w:rPr>
          <w:rFonts w:ascii="Arial" w:cs="Arial" w:eastAsia="Arial" w:hAnsi="Arial"/>
          <w:sz w:val="12"/>
          <w:szCs w:val="12"/>
          <w:color w:val="auto"/>
        </w:rPr>
        <w:t>Current Liabilities (the sum of lines D and E)</w:t>
      </w:r>
      <w:r>
        <w:rPr>
          <w:sz w:val="20"/>
          <w:szCs w:val="20"/>
          <w:color w:val="auto"/>
        </w:rPr>
        <w:tab/>
      </w:r>
      <w:r>
        <w:rPr>
          <w:rFonts w:ascii="Arial" w:cs="Arial" w:eastAsia="Arial" w:hAnsi="Arial"/>
          <w:sz w:val="10"/>
          <w:szCs w:val="10"/>
          <w:color w:val="auto"/>
        </w:rPr>
        <w:t>$</w:t>
      </w:r>
    </w:p>
    <w:p>
      <w:pPr>
        <w:spacing w:after="0" w:line="33" w:lineRule="exact"/>
        <w:rPr>
          <w:sz w:val="20"/>
          <w:szCs w:val="20"/>
          <w:color w:val="auto"/>
        </w:rPr>
      </w:pPr>
    </w:p>
    <w:p>
      <w:pPr>
        <w:ind w:left="828" w:hanging="718"/>
        <w:spacing w:after="0"/>
        <w:tabs>
          <w:tab w:leader="none" w:pos="828" w:val="left"/>
        </w:tabs>
        <w:numPr>
          <w:ilvl w:val="0"/>
          <w:numId w:val="106"/>
        </w:numPr>
        <w:rPr>
          <w:rFonts w:ascii="Arial" w:cs="Arial" w:eastAsia="Arial" w:hAnsi="Arial"/>
          <w:sz w:val="12"/>
          <w:szCs w:val="12"/>
          <w:color w:val="auto"/>
        </w:rPr>
      </w:pPr>
      <w:r>
        <w:rPr>
          <w:rFonts w:ascii="Arial" w:cs="Arial" w:eastAsia="Arial" w:hAnsi="Arial"/>
          <w:sz w:val="12"/>
          <w:szCs w:val="12"/>
          <w:color w:val="auto"/>
        </w:rPr>
        <w:t>Quick Ratio (line C divided by line F)</w:t>
      </w:r>
    </w:p>
    <w:p>
      <w:pPr>
        <w:spacing w:after="0" w:line="78"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Is line G equal to or greater than 1.25:1:00?</w:t>
      </w:r>
    </w:p>
    <w:p>
      <w:pPr>
        <w:spacing w:after="0" w:line="159" w:lineRule="exact"/>
        <w:rPr>
          <w:sz w:val="20"/>
          <w:szCs w:val="20"/>
          <w:color w:val="auto"/>
        </w:rPr>
      </w:pPr>
    </w:p>
    <w:p>
      <w:pPr>
        <w:ind w:left="188"/>
        <w:spacing w:after="0"/>
        <w:tabs>
          <w:tab w:leader="none" w:pos="2008" w:val="left"/>
        </w:tabs>
        <w:rPr>
          <w:sz w:val="20"/>
          <w:szCs w:val="20"/>
          <w:color w:val="auto"/>
        </w:rPr>
      </w:pPr>
      <w:r>
        <w:rPr>
          <w:rFonts w:ascii="Arial" w:cs="Arial" w:eastAsia="Arial" w:hAnsi="Arial"/>
          <w:sz w:val="12"/>
          <w:szCs w:val="12"/>
          <w:color w:val="auto"/>
        </w:rPr>
        <w:t>No, not in compliance</w:t>
      </w:r>
      <w:r>
        <w:rPr>
          <w:sz w:val="20"/>
          <w:szCs w:val="20"/>
          <w:color w:val="auto"/>
        </w:rPr>
        <w:tab/>
      </w:r>
      <w:r>
        <w:rPr>
          <w:rFonts w:ascii="Arial" w:cs="Arial" w:eastAsia="Arial" w:hAnsi="Arial"/>
          <w:sz w:val="10"/>
          <w:szCs w:val="10"/>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62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6200" cy="571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-6985</wp:posOffset>
            </wp:positionV>
            <wp:extent cx="762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297" w:lineRule="exact"/>
        <w:rPr>
          <w:sz w:val="20"/>
          <w:szCs w:val="20"/>
          <w:color w:val="auto"/>
        </w:rPr>
      </w:pPr>
    </w:p>
    <w:p>
      <w:pPr>
        <w:ind w:left="248" w:hanging="248"/>
        <w:spacing w:after="0"/>
        <w:tabs>
          <w:tab w:leader="none" w:pos="248"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Minimum Revenue (Section 5.8(b))</w:t>
      </w:r>
    </w:p>
    <w:p>
      <w:pPr>
        <w:spacing w:after="0" w:line="163" w:lineRule="exact"/>
        <w:rPr>
          <w:sz w:val="20"/>
          <w:szCs w:val="20"/>
          <w:color w:val="auto"/>
        </w:rPr>
      </w:pPr>
    </w:p>
    <w:p>
      <w:pPr>
        <w:jc w:val="both"/>
        <w:ind w:left="8"/>
        <w:spacing w:after="0" w:line="360" w:lineRule="auto"/>
        <w:rPr>
          <w:sz w:val="20"/>
          <w:szCs w:val="20"/>
          <w:color w:val="auto"/>
        </w:rPr>
      </w:pPr>
      <w:r>
        <w:rPr>
          <w:rFonts w:ascii="Arial" w:cs="Arial" w:eastAsia="Arial" w:hAnsi="Arial"/>
          <w:sz w:val="10"/>
          <w:szCs w:val="10"/>
          <w:color w:val="auto"/>
        </w:rPr>
        <w:t>Required at all times when (i) Liquidity is less than $135,000,000.00, and (ii) the sum of (A) the outstanding principal amount of all Advances, plus the accrued and unpaid interest thereon, plus (B) all amounts used for Cash Management Services, plus (C) the aggregate Dollar Equivalent of the face amount of outstanding Letters of Credit (including drawn but unreimbursed Letters of Credit and any Letter of Credit Reserve), is greater than $50,000,000.00:</w:t>
      </w:r>
    </w:p>
    <w:p>
      <w:pPr>
        <w:sectPr>
          <w:pgSz w:w="11900" w:h="16838" w:orient="portrait"/>
          <w:cols w:equalWidth="0" w:num="1">
            <w:col w:w="11308"/>
          </w:cols>
          <w:pgMar w:left="292" w:top="991" w:right="29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57"/>
        </w:trPr>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b w:val="1"/>
                <w:bCs w:val="1"/>
                <w:color w:val="auto"/>
                <w:w w:val="92"/>
              </w:rPr>
              <w:t>Trailing 6 Month Period Ending</w:t>
            </w:r>
          </w:p>
        </w:tc>
        <w:tc>
          <w:tcPr>
            <w:tcW w:w="2580" w:type="dxa"/>
            <w:vAlign w:val="bottom"/>
          </w:tcPr>
          <w:p>
            <w:pPr>
              <w:ind w:left="1600"/>
              <w:spacing w:after="0"/>
              <w:rPr>
                <w:sz w:val="20"/>
                <w:szCs w:val="20"/>
                <w:color w:val="auto"/>
              </w:rPr>
            </w:pPr>
            <w:r>
              <w:rPr>
                <w:rFonts w:ascii="Arial" w:cs="Arial" w:eastAsia="Arial" w:hAnsi="Arial"/>
                <w:sz w:val="12"/>
                <w:szCs w:val="12"/>
                <w:b w:val="1"/>
                <w:bCs w:val="1"/>
                <w:color w:val="auto"/>
                <w:w w:val="90"/>
              </w:rPr>
              <w:t>Minimum Revenue</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89"/>
              </w:rPr>
              <w:t>December 31, 2021</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$100,000,000.00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88"/>
              </w:rPr>
              <w:t>January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$101,666,667.00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9"/>
              </w:rPr>
              <w:t>February 28,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$103,333,333.00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1"/>
              </w:rPr>
              <w:t>March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$105,000,000.00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94"/>
              </w:rPr>
              <w:t>April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$106,666,667.00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3"/>
              </w:rPr>
              <w:t>May 31, 2022</w:t>
            </w:r>
          </w:p>
        </w:tc>
        <w:tc>
          <w:tcPr>
            <w:tcW w:w="2580" w:type="dxa"/>
            <w:vAlign w:val="bottom"/>
          </w:tcPr>
          <w:p>
            <w:pPr>
              <w:jc w:val="center"/>
              <w:ind w:left="1560"/>
              <w:spacing w:after="0"/>
              <w:rPr>
                <w:sz w:val="20"/>
                <w:szCs w:val="20"/>
                <w:color w:val="auto"/>
              </w:rPr>
            </w:pPr>
            <w:r>
              <w:rPr>
                <w:rFonts w:ascii="Arial" w:cs="Arial" w:eastAsia="Arial" w:hAnsi="Arial"/>
                <w:sz w:val="12"/>
                <w:szCs w:val="12"/>
                <w:color w:val="auto"/>
                <w:w w:val="88"/>
              </w:rPr>
              <w:t>$111,666,667.00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9"/>
              </w:rPr>
              <w:t>June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$120,000,000.00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9"/>
              </w:rPr>
              <w:t>July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$121,666,667.00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1"/>
              </w:rPr>
              <w:t>August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$123,333,333.00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8"/>
              </w:rPr>
              <w:t>September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$125,000,000.00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0"/>
              </w:rPr>
              <w:t>October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$126,666,667.00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1"/>
              </w:rPr>
              <w:t>November 30,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$128,333,333.00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89"/>
              </w:rPr>
              <w:t>December 31, 2022</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$130,000,000.00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88"/>
              </w:rPr>
              <w:t>January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$131,666,667.00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9"/>
              </w:rPr>
              <w:t>February 28,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$136,666,667.00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1"/>
              </w:rPr>
              <w:t>March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88"/>
              </w:rPr>
              <w:t>$145,000,00.00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94"/>
              </w:rPr>
              <w:t>April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$146,666,667.00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3"/>
              </w:rPr>
              <w:t>May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$151,666,667.00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9"/>
              </w:rPr>
              <w:t>June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$160,000,000.00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9"/>
              </w:rPr>
              <w:t>July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$161,666,667.00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1"/>
              </w:rPr>
              <w:t>August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$166,666,667.00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88"/>
              </w:rPr>
              <w:t>September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$175,000,000.00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0"/>
              </w:rPr>
              <w:t>October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$176,666,667.00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80"/>
              <w:spacing w:after="0"/>
              <w:rPr>
                <w:sz w:val="20"/>
                <w:szCs w:val="20"/>
                <w:color w:val="auto"/>
              </w:rPr>
            </w:pPr>
            <w:r>
              <w:rPr>
                <w:rFonts w:ascii="Arial" w:cs="Arial" w:eastAsia="Arial" w:hAnsi="Arial"/>
                <w:sz w:val="12"/>
                <w:szCs w:val="12"/>
                <w:color w:val="auto"/>
                <w:w w:val="91"/>
              </w:rPr>
              <w:t>November 30,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$178,333,333.00</w:t>
            </w:r>
          </w:p>
        </w:tc>
      </w:tr>
      <w:tr>
        <w:trPr>
          <w:trHeight w:val="171"/>
        </w:trPr>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ind w:right="1160"/>
              <w:spacing w:after="0"/>
              <w:rPr>
                <w:sz w:val="20"/>
                <w:szCs w:val="20"/>
                <w:color w:val="auto"/>
              </w:rPr>
            </w:pPr>
            <w:r>
              <w:rPr>
                <w:rFonts w:ascii="Arial" w:cs="Arial" w:eastAsia="Arial" w:hAnsi="Arial"/>
                <w:sz w:val="12"/>
                <w:szCs w:val="12"/>
                <w:color w:val="auto"/>
                <w:w w:val="89"/>
              </w:rPr>
              <w:t>December 31, 2023</w:t>
            </w:r>
          </w:p>
        </w:tc>
        <w:tc>
          <w:tcPr>
            <w:tcW w:w="2580" w:type="dxa"/>
            <w:vAlign w:val="bottom"/>
          </w:tcPr>
          <w:p>
            <w:pPr>
              <w:jc w:val="center"/>
              <w:ind w:left="1540"/>
              <w:spacing w:after="0"/>
              <w:rPr>
                <w:sz w:val="20"/>
                <w:szCs w:val="20"/>
                <w:color w:val="auto"/>
              </w:rPr>
            </w:pPr>
            <w:r>
              <w:rPr>
                <w:rFonts w:ascii="Arial" w:cs="Arial" w:eastAsia="Arial" w:hAnsi="Arial"/>
                <w:sz w:val="12"/>
                <w:szCs w:val="12"/>
                <w:color w:val="auto"/>
                <w:w w:val="90"/>
              </w:rPr>
              <w:t>$180,000,000.00</w:t>
            </w:r>
          </w:p>
        </w:tc>
      </w:tr>
      <w:tr>
        <w:trPr>
          <w:trHeight w:val="378"/>
        </w:trPr>
        <w:tc>
          <w:tcPr>
            <w:tcW w:w="5560" w:type="dxa"/>
            <w:vAlign w:val="bottom"/>
            <w:gridSpan w:val="4"/>
          </w:tcPr>
          <w:p>
            <w:pPr>
              <w:spacing w:after="0"/>
              <w:rPr>
                <w:sz w:val="20"/>
                <w:szCs w:val="20"/>
                <w:color w:val="auto"/>
              </w:rPr>
            </w:pPr>
            <w:r>
              <w:rPr>
                <w:rFonts w:ascii="Arial" w:cs="Arial" w:eastAsia="Arial" w:hAnsi="Arial"/>
                <w:sz w:val="12"/>
                <w:szCs w:val="12"/>
                <w:i w:val="1"/>
                <w:iCs w:val="1"/>
                <w:color w:val="auto"/>
              </w:rPr>
              <w:t>*See Section 5.8(b) with respect to each period after December 31, 2023</w:t>
            </w:r>
          </w:p>
        </w:tc>
        <w:tc>
          <w:tcPr>
            <w:tcW w:w="2580" w:type="dxa"/>
            <w:vAlign w:val="bottom"/>
          </w:tcPr>
          <w:p>
            <w:pPr>
              <w:spacing w:after="0"/>
              <w:rPr>
                <w:sz w:val="24"/>
                <w:szCs w:val="24"/>
                <w:color w:val="auto"/>
              </w:rPr>
            </w:pPr>
          </w:p>
        </w:tc>
      </w:tr>
      <w:tr>
        <w:trPr>
          <w:trHeight w:val="270"/>
        </w:trPr>
        <w:tc>
          <w:tcPr>
            <w:tcW w:w="120" w:type="dxa"/>
            <w:vAlign w:val="bottom"/>
            <w:tcBorders>
              <w:bottom w:val="single" w:sz="8" w:color="auto"/>
            </w:tcBorders>
          </w:tcPr>
          <w:p>
            <w:pPr>
              <w:spacing w:after="0"/>
              <w:rPr>
                <w:sz w:val="23"/>
                <w:szCs w:val="23"/>
                <w:color w:val="auto"/>
              </w:rPr>
            </w:pPr>
          </w:p>
        </w:tc>
        <w:tc>
          <w:tcPr>
            <w:tcW w:w="1720" w:type="dxa"/>
            <w:vAlign w:val="bottom"/>
          </w:tcPr>
          <w:p>
            <w:pPr>
              <w:ind w:left="60"/>
              <w:spacing w:after="0"/>
              <w:rPr>
                <w:sz w:val="20"/>
                <w:szCs w:val="20"/>
                <w:color w:val="auto"/>
              </w:rPr>
            </w:pPr>
            <w:r>
              <w:rPr>
                <w:rFonts w:ascii="Arial" w:cs="Arial" w:eastAsia="Arial" w:hAnsi="Arial"/>
                <w:sz w:val="12"/>
                <w:szCs w:val="12"/>
                <w:color w:val="auto"/>
              </w:rPr>
              <w:t>No, not in compliance</w:t>
            </w:r>
          </w:p>
        </w:tc>
        <w:tc>
          <w:tcPr>
            <w:tcW w:w="120" w:type="dxa"/>
            <w:vAlign w:val="bottom"/>
            <w:tcBorders>
              <w:bottom w:val="single" w:sz="8" w:color="auto"/>
            </w:tcBorders>
          </w:tcPr>
          <w:p>
            <w:pPr>
              <w:spacing w:after="0"/>
              <w:rPr>
                <w:sz w:val="23"/>
                <w:szCs w:val="23"/>
                <w:color w:val="auto"/>
              </w:rPr>
            </w:pPr>
          </w:p>
        </w:tc>
        <w:tc>
          <w:tcPr>
            <w:tcW w:w="3600" w:type="dxa"/>
            <w:vAlign w:val="bottom"/>
          </w:tcPr>
          <w:p>
            <w:pPr>
              <w:ind w:left="60"/>
              <w:spacing w:after="0"/>
              <w:rPr>
                <w:sz w:val="20"/>
                <w:szCs w:val="20"/>
                <w:color w:val="auto"/>
              </w:rPr>
            </w:pPr>
            <w:r>
              <w:rPr>
                <w:rFonts w:ascii="Arial" w:cs="Arial" w:eastAsia="Arial" w:hAnsi="Arial"/>
                <w:sz w:val="12"/>
                <w:szCs w:val="12"/>
                <w:color w:val="auto"/>
              </w:rPr>
              <w:t>Yes, in compliance</w:t>
            </w:r>
          </w:p>
        </w:tc>
        <w:tc>
          <w:tcPr>
            <w:tcW w:w="2580" w:type="dxa"/>
            <w:vAlign w:val="bottom"/>
          </w:tcPr>
          <w:p>
            <w:pPr>
              <w:spacing w:after="0"/>
              <w:rPr>
                <w:sz w:val="23"/>
                <w:szCs w:val="23"/>
                <w:color w:val="auto"/>
              </w:rPr>
            </w:pPr>
          </w:p>
        </w:tc>
      </w:tr>
      <w:tr>
        <w:trPr>
          <w:trHeight w:val="295"/>
        </w:trPr>
        <w:tc>
          <w:tcPr>
            <w:tcW w:w="1840" w:type="dxa"/>
            <w:vAlign w:val="bottom"/>
            <w:gridSpan w:val="2"/>
          </w:tcPr>
          <w:p>
            <w:pPr>
              <w:spacing w:after="0"/>
              <w:rPr>
                <w:sz w:val="20"/>
                <w:szCs w:val="20"/>
                <w:color w:val="auto"/>
              </w:rPr>
            </w:pPr>
            <w:r>
              <w:rPr>
                <w:rFonts w:ascii="Arial" w:cs="Arial" w:eastAsia="Arial" w:hAnsi="Arial"/>
                <w:sz w:val="12"/>
                <w:szCs w:val="12"/>
                <w:color w:val="auto"/>
              </w:rPr>
              <w:t>ny-2285520</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0159"/>
          </w:cols>
          <w:pgMar w:left="300" w:top="1027"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2"/>
          <w:szCs w:val="12"/>
          <w:b w:val="1"/>
          <w:bCs w:val="1"/>
          <w:color w:val="auto"/>
        </w:rPr>
        <w:t>Exhibit 31.1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jc w:val="center"/>
        <w:spacing w:after="0" w:line="234" w:lineRule="auto"/>
        <w:rPr>
          <w:sz w:val="20"/>
          <w:szCs w:val="20"/>
          <w:color w:val="auto"/>
        </w:rPr>
      </w:pPr>
      <w:r>
        <w:rPr>
          <w:rFonts w:ascii="Arial" w:cs="Arial" w:eastAsia="Arial" w:hAnsi="Arial"/>
          <w:sz w:val="12"/>
          <w:szCs w:val="12"/>
          <w:b w:val="1"/>
          <w:bCs w:val="1"/>
          <w:color w:val="auto"/>
        </w:rPr>
        <w:t>PURSUANT TO RULES 13a-14(a) AND 15d-14(a)</w:t>
      </w:r>
    </w:p>
    <w:p>
      <w:pPr>
        <w:jc w:val="center"/>
        <w:spacing w:after="0" w:line="235" w:lineRule="auto"/>
        <w:rPr>
          <w:sz w:val="20"/>
          <w:szCs w:val="20"/>
          <w:color w:val="auto"/>
        </w:rPr>
      </w:pPr>
      <w:r>
        <w:rPr>
          <w:rFonts w:ascii="Arial" w:cs="Arial" w:eastAsia="Arial" w:hAnsi="Arial"/>
          <w:sz w:val="12"/>
          <w:szCs w:val="12"/>
          <w:b w:val="1"/>
          <w:bCs w:val="1"/>
          <w:color w:val="auto"/>
        </w:rPr>
        <w:t>UNDER THE SECURITIES EXCHANGE ACT OF 1934, AS ADOPTED PURSUANT TO</w:t>
      </w: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I, Eric Schadt, certify that:</w:t>
      </w:r>
    </w:p>
    <w:p>
      <w:pPr>
        <w:spacing w:after="0" w:line="150" w:lineRule="exact"/>
        <w:rPr>
          <w:sz w:val="20"/>
          <w:szCs w:val="20"/>
          <w:color w:val="auto"/>
        </w:rPr>
      </w:pPr>
    </w:p>
    <w:p>
      <w:pPr>
        <w:ind w:left="420" w:hanging="212"/>
        <w:spacing w:after="0"/>
        <w:tabs>
          <w:tab w:leader="none" w:pos="4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Sema4 Holdings Corp.;</w:t>
      </w:r>
    </w:p>
    <w:p>
      <w:pPr>
        <w:spacing w:after="0" w:line="150" w:lineRule="exact"/>
        <w:rPr>
          <w:rFonts w:ascii="Arial" w:cs="Arial" w:eastAsia="Arial" w:hAnsi="Arial"/>
          <w:sz w:val="12"/>
          <w:szCs w:val="12"/>
          <w:color w:val="auto"/>
        </w:rPr>
      </w:pPr>
    </w:p>
    <w:p>
      <w:pPr>
        <w:ind w:left="420" w:hanging="212"/>
        <w:spacing w:after="0" w:line="245" w:lineRule="auto"/>
        <w:tabs>
          <w:tab w:leader="none" w:pos="4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hanging="212"/>
        <w:spacing w:after="0" w:line="245" w:lineRule="auto"/>
        <w:tabs>
          <w:tab w:leader="none" w:pos="4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1"/>
          <w:szCs w:val="11"/>
          <w:color w:val="auto"/>
        </w:rPr>
      </w:pPr>
    </w:p>
    <w:p>
      <w:pPr>
        <w:ind w:left="860" w:hanging="220"/>
        <w:spacing w:after="0" w:line="245" w:lineRule="auto"/>
        <w:tabs>
          <w:tab w:leader="none" w:pos="85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60" w:right="20" w:hanging="220"/>
        <w:spacing w:after="0" w:line="245" w:lineRule="auto"/>
        <w:tabs>
          <w:tab w:leader="none" w:pos="86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60" w:hanging="220"/>
        <w:spacing w:after="0" w:line="245" w:lineRule="auto"/>
        <w:tabs>
          <w:tab w:leader="none" w:pos="85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420" w:hanging="212"/>
        <w:spacing w:after="0" w:line="245" w:lineRule="auto"/>
        <w:tabs>
          <w:tab w:leader="none" w:pos="4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60" w:hanging="220"/>
        <w:spacing w:after="0" w:line="245" w:lineRule="auto"/>
        <w:tabs>
          <w:tab w:leader="none" w:pos="85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840" w:hanging="200"/>
        <w:spacing w:after="0"/>
        <w:tabs>
          <w:tab w:leader="none" w:pos="84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0" w:lineRule="exact"/>
        <w:rPr>
          <w:sz w:val="20"/>
          <w:szCs w:val="20"/>
          <w:color w:val="auto"/>
        </w:rPr>
      </w:pPr>
    </w:p>
    <w:p>
      <w:pPr>
        <w:ind w:left="240"/>
        <w:spacing w:after="0"/>
        <w:tabs>
          <w:tab w:leader="none" w:pos="6260" w:val="left"/>
          <w:tab w:leader="none" w:pos="6720"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9525</wp:posOffset>
            </wp:positionV>
            <wp:extent cx="290322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2903220" cy="11430"/>
                    </a:xfrm>
                    <a:prstGeom prst="rect">
                      <a:avLst/>
                    </a:prstGeom>
                    <a:noFill/>
                  </pic:spPr>
                </pic:pic>
              </a:graphicData>
            </a:graphic>
          </wp:anchor>
        </w:drawing>
      </w:r>
    </w:p>
    <w:p>
      <w:pPr>
        <w:spacing w:after="0" w:line="13"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Eric Schadt</w:t>
      </w:r>
    </w:p>
    <w:p>
      <w:pPr>
        <w:spacing w:after="0" w:line="4"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Chief Executive Officer and Director</w:t>
      </w:r>
    </w:p>
    <w:p>
      <w:pPr>
        <w:ind w:left="6740"/>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0"/>
          </w:cols>
          <w:pgMar w:left="300" w:top="667" w:right="2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2"/>
          <w:szCs w:val="12"/>
          <w:b w:val="1"/>
          <w:bCs w:val="1"/>
          <w:color w:val="auto"/>
        </w:rPr>
        <w:t>Exhibit 31.2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jc w:val="center"/>
        <w:spacing w:after="0" w:line="234" w:lineRule="auto"/>
        <w:rPr>
          <w:sz w:val="20"/>
          <w:szCs w:val="20"/>
          <w:color w:val="auto"/>
        </w:rPr>
      </w:pPr>
      <w:r>
        <w:rPr>
          <w:rFonts w:ascii="Arial" w:cs="Arial" w:eastAsia="Arial" w:hAnsi="Arial"/>
          <w:sz w:val="12"/>
          <w:szCs w:val="12"/>
          <w:b w:val="1"/>
          <w:bCs w:val="1"/>
          <w:color w:val="auto"/>
        </w:rPr>
        <w:t>PURSUANT TO RULES 13a-14(a) AND 15d-14(a)</w:t>
      </w:r>
    </w:p>
    <w:p>
      <w:pPr>
        <w:jc w:val="center"/>
        <w:spacing w:after="0" w:line="235" w:lineRule="auto"/>
        <w:rPr>
          <w:sz w:val="20"/>
          <w:szCs w:val="20"/>
          <w:color w:val="auto"/>
        </w:rPr>
      </w:pPr>
      <w:r>
        <w:rPr>
          <w:rFonts w:ascii="Arial" w:cs="Arial" w:eastAsia="Arial" w:hAnsi="Arial"/>
          <w:sz w:val="12"/>
          <w:szCs w:val="12"/>
          <w:b w:val="1"/>
          <w:bCs w:val="1"/>
          <w:color w:val="auto"/>
        </w:rPr>
        <w:t>UNDER THE SECURITIES EXCHANGE ACT OF 1934, AS ADOPTED PURSUANT TO</w:t>
      </w: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I, Isaac Ro, certify that:</w:t>
      </w:r>
    </w:p>
    <w:p>
      <w:pPr>
        <w:spacing w:after="0" w:line="150" w:lineRule="exact"/>
        <w:rPr>
          <w:sz w:val="20"/>
          <w:szCs w:val="20"/>
          <w:color w:val="auto"/>
        </w:rPr>
      </w:pPr>
    </w:p>
    <w:p>
      <w:pPr>
        <w:ind w:left="420" w:hanging="212"/>
        <w:spacing w:after="0"/>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Sema4 Holdings Corp.;</w:t>
      </w:r>
    </w:p>
    <w:p>
      <w:pPr>
        <w:spacing w:after="0" w:line="150" w:lineRule="exact"/>
        <w:rPr>
          <w:rFonts w:ascii="Arial" w:cs="Arial" w:eastAsia="Arial" w:hAnsi="Arial"/>
          <w:sz w:val="12"/>
          <w:szCs w:val="12"/>
          <w:color w:val="auto"/>
        </w:rPr>
      </w:pPr>
    </w:p>
    <w:p>
      <w:pPr>
        <w:ind w:left="420" w:hanging="212"/>
        <w:spacing w:after="0" w:line="245" w:lineRule="auto"/>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hanging="212"/>
        <w:spacing w:after="0" w:line="245" w:lineRule="auto"/>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9" w:lineRule="exact"/>
        <w:rPr>
          <w:rFonts w:ascii="Arial" w:cs="Arial" w:eastAsia="Arial" w:hAnsi="Arial"/>
          <w:sz w:val="11"/>
          <w:szCs w:val="11"/>
          <w:color w:val="auto"/>
        </w:rPr>
      </w:pPr>
    </w:p>
    <w:p>
      <w:pPr>
        <w:ind w:left="860" w:hanging="220"/>
        <w:spacing w:after="0" w:line="233" w:lineRule="auto"/>
        <w:tabs>
          <w:tab w:leader="none" w:pos="853" w:val="left"/>
        </w:tabs>
        <w:numPr>
          <w:ilvl w:val="1"/>
          <w:numId w:val="10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36" w:lineRule="exact"/>
        <w:rPr>
          <w:rFonts w:ascii="Arial" w:cs="Arial" w:eastAsia="Arial" w:hAnsi="Arial"/>
          <w:sz w:val="12"/>
          <w:szCs w:val="12"/>
          <w:color w:val="auto"/>
        </w:rPr>
      </w:pPr>
    </w:p>
    <w:p>
      <w:pPr>
        <w:ind w:left="860" w:right="20" w:hanging="220"/>
        <w:spacing w:after="0" w:line="245" w:lineRule="auto"/>
        <w:tabs>
          <w:tab w:leader="none" w:pos="86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60" w:hanging="220"/>
        <w:spacing w:after="0" w:line="245" w:lineRule="auto"/>
        <w:tabs>
          <w:tab w:leader="none" w:pos="853" w:val="left"/>
        </w:tabs>
        <w:numPr>
          <w:ilvl w:val="1"/>
          <w:numId w:val="10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420" w:hanging="212"/>
        <w:spacing w:after="0" w:line="245" w:lineRule="auto"/>
        <w:tabs>
          <w:tab w:leader="none" w:pos="451"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60" w:hanging="220"/>
        <w:spacing w:after="0" w:line="245" w:lineRule="auto"/>
        <w:tabs>
          <w:tab w:leader="none" w:pos="853" w:val="left"/>
        </w:tabs>
        <w:numPr>
          <w:ilvl w:val="1"/>
          <w:numId w:val="10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840" w:hanging="200"/>
        <w:spacing w:after="0"/>
        <w:tabs>
          <w:tab w:leader="none" w:pos="84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0" w:lineRule="exact"/>
        <w:rPr>
          <w:sz w:val="20"/>
          <w:szCs w:val="20"/>
          <w:color w:val="auto"/>
        </w:rPr>
      </w:pPr>
    </w:p>
    <w:p>
      <w:pPr>
        <w:ind w:left="240"/>
        <w:spacing w:after="0"/>
        <w:tabs>
          <w:tab w:leader="none" w:pos="6260" w:val="left"/>
          <w:tab w:leader="none" w:pos="6720"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9525</wp:posOffset>
            </wp:positionV>
            <wp:extent cx="290322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2903220" cy="11430"/>
                    </a:xfrm>
                    <a:prstGeom prst="rect">
                      <a:avLst/>
                    </a:prstGeom>
                    <a:noFill/>
                  </pic:spPr>
                </pic:pic>
              </a:graphicData>
            </a:graphic>
          </wp:anchor>
        </w:drawing>
      </w:r>
    </w:p>
    <w:p>
      <w:pPr>
        <w:spacing w:after="0" w:line="13"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Isaac Ro</w:t>
      </w:r>
    </w:p>
    <w:p>
      <w:pPr>
        <w:spacing w:after="0" w:line="4"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Chief Financial Officer</w:t>
      </w:r>
    </w:p>
    <w:p>
      <w:pPr>
        <w:ind w:left="6740"/>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300"/>
          </w:cols>
          <w:pgMar w:left="300" w:top="667" w:right="2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2"/>
          <w:szCs w:val="12"/>
          <w:b w:val="1"/>
          <w:bCs w:val="1"/>
          <w:color w:val="auto"/>
        </w:rPr>
        <w:t>Exhibit 32.1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jc w:val="center"/>
        <w:spacing w:after="0" w:line="234" w:lineRule="auto"/>
        <w:rPr>
          <w:sz w:val="20"/>
          <w:szCs w:val="20"/>
          <w:color w:val="auto"/>
        </w:rPr>
      </w:pPr>
      <w:r>
        <w:rPr>
          <w:rFonts w:ascii="Arial" w:cs="Arial" w:eastAsia="Arial" w:hAnsi="Arial"/>
          <w:sz w:val="12"/>
          <w:szCs w:val="12"/>
          <w:b w:val="1"/>
          <w:bCs w:val="1"/>
          <w:color w:val="auto"/>
        </w:rPr>
        <w:t>AS ADDED BY</w:t>
      </w: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In connection with the Quarterly Report of Sema4 Holdings Corp. (the “Company”) on Form 10-Q for the quarterly period ended September 30, 2021, as filed with the Securities and Exchange Commission (the “Report”), I, Eric Schadt, Chief Executive Officer of the Company, certify, pursuant to 18 U.S.C. §1350, as added by §906 of the Sarbanes-Oxley Act of 2002, that:</w:t>
      </w:r>
    </w:p>
    <w:p>
      <w:pPr>
        <w:spacing w:after="0" w:line="1" w:lineRule="exact"/>
        <w:rPr>
          <w:sz w:val="20"/>
          <w:szCs w:val="20"/>
          <w:color w:val="auto"/>
        </w:rPr>
      </w:pPr>
    </w:p>
    <w:p>
      <w:pPr>
        <w:ind w:left="420" w:hanging="212"/>
        <w:spacing w:after="0"/>
        <w:tabs>
          <w:tab w:leader="none" w:pos="4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40" w:lineRule="exact"/>
        <w:rPr>
          <w:rFonts w:ascii="Arial" w:cs="Arial" w:eastAsia="Arial" w:hAnsi="Arial"/>
          <w:sz w:val="12"/>
          <w:szCs w:val="12"/>
          <w:color w:val="auto"/>
        </w:rPr>
      </w:pPr>
    </w:p>
    <w:p>
      <w:pPr>
        <w:ind w:left="420" w:hanging="212"/>
        <w:spacing w:after="0"/>
        <w:tabs>
          <w:tab w:leader="none" w:pos="42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To my knowledge, 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322" w:lineRule="exact"/>
        <w:rPr>
          <w:sz w:val="20"/>
          <w:szCs w:val="20"/>
          <w:color w:val="auto"/>
        </w:rPr>
      </w:pPr>
    </w:p>
    <w:p>
      <w:pPr>
        <w:ind w:left="240"/>
        <w:spacing w:after="0"/>
        <w:tabs>
          <w:tab w:leader="none" w:pos="6260" w:val="left"/>
          <w:tab w:leader="none" w:pos="6720"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9525</wp:posOffset>
            </wp:positionV>
            <wp:extent cx="290322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2903220" cy="11430"/>
                    </a:xfrm>
                    <a:prstGeom prst="rect">
                      <a:avLst/>
                    </a:prstGeom>
                    <a:noFill/>
                  </pic:spPr>
                </pic:pic>
              </a:graphicData>
            </a:graphic>
          </wp:anchor>
        </w:drawing>
      </w:r>
    </w:p>
    <w:p>
      <w:pPr>
        <w:spacing w:after="0" w:line="13"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Eric Schadt</w:t>
      </w:r>
    </w:p>
    <w:p>
      <w:pPr>
        <w:spacing w:after="0" w:line="4"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Chief Executive Officer and Director</w:t>
      </w:r>
    </w:p>
    <w:p>
      <w:pPr>
        <w:ind w:left="6740"/>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0"/>
          </w:cols>
          <w:pgMar w:left="300" w:top="667" w:right="2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2"/>
          <w:szCs w:val="12"/>
          <w:b w:val="1"/>
          <w:bCs w:val="1"/>
          <w:color w:val="auto"/>
        </w:rPr>
        <w:t>Exhibit 32.2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jc w:val="center"/>
        <w:spacing w:after="0" w:line="234" w:lineRule="auto"/>
        <w:rPr>
          <w:sz w:val="20"/>
          <w:szCs w:val="20"/>
          <w:color w:val="auto"/>
        </w:rPr>
      </w:pPr>
      <w:r>
        <w:rPr>
          <w:rFonts w:ascii="Arial" w:cs="Arial" w:eastAsia="Arial" w:hAnsi="Arial"/>
          <w:sz w:val="12"/>
          <w:szCs w:val="12"/>
          <w:b w:val="1"/>
          <w:bCs w:val="1"/>
          <w:color w:val="auto"/>
        </w:rPr>
        <w:t>AS ADDED BY</w:t>
      </w: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In connection with the Quarterly Report of Sema4 Holdings Corp. (the “Company”) on Form 10-Q for the quarterly period ended September 30, 2021, as filed with the Securities and Exchange Commission (the “Report”), I, Isaac Ro, Chief Executive Officer of the Company, certify, pursuant to 18 U.S.C. §1350, as added by §906 of the Sarbanes-Oxley Act of 2002, that:</w:t>
      </w:r>
    </w:p>
    <w:p>
      <w:pPr>
        <w:spacing w:after="0" w:line="1" w:lineRule="exact"/>
        <w:rPr>
          <w:sz w:val="20"/>
          <w:szCs w:val="20"/>
          <w:color w:val="auto"/>
        </w:rPr>
      </w:pPr>
    </w:p>
    <w:p>
      <w:pPr>
        <w:ind w:left="420" w:hanging="212"/>
        <w:spacing w:after="0"/>
        <w:tabs>
          <w:tab w:leader="none" w:pos="4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40" w:lineRule="exact"/>
        <w:rPr>
          <w:rFonts w:ascii="Arial" w:cs="Arial" w:eastAsia="Arial" w:hAnsi="Arial"/>
          <w:sz w:val="12"/>
          <w:szCs w:val="12"/>
          <w:color w:val="auto"/>
        </w:rPr>
      </w:pPr>
    </w:p>
    <w:p>
      <w:pPr>
        <w:ind w:left="420" w:hanging="212"/>
        <w:spacing w:after="0"/>
        <w:tabs>
          <w:tab w:leader="none" w:pos="42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To my knowledge, 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322" w:lineRule="exact"/>
        <w:rPr>
          <w:sz w:val="20"/>
          <w:szCs w:val="20"/>
          <w:color w:val="auto"/>
        </w:rPr>
      </w:pPr>
    </w:p>
    <w:p>
      <w:pPr>
        <w:ind w:left="240"/>
        <w:spacing w:after="0"/>
        <w:tabs>
          <w:tab w:leader="none" w:pos="6260" w:val="left"/>
          <w:tab w:leader="none" w:pos="6720" w:val="left"/>
        </w:tabs>
        <w:rPr>
          <w:sz w:val="20"/>
          <w:szCs w:val="20"/>
          <w:color w:val="auto"/>
        </w:rPr>
      </w:pPr>
      <w:r>
        <w:rPr>
          <w:rFonts w:ascii="Arial" w:cs="Arial" w:eastAsia="Arial" w:hAnsi="Arial"/>
          <w:sz w:val="12"/>
          <w:szCs w:val="12"/>
          <w:color w:val="auto"/>
        </w:rPr>
        <w:t>Date: November 15,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9525</wp:posOffset>
            </wp:positionV>
            <wp:extent cx="290322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2903220" cy="11430"/>
                    </a:xfrm>
                    <a:prstGeom prst="rect">
                      <a:avLst/>
                    </a:prstGeom>
                    <a:noFill/>
                  </pic:spPr>
                </pic:pic>
              </a:graphicData>
            </a:graphic>
          </wp:anchor>
        </w:drawing>
      </w:r>
    </w:p>
    <w:p>
      <w:pPr>
        <w:spacing w:after="0" w:line="13"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Isaac Ro</w:t>
      </w:r>
    </w:p>
    <w:p>
      <w:pPr>
        <w:spacing w:after="0" w:line="4"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Chief Financial Officer</w:t>
      </w:r>
    </w:p>
    <w:p>
      <w:pPr>
        <w:ind w:left="6740"/>
        <w:spacing w:after="0"/>
        <w:rPr>
          <w:sz w:val="20"/>
          <w:szCs w:val="20"/>
          <w:color w:val="auto"/>
        </w:rPr>
      </w:pPr>
      <w:r>
        <w:rPr>
          <w:rFonts w:ascii="Arial" w:cs="Arial" w:eastAsia="Arial" w:hAnsi="Arial"/>
          <w:sz w:val="12"/>
          <w:szCs w:val="12"/>
          <w:color w:val="auto"/>
        </w:rPr>
        <w:t>(Principal Financial Officer)</w:t>
      </w:r>
    </w:p>
    <w:sectPr>
      <w:pgSz w:w="11900" w:h="16838" w:orient="portrait"/>
      <w:cols w:equalWidth="0" w:num="1">
        <w:col w:w="11300"/>
      </w:cols>
      <w:pgMar w:left="300" w:top="66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lowerRoman"/>
      <w:start w:val="2"/>
    </w:lvl>
  </w:abstractNum>
  <w:abstractNum w:abstractNumId="36">
    <w:nsid w:val="5DC79EA8"/>
    <w:multiLevelType w:val="hybridMultilevel"/>
    <w:lvl w:ilvl="0">
      <w:lvlJc w:val="left"/>
      <w:lvlText w:val="*"/>
      <w:numFmt w:val="bullet"/>
      <w:start w:val="1"/>
    </w:lvl>
    <w:lvl w:ilvl="1">
      <w:lvlJc w:val="left"/>
      <w:lvlText w:val="%2"/>
      <w:numFmt w:val="decimal"/>
      <w:start w:val="104"/>
    </w:lvl>
  </w:abstractNum>
  <w:abstractNum w:abstractNumId="37">
    <w:nsid w:val="540A471C"/>
    <w:multiLevelType w:val="hybridMultilevel"/>
    <w:lvl w:ilvl="0">
      <w:lvlJc w:val="left"/>
      <w:lvlText w:val="**"/>
      <w:numFmt w:val="bullet"/>
      <w:start w:val="1"/>
    </w:lvl>
    <w:lvl w:ilvl="1">
      <w:lvlJc w:val="left"/>
      <w:lvlText w:val="%2"/>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1"/>
      <w:numFmt w:val="bullet"/>
      <w:start w:val="1"/>
    </w:lvl>
    <w:lvl w:ilvl="1">
      <w:lvlJc w:val="left"/>
      <w:lvlText w:val="(%2)"/>
      <w:numFmt w:val="lowerLetter"/>
      <w:start w:val="1"/>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1)"/>
      <w:numFmt w:val="lowerLetter"/>
      <w:start w:val="6"/>
    </w:lvl>
  </w:abstractNum>
  <w:abstractNum w:abstractNumId="43">
    <w:nsid w:val="42963E5A"/>
    <w:multiLevelType w:val="hybridMultilevel"/>
    <w:lvl w:ilvl="0">
      <w:lvlJc w:val="left"/>
      <w:lvlText w:val="(%1)"/>
      <w:numFmt w:val="lowerLetter"/>
      <w:start w:val="1"/>
    </w:lvl>
    <w:lvl w:ilvl="1">
      <w:lvlJc w:val="left"/>
      <w:lvlText w:val="(%2)"/>
      <w:numFmt w:val="lowerRoman"/>
      <w:start w:val="1"/>
    </w:lvl>
  </w:abstractNum>
  <w:abstractNum w:abstractNumId="44">
    <w:nsid w:val="A0382C5"/>
    <w:multiLevelType w:val="hybridMultilevel"/>
    <w:lvl w:ilvl="0">
      <w:lvlJc w:val="left"/>
      <w:lvlText w:val="(%1)"/>
      <w:numFmt w:val="lowerLetter"/>
      <w:start w:val="1"/>
    </w:lvl>
  </w:abstractNum>
  <w:abstractNum w:abstractNumId="45">
    <w:nsid w:val="8F2B15E"/>
    <w:multiLevelType w:val="hybridMultilevel"/>
    <w:lvl w:ilvl="0">
      <w:lvlJc w:val="left"/>
      <w:lvlText w:val="(%1)"/>
      <w:numFmt w:val="lowerLetter"/>
      <w:start w:val="2"/>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lowerLetter"/>
      <w:start w:val="3"/>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lowerLetter"/>
      <w:start w:val="1"/>
    </w:lvl>
  </w:abstractNum>
  <w:abstractNum w:abstractNumId="50">
    <w:nsid w:val="60B6DF70"/>
    <w:multiLevelType w:val="hybridMultilevel"/>
    <w:lvl w:ilvl="0">
      <w:lvlJc w:val="left"/>
      <w:lvlText w:val="(%1)"/>
      <w:numFmt w:val="lowerLetter"/>
      <w:start w:val="3"/>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Letter"/>
      <w:start w:val="2"/>
    </w:lvl>
  </w:abstractNum>
  <w:abstractNum w:abstractNumId="53">
    <w:nsid w:val="7FFFCA11"/>
    <w:multiLevelType w:val="hybridMultilevel"/>
    <w:lvl w:ilvl="0">
      <w:lvlJc w:val="left"/>
      <w:lvlText w:val="2"/>
      <w:numFmt w:val="bullet"/>
      <w:start w:val="1"/>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3"/>
      <w:numFmt w:val="bullet"/>
      <w:start w:val="1"/>
    </w:lvl>
    <w:lvl w:ilvl="1">
      <w:lvlJc w:val="left"/>
      <w:lvlText w:val="(%2)"/>
      <w:numFmt w:val="lowerLetter"/>
      <w:start w:val="1"/>
    </w:lvl>
  </w:abstractNum>
  <w:abstractNum w:abstractNumId="57">
    <w:nsid w:val="7FB7E0AA"/>
    <w:multiLevelType w:val="hybridMultilevel"/>
    <w:lvl w:ilvl="0">
      <w:lvlJc w:val="left"/>
      <w:lvlText w:val="4"/>
      <w:numFmt w:val="bullet"/>
      <w:start w:val="1"/>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4"/>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5"/>
      <w:numFmt w:val="bullet"/>
      <w:start w:val="1"/>
    </w:lvl>
  </w:abstractNum>
  <w:abstractNum w:abstractNumId="64">
    <w:nsid w:val="1716703B"/>
    <w:multiLevelType w:val="hybridMultilevel"/>
    <w:lvl w:ilvl="0">
      <w:lvlJc w:val="left"/>
      <w:lvlText w:val="(%1)"/>
      <w:numFmt w:val="lowerLetter"/>
      <w:start w:val="1"/>
    </w:lvl>
  </w:abstractNum>
  <w:abstractNum w:abstractNumId="65">
    <w:nsid w:val="14E17E33"/>
    <w:multiLevelType w:val="hybridMultilevel"/>
    <w:lvl w:ilvl="0">
      <w:lvlJc w:val="left"/>
      <w:lvlText w:val="(%1)"/>
      <w:numFmt w:val="lowerLetter"/>
      <w:start w:val="2"/>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lowerLetter"/>
      <w:start w:val="7"/>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1"/>
    </w:lvl>
  </w:abstractNum>
  <w:abstractNum w:abstractNumId="71">
    <w:nsid w:val="4A2AC315"/>
    <w:multiLevelType w:val="hybridMultilevel"/>
    <w:lvl w:ilvl="0">
      <w:lvlJc w:val="left"/>
      <w:lvlText w:val="%1"/>
      <w:numFmt w:val="upperLetter"/>
      <w:start w:val="1"/>
    </w:lvl>
    <w:lvl w:ilvl="1">
      <w:lvlJc w:val="left"/>
      <w:lvlText w:val="(%2)"/>
      <w:numFmt w:val="lowerLetter"/>
      <w:start w:val="1"/>
    </w:lvl>
  </w:abstractNum>
  <w:abstractNum w:abstractNumId="72">
    <w:nsid w:val="39EE015C"/>
    <w:multiLevelType w:val="hybridMultilevel"/>
    <w:lvl w:ilvl="0">
      <w:lvlJc w:val="left"/>
      <w:lvlText w:val="(%1)"/>
      <w:numFmt w:val="upperLetter"/>
      <w:start w:val="2"/>
    </w:lvl>
    <w:lvl w:ilvl="1">
      <w:lvlJc w:val="left"/>
      <w:lvlText w:val="%2"/>
      <w:numFmt w:val="lowerLetter"/>
      <w:start w:val="1"/>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6"/>
      <w:numFmt w:val="bullet"/>
      <w:start w:val="1"/>
    </w:lvl>
  </w:abstractNum>
  <w:abstractNum w:abstractNumId="76">
    <w:nsid w:val="60EF0119"/>
    <w:multiLevelType w:val="hybridMultilevel"/>
    <w:lvl w:ilvl="0">
      <w:lvlJc w:val="left"/>
      <w:lvlText w:val="(%1)"/>
      <w:numFmt w:val="lowerLetter"/>
      <w:start w:val="3"/>
    </w:lvl>
  </w:abstractNum>
  <w:abstractNum w:abstractNumId="77">
    <w:nsid w:val="26F324BA"/>
    <w:multiLevelType w:val="hybridMultilevel"/>
    <w:lvl w:ilvl="0">
      <w:lvlJc w:val="left"/>
      <w:lvlText w:val="7"/>
      <w:numFmt w:val="bullet"/>
      <w:start w:val="1"/>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Letter"/>
      <w:start w:val="3"/>
    </w:lvl>
  </w:abstractNum>
  <w:abstractNum w:abstractNumId="81">
    <w:nsid w:val="5FB8370B"/>
    <w:multiLevelType w:val="hybridMultilevel"/>
    <w:lvl w:ilvl="0">
      <w:lvlJc w:val="left"/>
      <w:lvlText w:val="8"/>
      <w:numFmt w:val="bullet"/>
      <w:start w:val="1"/>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11"/>
    </w:lvl>
  </w:abstractNum>
  <w:abstractNum w:abstractNumId="84">
    <w:nsid w:val="5FB8011C"/>
    <w:multiLevelType w:val="hybridMultilevel"/>
    <w:lvl w:ilvl="0">
      <w:lvlJc w:val="left"/>
      <w:lvlText w:val="9"/>
      <w:numFmt w:val="bullet"/>
      <w:start w:val="1"/>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lowerLetter"/>
      <w:start w:val="3"/>
    </w:lvl>
  </w:abstractNum>
  <w:abstractNum w:abstractNumId="87">
    <w:nsid w:val="6FC75AF8"/>
    <w:multiLevelType w:val="hybridMultilevel"/>
    <w:lvl w:ilvl="0">
      <w:lvlJc w:val="left"/>
      <w:lvlText w:val="%1"/>
      <w:numFmt w:val="decimal"/>
      <w:start w:val="10"/>
    </w:lvl>
  </w:abstractNum>
  <w:abstractNum w:abstractNumId="88">
    <w:nsid w:val="6A5F7029"/>
    <w:multiLevelType w:val="hybridMultilevel"/>
    <w:lvl w:ilvl="0">
      <w:lvlJc w:val="left"/>
      <w:lvlText w:val="%1"/>
      <w:numFmt w:val="decimal"/>
      <w:start w:val="11"/>
    </w:lvl>
  </w:abstractNum>
  <w:abstractNum w:abstractNumId="89">
    <w:nsid w:val="7D5E18F8"/>
    <w:multiLevelType w:val="hybridMultilevel"/>
    <w:lvl w:ilvl="0">
      <w:lvlJc w:val="left"/>
      <w:lvlText w:val="(%1)"/>
      <w:numFmt w:val="lowerLetter"/>
      <w:start w:val="1"/>
    </w:lvl>
  </w:abstractNum>
  <w:abstractNum w:abstractNumId="90">
    <w:nsid w:val="5F3534A4"/>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91">
    <w:nsid w:val="73A1821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2">
    <w:nsid w:val="7DE67713"/>
    <w:multiLevelType w:val="hybridMultilevel"/>
    <w:lvl w:ilvl="0">
      <w:lvlJc w:val="left"/>
      <w:lvlText w:val="(%1)"/>
      <w:numFmt w:val="lowerLetter"/>
      <w:start w:val="2"/>
    </w:lvl>
  </w:abstractNum>
  <w:abstractNum w:abstractNumId="93">
    <w:nsid w:val="555C55B5"/>
    <w:multiLevelType w:val="hybridMultilevel"/>
    <w:lvl w:ilvl="0">
      <w:lvlJc w:val="left"/>
      <w:lvlText w:val="(%1)"/>
      <w:numFmt w:val="lowerLetter"/>
      <w:start w:val="1"/>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lowerLetter"/>
      <w:start w:val="1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lowerLetter"/>
      <w:start w:val="1"/>
    </w:lvl>
    <w:lvl w:ilvl="1">
      <w:lvlJc w:val="left"/>
      <w:lvlText w:val="(%2)"/>
      <w:numFmt w:val="lowerLetter"/>
      <w:start w:val="5"/>
    </w:lvl>
  </w:abstractNum>
  <w:abstractNum w:abstractNumId="101">
    <w:nsid w:val="5092CA79"/>
    <w:multiLevelType w:val="hybridMultilevel"/>
    <w:lvl w:ilvl="0">
      <w:lvlJc w:val="left"/>
      <w:lvlText w:val="(%1)"/>
      <w:numFmt w:val="lowerLetter"/>
      <w:start w:val="8"/>
    </w:lvl>
    <w:lvl w:ilvl="1">
      <w:lvlJc w:val="left"/>
      <w:lvlText w:val="(%2)"/>
      <w:numFmt w:val="lowerLetter"/>
      <w:start w:val="9"/>
    </w:lvl>
  </w:abstractNum>
  <w:abstractNum w:abstractNumId="102">
    <w:nsid w:val="1D545C4D"/>
    <w:multiLevelType w:val="hybridMultilevel"/>
    <w:lvl w:ilvl="0">
      <w:lvlJc w:val="left"/>
      <w:lvlText w:val="(%1)"/>
      <w:numFmt w:val="lowerLetter"/>
      <w:start w:val="1"/>
    </w:lvl>
  </w:abstractNum>
  <w:abstractNum w:abstractNumId="103">
    <w:nsid w:val="59ADEA3D"/>
    <w:multiLevelType w:val="hybridMultilevel"/>
    <w:lvl w:ilvl="0">
      <w:lvlJc w:val="left"/>
      <w:lvlText w:val="(%1)"/>
      <w:numFmt w:val="lowerLetter"/>
      <w:start w:val="8"/>
    </w:lvl>
  </w:abstractNum>
  <w:abstractNum w:abstractNumId="104">
    <w:nsid w:val="288F1A34"/>
    <w:multiLevelType w:val="hybridMultilevel"/>
    <w:lvl w:ilvl="0">
      <w:lvlJc w:val="left"/>
      <w:lvlText w:val="%1."/>
      <w:numFmt w:val="upperLetter"/>
      <w:start w:val="5"/>
    </w:lvl>
  </w:abstractNum>
  <w:abstractNum w:abstractNumId="105">
    <w:nsid w:val="2A155DBC"/>
    <w:multiLevelType w:val="hybridMultilevel"/>
    <w:lvl w:ilvl="0">
      <w:lvlJc w:val="left"/>
      <w:lvlText w:val="%1."/>
      <w:numFmt w:val="upperLetter"/>
      <w:start w:val="7"/>
    </w:lvl>
  </w:abstractNum>
  <w:abstractNum w:abstractNumId="106">
    <w:nsid w:val="1D9F6E5F"/>
    <w:multiLevelType w:val="hybridMultilevel"/>
    <w:lvl w:ilvl="0">
      <w:lvlJc w:val="left"/>
      <w:lvlText w:val="%1."/>
      <w:numFmt w:val="upperLetter"/>
      <w:start w:val="35"/>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20" Type="http://schemas.openxmlformats.org/officeDocument/2006/relationships/hyperlink" Target="https://www.sec.gov/Archives/edgar/data/0001818331/000162828021013404/sema4proxy.htm#i8b8880c1ddfa423593153735d1fc233d_1878" TargetMode="External"/><Relationship Id="rId121" Type="http://schemas.openxmlformats.org/officeDocument/2006/relationships/hyperlink" Target="https://www.sec.gov/Archives/edgar/data/0001818331/000162828021014760/exhibit31-super8xk.htm" TargetMode="External"/><Relationship Id="rId122" Type="http://schemas.openxmlformats.org/officeDocument/2006/relationships/hyperlink" Target="https://www.sec.gov/Archives/edgar/data/0001818331/000162828021014760/exhibit32-super8xk.htm" TargetMode="External"/><Relationship Id="rId123" Type="http://schemas.openxmlformats.org/officeDocument/2006/relationships/hyperlink" Target="https://www.sec.gov/Archives/edgar/data/0001818331/000162828021014760/exhibit102-super8xk.htm" TargetMode="External"/><Relationship Id="rId124" Type="http://schemas.openxmlformats.org/officeDocument/2006/relationships/hyperlink" Target="https://www.sec.gov/Archives/edgar/data/0001818331/000162828021014760/exhibit104-super8xk.htm" TargetMode="External"/><Relationship Id="rId125" Type="http://schemas.openxmlformats.org/officeDocument/2006/relationships/hyperlink" Target="https://www.sec.gov/Archives/edgar/data/0001818331/000162828021014760/exhibit105-super8xk.htm" TargetMode="External"/><Relationship Id="rId126" Type="http://schemas.openxmlformats.org/officeDocument/2006/relationships/hyperlink" Target="https://www.sec.gov/Archives/edgar/data/0001818331/000162828021014760/exhibit106-super8xk.htm" TargetMode="External"/><Relationship Id="rId127" Type="http://schemas.openxmlformats.org/officeDocument/2006/relationships/hyperlink" Target="https://www.sec.gov/Archives/edgar/data/0001818331/000162828021014760/exhibit107-super8xk.htm" TargetMode="External"/><Relationship Id="rId128" Type="http://schemas.openxmlformats.org/officeDocument/2006/relationships/hyperlink" Target="https://www.sec.gov/Archives/edgar/data/0001818331/000162828021014760/exhibit108-super8xk.htm" TargetMode="External"/><Relationship Id="rId129" Type="http://schemas.openxmlformats.org/officeDocument/2006/relationships/hyperlink" Target="https://www.sec.gov/Archives/edgar/data/0001818331/000162828021014760/exhibit109-super8xk.htm" TargetMode="External"/><Relationship Id="rId130" Type="http://schemas.openxmlformats.org/officeDocument/2006/relationships/hyperlink" Target="https://www.sec.gov/Archives/edgar/data/0001818331/000162828021014760/exhibit1010-super8xk.htm" TargetMode="External"/><Relationship Id="rId131" Type="http://schemas.openxmlformats.org/officeDocument/2006/relationships/hyperlink" Target="https://www.sec.gov/Archives/edgar/data/0001818331/000162828021014760/exhibit1011-super8xk.htm" TargetMode="External"/><Relationship Id="rId132" Type="http://schemas.openxmlformats.org/officeDocument/2006/relationships/hyperlink" Target="https://www.sec.gov/Archives/edgar/data/0001818331/000162828021014760/exhibit1012-super8xk.htm" TargetMode="External"/><Relationship Id="rId133" Type="http://schemas.openxmlformats.org/officeDocument/2006/relationships/hyperlink" Target="https://www.sec.gov/Archives/edgar/data/0001818331/000162828021014760/exhibit1013-super8xk.htm" TargetMode="External"/><Relationship Id="rId134" Type="http://schemas.openxmlformats.org/officeDocument/2006/relationships/hyperlink" Target="https://www.sec.gov/Archives/edgar/data/0001818331/000162828021014760/exhibit1014-super8xk.htm" TargetMode="External"/><Relationship Id="rId135" Type="http://schemas.openxmlformats.org/officeDocument/2006/relationships/hyperlink" Target="https://www.sec.gov/Archives/edgar/data/0001818331/000162828021014760/exhibit1015-super8xk.htm" TargetMode="External"/><Relationship Id="rId136" Type="http://schemas.openxmlformats.org/officeDocument/2006/relationships/hyperlink" Target="https://www.sec.gov/Archives/edgar/data/0001818331/000162828021014760/exhibit1016-super8xk.htm" TargetMode="External"/><Relationship Id="rId139" Type="http://schemas.openxmlformats.org/officeDocument/2006/relationships/hyperlink" Target="https://www.sec.gov/Archives/edgar/data/0001818331/000162828021014760/exhibit1017-super8xk.htm" TargetMode="External"/><Relationship Id="rId140" Type="http://schemas.openxmlformats.org/officeDocument/2006/relationships/hyperlink" Target="https://www.sec.gov/Archives/edgar/data/0001818331/000162828021014760/exhibit1018-super8xk.htm" TargetMode="External"/><Relationship Id="rId141" Type="http://schemas.openxmlformats.org/officeDocument/2006/relationships/hyperlink" Target="https://www.sec.gov/Archives/edgar/data/0001818331/000162828021014760/exhibit1019-super8xk.htm" TargetMode="External"/><Relationship Id="rId142" Type="http://schemas.openxmlformats.org/officeDocument/2006/relationships/hyperlink" Target="https://www.sec.gov/Archives/edgar/data/0001818331/000162828021014760/exhibit1020-super8xk.htm" TargetMode="External"/><Relationship Id="rId143" Type="http://schemas.openxmlformats.org/officeDocument/2006/relationships/hyperlink" Target="https://www.sec.gov/Archives/edgar/data/0001818331/000162828021014760/exhibit1021-super8xk.htm" TargetMode="External"/><Relationship Id="rId144" Type="http://schemas.openxmlformats.org/officeDocument/2006/relationships/hyperlink" Target="https://www.sec.gov/Archives/edgar/data/0001818331/000162828021014760/exhibit1022-super8xk.htm" TargetMode="External"/><Relationship Id="rId145" Type="http://schemas.openxmlformats.org/officeDocument/2006/relationships/hyperlink" Target="https://www.sec.gov/Archives/edgar/data/0001818331/000162828021014760/exhibit1023-super8xk.htm" TargetMode="External"/><Relationship Id="rId146" Type="http://schemas.openxmlformats.org/officeDocument/2006/relationships/hyperlink" Target="https://www.sec.gov/Archives/edgar/data/0001818331/000162828021014760/exhibit1024-super8xk.htm" TargetMode="External"/><Relationship Id="rId147" Type="http://schemas.openxmlformats.org/officeDocument/2006/relationships/hyperlink" Target="https://www.sec.gov/Archives/edgar/data/0001818331/000162828021014760/exhibit1025-super8xk.htm" TargetMode="External"/><Relationship Id="rId148" Type="http://schemas.openxmlformats.org/officeDocument/2006/relationships/hyperlink" Target="https://www.sec.gov/Archives/edgar/data/0001818331/000162828021014760/exhibit1026-super8xk.htm" TargetMode="External"/><Relationship Id="rId149" Type="http://schemas.openxmlformats.org/officeDocument/2006/relationships/hyperlink" Target="https://www.sec.gov/Archives/edgar/data/0001818331/000162828021014760/exhibit1027-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2021-11-15T16:12:15Z</dcterms:created>
  <dcterms:modified xsi:type="dcterms:W3CDTF">2021-11-15T16:12:15Z</dcterms:modified>
</cp:coreProperties>
</file>