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254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GENEDX HOLDINGS CORP.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8"/>
          <w:szCs w:val="18"/>
          <w:color w:val="auto"/>
        </w:rPr>
        <w:t>Class A common stock, par value $0.0001 per share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81663L200</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29,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33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ind w:right="18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84" w:lineRule="exact"/>
        <w:rPr>
          <w:sz w:val="24"/>
          <w:szCs w:val="24"/>
          <w:color w:val="auto"/>
        </w:rPr>
      </w:pPr>
    </w:p>
    <w:p>
      <w:pPr>
        <w:jc w:val="both"/>
        <w:ind w:right="18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11</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81663L200</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139"/>
          </w:cols>
          <w:pgMar w:left="320" w:top="825" w:right="1440" w:bottom="254"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1,823,737</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1,823,737</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3179" w:hanging="1047"/>
        <w:spacing w:after="0" w:line="696" w:lineRule="auto"/>
        <w:tabs>
          <w:tab w:leader="none" w:pos="63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1,823,737</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160" w:right="2659" w:hanging="7152"/>
        <w:spacing w:after="0" w:line="443" w:lineRule="auto"/>
        <w:tabs>
          <w:tab w:leader="none" w:pos="63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11</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81663L200</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640" w:hanging="527"/>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1,823,737</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1,823,737</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3179" w:hanging="1047"/>
        <w:spacing w:after="0" w:line="696" w:lineRule="auto"/>
        <w:tabs>
          <w:tab w:leader="none" w:pos="63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1,823,737</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169"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BD-OO-IA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89" w:right="1440" w:bottom="4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3 of 11</w:t>
      </w:r>
    </w:p>
    <w:p>
      <w:pPr>
        <w:sectPr>
          <w:pgSz w:w="11900" w:h="16838" w:orient="portrait"/>
          <w:cols w:equalWidth="0" w:num="1">
            <w:col w:w="10139"/>
          </w:cols>
          <w:pgMar w:left="320" w:top="689" w:right="1440" w:bottom="417" w:gutter="0" w:footer="0" w:header="0"/>
          <w:type w:val="continuous"/>
        </w:sectPr>
      </w:pPr>
    </w:p>
    <w:bookmarkStart w:id="3" w:name="page4"/>
    <w:bookmarkEnd w:id="3"/>
    <w:p>
      <w:pPr>
        <w:spacing w:after="0"/>
        <w:tabs>
          <w:tab w:leader="none" w:pos="19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GENEDX HOLDINGS CORP.</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333 Ludlow Street, North Tower; 6TH FLOOR</w:t>
      </w:r>
    </w:p>
    <w:p>
      <w:pPr>
        <w:ind w:left="2000"/>
        <w:spacing w:after="0"/>
        <w:rPr>
          <w:sz w:val="20"/>
          <w:szCs w:val="20"/>
          <w:color w:val="auto"/>
        </w:rPr>
      </w:pPr>
      <w:r>
        <w:rPr>
          <w:rFonts w:ascii="Courier New" w:cs="Courier New" w:eastAsia="Courier New" w:hAnsi="Courier New"/>
          <w:sz w:val="18"/>
          <w:szCs w:val="18"/>
          <w:color w:val="auto"/>
        </w:rPr>
        <w:t>Stamford, CT 06902</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 - Delaware</w:t>
      </w:r>
    </w:p>
    <w:p>
      <w:pPr>
        <w:ind w:left="2000"/>
        <w:spacing w:after="0"/>
        <w:rPr>
          <w:sz w:val="20"/>
          <w:szCs w:val="20"/>
          <w:color w:val="auto"/>
        </w:rPr>
      </w:pPr>
      <w:r>
        <w:rPr>
          <w:rFonts w:ascii="Courier New" w:cs="Courier New" w:eastAsia="Courier New" w:hAnsi="Courier New"/>
          <w:sz w:val="18"/>
          <w:szCs w:val="18"/>
          <w:color w:val="auto"/>
        </w:rPr>
        <w:t>GOLDMAN SACHS &amp; CO. LLC - New York</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Class A common stock, par value $0.0001 per share</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81663L200</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(a).[X]</w:t>
      </w:r>
      <w:r>
        <w:rPr>
          <w:sz w:val="20"/>
          <w:szCs w:val="20"/>
          <w:color w:val="auto"/>
        </w:rPr>
        <w:tab/>
      </w:r>
      <w:r>
        <w:rPr>
          <w:rFonts w:ascii="Courier New" w:cs="Courier New" w:eastAsia="Courier New" w:hAnsi="Courier New"/>
          <w:sz w:val="16"/>
          <w:szCs w:val="16"/>
          <w:color w:val="auto"/>
        </w:rPr>
        <w:t>Broker or dealer registered under Section 15 of the Act</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78o).</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(b).[_]</w:t>
      </w:r>
      <w:r>
        <w:rPr>
          <w:sz w:val="20"/>
          <w:szCs w:val="20"/>
          <w:color w:val="auto"/>
        </w:rPr>
        <w:tab/>
      </w:r>
      <w:r>
        <w:rPr>
          <w:rFonts w:ascii="Courier New" w:cs="Courier New" w:eastAsia="Courier New" w:hAnsi="Courier New"/>
          <w:sz w:val="16"/>
          <w:szCs w:val="16"/>
          <w:color w:val="auto"/>
        </w:rPr>
        <w:t>Bank as defined in Section 3(a)(6)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(c).[_]</w:t>
      </w:r>
      <w:r>
        <w:rPr>
          <w:sz w:val="20"/>
          <w:szCs w:val="20"/>
          <w:color w:val="auto"/>
        </w:rPr>
        <w:tab/>
      </w:r>
      <w:r>
        <w:rPr>
          <w:rFonts w:ascii="Courier New" w:cs="Courier New" w:eastAsia="Courier New" w:hAnsi="Courier New"/>
          <w:sz w:val="16"/>
          <w:szCs w:val="16"/>
          <w:color w:val="auto"/>
        </w:rPr>
        <w:t>Insurance company as defined in Section 3(a)(19)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(d).[_]</w:t>
      </w:r>
      <w:r>
        <w:rPr>
          <w:sz w:val="20"/>
          <w:szCs w:val="20"/>
          <w:color w:val="auto"/>
        </w:rPr>
        <w:tab/>
      </w:r>
      <w:r>
        <w:rPr>
          <w:rFonts w:ascii="Courier New" w:cs="Courier New" w:eastAsia="Courier New" w:hAnsi="Courier New"/>
          <w:sz w:val="16"/>
          <w:szCs w:val="16"/>
          <w:color w:val="auto"/>
        </w:rPr>
        <w:t>Investment company registered under Section 8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Act of 1940 (15 U.S.C. 80a-8).</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(e).[X]</w:t>
      </w:r>
      <w:r>
        <w:rPr>
          <w:sz w:val="20"/>
          <w:szCs w:val="20"/>
          <w:color w:val="auto"/>
        </w:rPr>
        <w:tab/>
      </w:r>
      <w:r>
        <w:rPr>
          <w:rFonts w:ascii="Courier New" w:cs="Courier New" w:eastAsia="Courier New" w:hAnsi="Courier New"/>
          <w:sz w:val="16"/>
          <w:szCs w:val="16"/>
          <w:color w:val="auto"/>
        </w:rPr>
        <w:t>An investment adviser in accordance with</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13d-1(b)(1)(ii)(E);</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(f).[_]</w:t>
      </w:r>
      <w:r>
        <w:rPr>
          <w:sz w:val="20"/>
          <w:szCs w:val="20"/>
          <w:color w:val="auto"/>
        </w:rPr>
        <w:tab/>
      </w:r>
      <w:r>
        <w:rPr>
          <w:rFonts w:ascii="Courier New" w:cs="Courier New" w:eastAsia="Courier New" w:hAnsi="Courier New"/>
          <w:sz w:val="16"/>
          <w:szCs w:val="16"/>
          <w:color w:val="auto"/>
        </w:rPr>
        <w:t>An employee benefit plan or endowment fund in accordance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13d-1(b)(1)(ii)(F);</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(g).[X]</w:t>
      </w:r>
      <w:r>
        <w:rPr>
          <w:sz w:val="20"/>
          <w:szCs w:val="20"/>
          <w:color w:val="auto"/>
        </w:rPr>
        <w:tab/>
      </w:r>
      <w:r>
        <w:rPr>
          <w:rFonts w:ascii="Courier New" w:cs="Courier New" w:eastAsia="Courier New" w:hAnsi="Courier New"/>
          <w:sz w:val="16"/>
          <w:szCs w:val="16"/>
          <w:color w:val="auto"/>
        </w:rPr>
        <w:t>A parent holding company or control person in accordance</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13d-1(b)(1)(ii)(G);</w:t>
      </w:r>
    </w:p>
    <w:p>
      <w:pPr>
        <w:ind w:left="3160"/>
        <w:spacing w:after="0"/>
        <w:rPr>
          <w:sz w:val="20"/>
          <w:szCs w:val="20"/>
          <w:color w:val="auto"/>
        </w:rPr>
      </w:pPr>
      <w:r>
        <w:rPr>
          <w:rFonts w:ascii="Courier New" w:cs="Courier New" w:eastAsia="Courier New" w:hAnsi="Courier New"/>
          <w:sz w:val="18"/>
          <w:szCs w:val="18"/>
          <w:color w:val="auto"/>
        </w:rPr>
        <w:t>The Goldman Sachs Group, Inc.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(h).[_]</w:t>
      </w:r>
      <w:r>
        <w:rPr>
          <w:sz w:val="20"/>
          <w:szCs w:val="20"/>
          <w:color w:val="auto"/>
        </w:rPr>
        <w:tab/>
      </w:r>
      <w:r>
        <w:rPr>
          <w:rFonts w:ascii="Courier New" w:cs="Courier New" w:eastAsia="Courier New" w:hAnsi="Courier New"/>
          <w:sz w:val="16"/>
          <w:szCs w:val="16"/>
          <w:color w:val="auto"/>
        </w:rPr>
        <w:t>A savings association as defined in Section 3(b)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Federal Deposit Insurance Act (12 U.S.C. 1813);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(i).[_]</w:t>
      </w:r>
      <w:r>
        <w:rPr>
          <w:sz w:val="20"/>
          <w:szCs w:val="20"/>
          <w:color w:val="auto"/>
        </w:rPr>
        <w:tab/>
      </w:r>
      <w:r>
        <w:rPr>
          <w:rFonts w:ascii="Courier New" w:cs="Courier New" w:eastAsia="Courier New" w:hAnsi="Courier New"/>
          <w:sz w:val="16"/>
          <w:szCs w:val="16"/>
          <w:color w:val="auto"/>
        </w:rPr>
        <w:t>A church plan that is excluded from the definition of an</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under Section 3(c)(14) of the</w:t>
      </w:r>
    </w:p>
    <w:p>
      <w:pPr>
        <w:ind w:left="2000"/>
        <w:spacing w:after="0"/>
        <w:rPr>
          <w:sz w:val="20"/>
          <w:szCs w:val="20"/>
          <w:color w:val="auto"/>
        </w:rPr>
      </w:pPr>
      <w:r>
        <w:rPr>
          <w:rFonts w:ascii="Courier New" w:cs="Courier New" w:eastAsia="Courier New" w:hAnsi="Courier New"/>
          <w:sz w:val="18"/>
          <w:szCs w:val="18"/>
          <w:color w:val="auto"/>
        </w:rPr>
        <w:t>Investment Company Act of 1940 (15 U.S.C. 80a-3);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(j).[_]</w:t>
      </w:r>
      <w:r>
        <w:rPr>
          <w:sz w:val="20"/>
          <w:szCs w:val="20"/>
          <w:color w:val="auto"/>
        </w:rPr>
        <w:tab/>
      </w:r>
      <w:r>
        <w:rPr>
          <w:rFonts w:ascii="Courier New" w:cs="Courier New" w:eastAsia="Courier New" w:hAnsi="Courier New"/>
          <w:sz w:val="16"/>
          <w:szCs w:val="16"/>
          <w:color w:val="auto"/>
        </w:rPr>
        <w:t>A non-U.S. institution in accordance with</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13d-1(b)(1)(ii)(J);</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(k).[_]</w:t>
      </w:r>
      <w:r>
        <w:rPr>
          <w:sz w:val="20"/>
          <w:szCs w:val="20"/>
          <w:color w:val="auto"/>
        </w:rPr>
        <w:tab/>
      </w:r>
      <w:r>
        <w:rPr>
          <w:rFonts w:ascii="Courier New" w:cs="Courier New" w:eastAsia="Courier New" w:hAnsi="Courier New"/>
          <w:sz w:val="16"/>
          <w:szCs w:val="16"/>
          <w:color w:val="auto"/>
        </w:rPr>
        <w:t>A group, in accordance with Rule 13d-1(b)(1)(ii)</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 through (K).</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filing as a non-U.S. institution in accordance with Rule</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13d-1(b)(1)(ii)(J), please specify the type of institution:</w:t>
      </w:r>
    </w:p>
    <w:p>
      <w:pPr>
        <w:sectPr>
          <w:pgSz w:w="11900" w:h="16838" w:orient="portrait"/>
          <w:cols w:equalWidth="0" w:num="1">
            <w:col w:w="10139"/>
          </w:cols>
          <w:pgMar w:left="320" w:top="690"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4 of 11</w:t>
      </w:r>
    </w:p>
    <w:p>
      <w:pPr>
        <w:sectPr>
          <w:pgSz w:w="11900" w:h="16838" w:orient="portrait"/>
          <w:cols w:equalWidth="0" w:num="1">
            <w:col w:w="10139"/>
          </w:cols>
          <w:pgMar w:left="320" w:top="690" w:right="1440" w:bottom="0" w:gutter="0" w:footer="0" w:header="0"/>
          <w:type w:val="continuous"/>
        </w:sectPr>
      </w:pPr>
    </w:p>
    <w:bookmarkStart w:id="4" w:name="page5"/>
    <w:bookmarkEnd w:id="4"/>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Ownership.*</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See the 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9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060" w:type="dxa"/>
            <w:vAlign w:val="bottom"/>
          </w:tcPr>
          <w:p>
            <w:pPr>
              <w:spacing w:after="0"/>
              <w:rPr>
                <w:sz w:val="24"/>
                <w:szCs w:val="24"/>
                <w:color w:val="auto"/>
              </w:rPr>
            </w:pP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8"/>
              </w:rPr>
              <w:t>See the response(s)to Item 11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Number of shares as to</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which such person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has:</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Sole power to vote or 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the vote:  See the</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5 on</w:t>
            </w:r>
          </w:p>
        </w:tc>
        <w:tc>
          <w:tcPr>
            <w:tcW w:w="2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left="2860" w:right="1819" w:hanging="841"/>
        <w:spacing w:after="0" w:line="402" w:lineRule="auto"/>
        <w:tabs>
          <w:tab w:leader="none" w:pos="28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jc w:val="both"/>
        <w:ind w:left="2860" w:right="1819" w:hanging="841"/>
        <w:spacing w:after="0" w:line="292" w:lineRule="auto"/>
        <w:tabs>
          <w:tab w:leader="none" w:pos="2840" w:val="left"/>
        </w:tabs>
        <w:rPr>
          <w:sz w:val="20"/>
          <w:szCs w:val="20"/>
          <w:color w:val="auto"/>
        </w:rPr>
      </w:pPr>
      <w:r>
        <w:rPr>
          <w:rFonts w:ascii="Courier New" w:cs="Courier New" w:eastAsia="Courier New" w:hAnsi="Courier New"/>
          <w:sz w:val="18"/>
          <w:szCs w:val="18"/>
          <w:color w:val="auto"/>
        </w:rPr>
        <w:t>(iii).</w:t>
        <w:tab/>
        <w:t>Sole power to dispose or to direct the disposition of: See the response(s) to Item 7 on the attached cover page(s).</w:t>
      </w:r>
    </w:p>
    <w:p>
      <w:pPr>
        <w:spacing w:after="0" w:line="66" w:lineRule="exact"/>
        <w:rPr>
          <w:sz w:val="20"/>
          <w:szCs w:val="20"/>
          <w:color w:val="auto"/>
        </w:rPr>
      </w:pPr>
    </w:p>
    <w:p>
      <w:pPr>
        <w:jc w:val="both"/>
        <w:ind w:left="2860" w:right="1819" w:hanging="841"/>
        <w:spacing w:after="0" w:line="292" w:lineRule="auto"/>
        <w:tabs>
          <w:tab w:leader="none" w:pos="2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66"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2000" w:right="2239" w:hanging="2000"/>
        <w:spacing w:after="0" w:line="346"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74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5"/>
              </w:rPr>
              <w:t>Clients  of</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the</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Reporting</w:t>
            </w:r>
          </w:p>
        </w:tc>
        <w:tc>
          <w:tcPr>
            <w:tcW w:w="346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Person(s) have or  may have the</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right</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receive or</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power</w:t>
            </w:r>
          </w:p>
        </w:tc>
        <w:tc>
          <w:tcPr>
            <w:tcW w:w="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to</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direct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receipt of</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900" w:type="dxa"/>
            <w:vAlign w:val="bottom"/>
            <w:gridSpan w:val="10"/>
          </w:tcPr>
          <w:p>
            <w:pPr>
              <w:ind w:left="58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held</w:t>
            </w:r>
          </w:p>
        </w:tc>
        <w:tc>
          <w:tcPr>
            <w:tcW w:w="28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in their accounts. Clients</w:t>
            </w:r>
          </w:p>
        </w:tc>
        <w:tc>
          <w:tcPr>
            <w:tcW w:w="28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known to have such right or</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power</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with</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respect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more</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than 5%  of</w:t>
            </w: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  of</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securities to which this report relates are:</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NONE</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2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Identification</w:t>
            </w:r>
          </w:p>
        </w:tc>
        <w:tc>
          <w:tcPr>
            <w:tcW w:w="5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6"/>
              </w:rPr>
              <w:t>and</w:t>
            </w:r>
          </w:p>
        </w:tc>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rPr>
              <w:t>Classification</w:t>
            </w:r>
          </w:p>
        </w:tc>
        <w:tc>
          <w:tcPr>
            <w:tcW w:w="24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of the Subsidiary Which</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Acquired  the  Security  Being  Reported  on</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the  Parent</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2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Holding Company.</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60" w:type="dxa"/>
            <w:vAlign w:val="bottom"/>
            <w:gridSpan w:val="5"/>
          </w:tcPr>
          <w:p>
            <w:pPr>
              <w:ind w:left="480"/>
              <w:spacing w:after="0"/>
              <w:rPr>
                <w:sz w:val="20"/>
                <w:szCs w:val="20"/>
                <w:color w:val="auto"/>
              </w:rPr>
            </w:pPr>
            <w:r>
              <w:rPr>
                <w:rFonts w:ascii="Courier New" w:cs="Courier New" w:eastAsia="Courier New" w:hAnsi="Courier New"/>
                <w:sz w:val="18"/>
                <w:szCs w:val="18"/>
                <w:color w:val="auto"/>
              </w:rPr>
              <w:t>See Exhibit (99.2)</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5280" w:type="dxa"/>
            <w:vAlign w:val="bottom"/>
            <w:gridSpan w:val="8"/>
          </w:tcPr>
          <w:p>
            <w:pPr>
              <w:ind w:left="580"/>
              <w:spacing w:after="0"/>
              <w:rPr>
                <w:sz w:val="20"/>
                <w:szCs w:val="20"/>
                <w:color w:val="auto"/>
              </w:rPr>
            </w:pPr>
            <w:r>
              <w:rPr>
                <w:rFonts w:ascii="Courier New" w:cs="Courier New" w:eastAsia="Courier New" w:hAnsi="Courier New"/>
                <w:sz w:val="18"/>
                <w:szCs w:val="18"/>
                <w:color w:val="auto"/>
                <w:w w:val="98"/>
              </w:rPr>
              <w:t>Identification and Classification of Members</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the Group.</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gridSpan w:val="4"/>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02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gridSpan w:val="4"/>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8"/>
              </w:rPr>
              <w:t>of my knowledge</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 best</w:t>
            </w:r>
          </w:p>
        </w:tc>
        <w:tc>
          <w:tcPr>
            <w:tcW w:w="1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and belief, the securities referred to above</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were acquired</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6900" w:type="dxa"/>
            <w:vAlign w:val="bottom"/>
            <w:gridSpan w:val="10"/>
          </w:tcPr>
          <w:p>
            <w:pPr>
              <w:ind w:left="580"/>
              <w:spacing w:after="0" w:line="203" w:lineRule="exact"/>
              <w:rPr>
                <w:sz w:val="20"/>
                <w:szCs w:val="20"/>
                <w:color w:val="auto"/>
              </w:rPr>
            </w:pPr>
            <w:r>
              <w:rPr>
                <w:rFonts w:ascii="Courier New" w:cs="Courier New" w:eastAsia="Courier New" w:hAnsi="Courier New"/>
                <w:sz w:val="18"/>
                <w:szCs w:val="18"/>
                <w:color w:val="auto"/>
                <w:w w:val="97"/>
              </w:rPr>
              <w:t>and are held in the ordinary course of business and were not</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5280" w:type="dxa"/>
            <w:vAlign w:val="bottom"/>
            <w:gridSpan w:val="8"/>
          </w:tcPr>
          <w:p>
            <w:pPr>
              <w:ind w:left="580"/>
              <w:spacing w:after="0" w:line="203" w:lineRule="exact"/>
              <w:rPr>
                <w:sz w:val="20"/>
                <w:szCs w:val="20"/>
                <w:color w:val="auto"/>
              </w:rPr>
            </w:pPr>
            <w:r>
              <w:rPr>
                <w:rFonts w:ascii="Courier New" w:cs="Courier New" w:eastAsia="Courier New" w:hAnsi="Courier New"/>
                <w:sz w:val="18"/>
                <w:szCs w:val="18"/>
                <w:color w:val="auto"/>
                <w:w w:val="98"/>
              </w:rPr>
              <w:t>acquired and are not held for the purpose of</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with the</w:t>
            </w: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p>
        </w:tc>
        <w:tc>
          <w:tcPr>
            <w:tcW w:w="6900" w:type="dxa"/>
            <w:vAlign w:val="bottom"/>
            <w:gridSpan w:val="10"/>
          </w:tcPr>
          <w:p>
            <w:pPr>
              <w:ind w:left="580"/>
              <w:spacing w:after="0"/>
              <w:rPr>
                <w:sz w:val="20"/>
                <w:szCs w:val="20"/>
                <w:color w:val="auto"/>
              </w:rPr>
            </w:pPr>
            <w:r>
              <w:rPr>
                <w:rFonts w:ascii="Courier New" w:cs="Courier New" w:eastAsia="Courier New" w:hAnsi="Courier New"/>
                <w:sz w:val="18"/>
                <w:szCs w:val="18"/>
                <w:color w:val="auto"/>
                <w:w w:val="98"/>
              </w:rPr>
              <w:t>effect of changing or influencing the control of the issuer</w:t>
            </w:r>
          </w:p>
        </w:tc>
        <w:tc>
          <w:tcPr>
            <w:tcW w:w="0" w:type="dxa"/>
            <w:vAlign w:val="bottom"/>
          </w:tcPr>
          <w:p>
            <w:pPr>
              <w:spacing w:after="0"/>
              <w:rPr>
                <w:sz w:val="1"/>
                <w:szCs w:val="1"/>
                <w:color w:val="auto"/>
              </w:rPr>
            </w:pPr>
          </w:p>
        </w:tc>
      </w:tr>
    </w:tbl>
    <w:p>
      <w:pPr>
        <w:ind w:left="2000" w:right="1919"/>
        <w:spacing w:after="0" w:line="304" w:lineRule="auto"/>
        <w:rPr>
          <w:sz w:val="20"/>
          <w:szCs w:val="20"/>
          <w:color w:val="auto"/>
        </w:rPr>
      </w:pPr>
      <w:r>
        <w:rPr>
          <w:rFonts w:ascii="Courier New" w:cs="Courier New" w:eastAsia="Courier New" w:hAnsi="Courier New"/>
          <w:sz w:val="16"/>
          <w:szCs w:val="16"/>
          <w:color w:val="auto"/>
        </w:rPr>
        <w:t>of the securities and were not acquired and are not held in connection with or as a participant in any transaction having that purpose or effect, other than activities solely in connection with a nomination under Section 240.14a-11.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accordance with the Securities and Exchange Commission Release No.</w:t>
      </w:r>
    </w:p>
    <w:p>
      <w:pPr>
        <w:spacing w:after="0" w:line="31"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34-39538 (January 12, 1998)(the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w:t>
      </w:r>
    </w:p>
    <w:p>
      <w:pPr>
        <w:spacing w:after="0" w:line="1" w:lineRule="exact"/>
        <w:rPr>
          <w:sz w:val="20"/>
          <w:szCs w:val="20"/>
          <w:color w:val="auto"/>
        </w:rPr>
      </w:pPr>
    </w:p>
    <w:p>
      <w:pPr>
        <w:ind w:right="2019" w:firstLine="8"/>
        <w:spacing w:after="0" w:line="346" w:lineRule="auto"/>
        <w:tabs>
          <w:tab w:leader="none" w:pos="52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investment entities of which the Goldman Sachs Reporting Units act as the general partner, managing general partner or other manager, to the</w:t>
      </w:r>
    </w:p>
    <w:p>
      <w:pPr>
        <w:sectPr>
          <w:pgSz w:w="11900" w:h="17038" w:orient="portrait"/>
          <w:cols w:equalWidth="0" w:num="1">
            <w:col w:w="10139"/>
          </w:cols>
          <w:pgMar w:left="320" w:top="488" w:right="1440" w:bottom="0" w:gutter="0" w:footer="0" w:header="0"/>
        </w:sectPr>
      </w:pPr>
    </w:p>
    <w:bookmarkStart w:id="5" w:name="page6"/>
    <w:bookmarkEnd w:id="5"/>
    <w:p>
      <w:pPr>
        <w:ind w:right="2119"/>
        <w:spacing w:after="0" w:line="346" w:lineRule="auto"/>
        <w:rPr>
          <w:sz w:val="20"/>
          <w:szCs w:val="20"/>
          <w:color w:val="auto"/>
        </w:rPr>
      </w:pPr>
      <w:r>
        <w:rPr>
          <w:rFonts w:ascii="Courier New" w:cs="Courier New" w:eastAsia="Courier New" w:hAnsi="Courier New"/>
          <w:sz w:val="18"/>
          <w:szCs w:val="18"/>
          <w:color w:val="auto"/>
        </w:rPr>
        <w:t>extent interests in such entities are held by persons other than the Goldman Sachs Reporting Units.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11</w:t>
      </w:r>
    </w:p>
    <w:p>
      <w:pPr>
        <w:sectPr>
          <w:pgSz w:w="11900" w:h="16838" w:orient="portrait"/>
          <w:cols w:equalWidth="0" w:num="1">
            <w:col w:w="10139"/>
          </w:cols>
          <w:pgMar w:left="320" w:top="110"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both"/>
        <w:ind w:left="1280" w:right="2979"/>
        <w:spacing w:after="0" w:line="344"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07, 2024,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Kateryna Osmachko</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Kateryna Osmachko</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Kateryna Osmachko</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Kateryna Osmachko</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11</w:t>
      </w:r>
    </w:p>
    <w:p>
      <w:pPr>
        <w:sectPr>
          <w:pgSz w:w="11900" w:h="16838" w:orient="portrait"/>
          <w:cols w:equalWidth="0" w:num="1">
            <w:col w:w="10139"/>
          </w:cols>
          <w:pgMar w:left="320" w:top="69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1420" w:type="dxa"/>
            <w:vAlign w:val="bottom"/>
          </w:tcPr>
          <w:p>
            <w:pPr>
              <w:spacing w:after="0"/>
              <w:rPr>
                <w:sz w:val="24"/>
                <w:szCs w:val="24"/>
                <w:color w:val="auto"/>
              </w:rPr>
            </w:pPr>
          </w:p>
        </w:tc>
        <w:tc>
          <w:tcPr>
            <w:tcW w:w="3740" w:type="dxa"/>
            <w:vAlign w:val="bottom"/>
          </w:tcPr>
          <w:p>
            <w:pPr>
              <w:ind w:left="1960"/>
              <w:spacing w:after="0"/>
              <w:rPr>
                <w:sz w:val="20"/>
                <w:szCs w:val="20"/>
                <w:color w:val="auto"/>
              </w:rPr>
            </w:pPr>
            <w:r>
              <w:rPr>
                <w:rFonts w:ascii="Courier New" w:cs="Courier New" w:eastAsia="Courier New" w:hAnsi="Courier New"/>
                <w:sz w:val="18"/>
                <w:szCs w:val="18"/>
                <w:color w:val="auto"/>
                <w:w w:val="95"/>
              </w:rPr>
              <w:t>INDEX TO EXHIBITS</w:t>
            </w:r>
          </w:p>
        </w:tc>
        <w:tc>
          <w:tcPr>
            <w:tcW w:w="0" w:type="dxa"/>
            <w:vAlign w:val="bottom"/>
          </w:tcPr>
          <w:p>
            <w:pPr>
              <w:spacing w:after="0"/>
              <w:rPr>
                <w:sz w:val="1"/>
                <w:szCs w:val="1"/>
                <w:color w:val="auto"/>
              </w:rPr>
            </w:pPr>
          </w:p>
        </w:tc>
      </w:tr>
      <w:tr>
        <w:trPr>
          <w:trHeight w:val="716"/>
        </w:trPr>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Exhibit No.</w:t>
            </w:r>
          </w:p>
        </w:tc>
        <w:tc>
          <w:tcPr>
            <w:tcW w:w="3740" w:type="dxa"/>
            <w:vAlign w:val="bottom"/>
          </w:tcPr>
          <w:p>
            <w:pPr>
              <w:ind w:left="1120"/>
              <w:spacing w:after="0"/>
              <w:rPr>
                <w:sz w:val="20"/>
                <w:szCs w:val="20"/>
                <w:color w:val="auto"/>
              </w:rPr>
            </w:pPr>
            <w:r>
              <w:rPr>
                <w:rFonts w:ascii="Courier New" w:cs="Courier New" w:eastAsia="Courier New" w:hAnsi="Courier New"/>
                <w:sz w:val="18"/>
                <w:szCs w:val="18"/>
                <w:color w:val="auto"/>
              </w:rPr>
              <w:t>Exhibit</w:t>
            </w:r>
          </w:p>
        </w:tc>
        <w:tc>
          <w:tcPr>
            <w:tcW w:w="0" w:type="dxa"/>
            <w:vAlign w:val="bottom"/>
          </w:tcPr>
          <w:p>
            <w:pPr>
              <w:spacing w:after="0"/>
              <w:rPr>
                <w:sz w:val="1"/>
                <w:szCs w:val="1"/>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7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99.1</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Joint Filing Agreement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99.2</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Item 7 Information</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99.3</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03"/>
        </w:trPr>
        <w:tc>
          <w:tcPr>
            <w:tcW w:w="14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99.4</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THE GOLDMAN SACHS GROUP, INC.</w:t>
            </w:r>
          </w:p>
        </w:tc>
        <w:tc>
          <w:tcPr>
            <w:tcW w:w="0" w:type="dxa"/>
            <w:vAlign w:val="bottom"/>
          </w:tcPr>
          <w:p>
            <w:pPr>
              <w:spacing w:after="0"/>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3740" w:type="dxa"/>
            <w:vAlign w:val="bottom"/>
          </w:tcPr>
          <w:p>
            <w:pPr>
              <w:ind w:left="280"/>
              <w:spacing w:after="0"/>
              <w:rPr>
                <w:sz w:val="20"/>
                <w:szCs w:val="20"/>
                <w:color w:val="auto"/>
              </w:rPr>
            </w:pPr>
            <w:r>
              <w:rPr>
                <w:rFonts w:ascii="Courier New" w:cs="Courier New" w:eastAsia="Courier New" w:hAnsi="Courier New"/>
                <w:sz w:val="18"/>
                <w:szCs w:val="18"/>
                <w:color w:val="auto"/>
              </w:rPr>
              <w:t>GOLDMAN SACHS &amp; CO. LLC</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11</w:t>
      </w:r>
    </w:p>
    <w:p>
      <w:pPr>
        <w:sectPr>
          <w:pgSz w:w="11900" w:h="16838" w:orient="portrait"/>
          <w:cols w:equalWidth="0" w:num="1">
            <w:col w:w="10139"/>
          </w:cols>
          <w:pgMar w:left="320" w:top="690" w:right="1440" w:bottom="1440" w:gutter="0" w:footer="0" w:header="0"/>
        </w:sectPr>
      </w:pPr>
    </w:p>
    <w:bookmarkStart w:id="8" w:name="page9"/>
    <w:bookmarkEnd w:id="8"/>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819" w:firstLine="421"/>
        <w:spacing w:after="0" w:line="276" w:lineRule="auto"/>
        <w:rPr>
          <w:sz w:val="20"/>
          <w:szCs w:val="20"/>
          <w:color w:val="auto"/>
        </w:rPr>
      </w:pPr>
      <w:r>
        <w:rPr>
          <w:rFonts w:ascii="Courier New" w:cs="Courier New" w:eastAsia="Courier New" w:hAnsi="Courier New"/>
          <w:sz w:val="16"/>
          <w:szCs w:val="16"/>
          <w:color w:val="auto"/>
        </w:rPr>
        <w:t>In accordance with Rule 13d-1(k)(1) promulgated under the Securities Exchange Act of 1934, the undersigned agree to the joint filing of a Statement on Schedule 13G (including any and all amendments thereto) with respect to the Class A common stock, par value $0.0001 per share, of GENEDX HOLDINGS CORP. and further agree to the filing of this agreement as an Exhibit thereto.</w:t>
      </w:r>
    </w:p>
    <w:p>
      <w:pPr>
        <w:spacing w:after="0" w:line="2" w:lineRule="exact"/>
        <w:rPr>
          <w:sz w:val="20"/>
          <w:szCs w:val="20"/>
          <w:color w:val="auto"/>
        </w:rPr>
      </w:pPr>
    </w:p>
    <w:p>
      <w:pPr>
        <w:ind w:right="1819"/>
        <w:spacing w:after="0" w:line="273" w:lineRule="auto"/>
        <w:rPr>
          <w:sz w:val="20"/>
          <w:szCs w:val="20"/>
          <w:color w:val="auto"/>
        </w:rPr>
      </w:pPr>
      <w:r>
        <w:rPr>
          <w:rFonts w:ascii="Courier New" w:cs="Courier New" w:eastAsia="Courier New" w:hAnsi="Courier New"/>
          <w:sz w:val="18"/>
          <w:szCs w:val="18"/>
          <w:color w:val="auto"/>
        </w:rPr>
        <w:t>In addition, each party to this Agreement expressly authorizes each other party to this Agreement to file on its behalf any and all amendments to such Statement on Schedule 13G.</w:t>
      </w:r>
    </w:p>
    <w:p>
      <w:pPr>
        <w:spacing w:after="0" w:line="8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07, 2024,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Kateryna Osmachko</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Kateryna Osmachko</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Kateryna Osmachko</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Kateryna Osmachko</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11</w:t>
      </w:r>
    </w:p>
    <w:p>
      <w:pPr>
        <w:sectPr>
          <w:pgSz w:w="11900" w:h="16838" w:orient="portrait"/>
          <w:cols w:equalWidth="0" w:num="1">
            <w:col w:w="10139"/>
          </w:cols>
          <w:pgMar w:left="320" w:top="488" w:right="1440" w:bottom="1440" w:gutter="0" w:footer="0" w:header="0"/>
        </w:sectPr>
      </w:pPr>
    </w:p>
    <w:bookmarkStart w:id="9" w:name="page10"/>
    <w:bookmarkEnd w:id="9"/>
    <w:p>
      <w:pPr>
        <w:ind w:left="6960"/>
        <w:spacing w:after="0"/>
        <w:rPr>
          <w:sz w:val="20"/>
          <w:szCs w:val="20"/>
          <w:color w:val="auto"/>
        </w:rPr>
      </w:pPr>
      <w:r>
        <w:rPr>
          <w:rFonts w:ascii="Courier New" w:cs="Courier New" w:eastAsia="Courier New" w:hAnsi="Courier New"/>
          <w:sz w:val="16"/>
          <w:szCs w:val="16"/>
          <w:color w:val="auto"/>
        </w:rPr>
        <w:t>EXHIBIT (99.2)</w:t>
      </w:r>
    </w:p>
    <w:p>
      <w:pPr>
        <w:spacing w:after="0" w:line="224"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ITEM 7 INFORMATION</w:t>
      </w:r>
    </w:p>
    <w:p>
      <w:pPr>
        <w:spacing w:after="0" w:line="201" w:lineRule="exact"/>
        <w:rPr>
          <w:sz w:val="20"/>
          <w:szCs w:val="20"/>
          <w:color w:val="auto"/>
        </w:rPr>
      </w:pPr>
    </w:p>
    <w:p>
      <w:pPr>
        <w:ind w:right="1819" w:firstLine="421"/>
        <w:spacing w:after="0" w:line="260" w:lineRule="auto"/>
        <w:rPr>
          <w:sz w:val="20"/>
          <w:szCs w:val="20"/>
          <w:color w:val="auto"/>
        </w:rPr>
      </w:pPr>
      <w:r>
        <w:rPr>
          <w:rFonts w:ascii="Courier New" w:cs="Courier New" w:eastAsia="Courier New" w:hAnsi="Courier New"/>
          <w:sz w:val="18"/>
          <w:szCs w:val="18"/>
          <w:color w:val="auto"/>
        </w:rPr>
        <w:t>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pacing w:after="0" w:line="9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11</w:t>
      </w:r>
    </w:p>
    <w:p>
      <w:pPr>
        <w:sectPr>
          <w:pgSz w:w="11900" w:h="16838" w:orient="portrait"/>
          <w:cols w:equalWidth="0" w:num="1">
            <w:col w:w="10139"/>
          </w:cols>
          <w:pgMar w:left="320" w:top="488" w:right="1440" w:bottom="1440" w:gutter="0" w:footer="0" w:header="0"/>
        </w:sectPr>
      </w:pPr>
    </w:p>
    <w:bookmarkStart w:id="10" w:name="page11"/>
    <w:bookmarkEnd w:id="10"/>
    <w:p>
      <w:pPr>
        <w:jc w:val="right"/>
        <w:ind w:right="169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919"/>
        <w:spacing w:after="0" w:line="272"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each Abhishek V, Kateryna Osmachko, Ameen Soetan, Kshama Mishra, Papa Lette, Sunaina Kapoor, and Andrzej Szyszka, acting individually, its true and lawful attorney, to execute and deliver in its name and on its behalf, whether the Company is acting individually or as representative of others, any and all filings required to be made by the Company pursuant to Rule 13f-1 or Regulation 13D-G under the Securities Exchange Act of 1934, (as amended, the "Act"), which may be required of the Company with respect to securities which may be deemed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beneficially owned by the Company under the Act, giving and granting</w:t>
      </w:r>
    </w:p>
    <w:p>
      <w:pPr>
        <w:spacing w:after="0" w:line="238" w:lineRule="auto"/>
        <w:rPr>
          <w:sz w:val="20"/>
          <w:szCs w:val="20"/>
          <w:color w:val="auto"/>
        </w:rPr>
      </w:pPr>
      <w:r>
        <w:rPr>
          <w:rFonts w:ascii="Courier New" w:cs="Courier New" w:eastAsia="Courier New" w:hAnsi="Courier New"/>
          <w:sz w:val="18"/>
          <w:szCs w:val="18"/>
          <w:color w:val="auto"/>
        </w:rPr>
        <w:t>unto each said Attorney-in-fact power and authority to act in the premises</w:t>
      </w:r>
    </w:p>
    <w:p>
      <w:pPr>
        <w:spacing w:after="0" w:line="238" w:lineRule="auto"/>
        <w:rPr>
          <w:sz w:val="20"/>
          <w:szCs w:val="20"/>
          <w:color w:val="auto"/>
        </w:rPr>
      </w:pPr>
      <w:r>
        <w:rPr>
          <w:rFonts w:ascii="Courier New" w:cs="Courier New" w:eastAsia="Courier New" w:hAnsi="Courier New"/>
          <w:sz w:val="18"/>
          <w:szCs w:val="18"/>
          <w:color w:val="auto"/>
        </w:rPr>
        <w:t>as fully and to all intents and purposes as the Company might or could do</w:t>
      </w:r>
    </w:p>
    <w:p>
      <w:pPr>
        <w:spacing w:after="0"/>
        <w:rPr>
          <w:sz w:val="20"/>
          <w:szCs w:val="20"/>
          <w:color w:val="auto"/>
        </w:rPr>
      </w:pPr>
      <w:r>
        <w:rPr>
          <w:rFonts w:ascii="Courier New" w:cs="Courier New" w:eastAsia="Courier New" w:hAnsi="Courier New"/>
          <w:sz w:val="18"/>
          <w:szCs w:val="18"/>
          <w:color w:val="auto"/>
        </w:rPr>
        <w:t>if personally present by one of its authorized signatories, hereby ratifying</w:t>
      </w:r>
    </w:p>
    <w:p>
      <w:pPr>
        <w:spacing w:after="0" w:line="238" w:lineRule="auto"/>
        <w:rPr>
          <w:sz w:val="20"/>
          <w:szCs w:val="20"/>
          <w:color w:val="auto"/>
        </w:rPr>
      </w:pPr>
      <w:r>
        <w:rPr>
          <w:rFonts w:ascii="Courier New" w:cs="Courier New" w:eastAsia="Courier New" w:hAnsi="Courier New"/>
          <w:sz w:val="18"/>
          <w:szCs w:val="18"/>
          <w:color w:val="auto"/>
        </w:rPr>
        <w:t>and confirming all that said Attorney-in-fact shall lawfully do or cause to</w:t>
      </w:r>
    </w:p>
    <w:p>
      <w:pPr>
        <w:spacing w:after="0"/>
        <w:rPr>
          <w:sz w:val="20"/>
          <w:szCs w:val="20"/>
          <w:color w:val="auto"/>
        </w:rPr>
      </w:pPr>
      <w:r>
        <w:rPr>
          <w:rFonts w:ascii="Courier New" w:cs="Courier New" w:eastAsia="Courier New" w:hAnsi="Courier New"/>
          <w:sz w:val="18"/>
          <w:szCs w:val="18"/>
          <w:color w:val="auto"/>
        </w:rPr>
        <w:t>be done by virtue hereof.</w:t>
      </w:r>
    </w:p>
    <w:p>
      <w:pPr>
        <w:spacing w:after="0" w:line="169" w:lineRule="exact"/>
        <w:rPr>
          <w:sz w:val="20"/>
          <w:szCs w:val="20"/>
          <w:color w:val="auto"/>
        </w:rPr>
      </w:pPr>
    </w:p>
    <w:p>
      <w:pPr>
        <w:ind w:right="19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December 1, 2024 unless earlier revoked by written instrument, or in the event an Attorney-in-fact ceases to be an employee of The Goldman Sachs Group, Inc. or one of its affiliates or ceases to perform the function in connection with which he or she was appointed Attorney-in-fact prior to December 1, 2024,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jc w:val="both"/>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Stephanie Snyder, Terry Mosher, Rachel Fraizer, Jamie Minieri, and Terrance Grey on December 1, 2021.</w:t>
      </w:r>
    </w:p>
    <w:p>
      <w:pPr>
        <w:spacing w:after="0" w:line="66" w:lineRule="exact"/>
        <w:rPr>
          <w:sz w:val="20"/>
          <w:szCs w:val="20"/>
          <w:color w:val="auto"/>
        </w:rPr>
      </w:pPr>
    </w:p>
    <w:p>
      <w:pPr>
        <w:jc w:val="both"/>
        <w:ind w:right="1919"/>
        <w:spacing w:after="0" w:line="346" w:lineRule="auto"/>
        <w:rPr>
          <w:sz w:val="20"/>
          <w:szCs w:val="20"/>
          <w:color w:val="auto"/>
        </w:rPr>
      </w:pPr>
      <w:r>
        <w:rPr>
          <w:rFonts w:ascii="Courier New" w:cs="Courier New" w:eastAsia="Courier New" w:hAnsi="Courier New"/>
          <w:sz w:val="18"/>
          <w:szCs w:val="18"/>
          <w:color w:val="auto"/>
        </w:rPr>
        <w:t>IN WITNESS WHERE OF, the under signed has duly subscribed these presents as of December 1, 2023.</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C0.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11</w:t>
      </w:r>
    </w:p>
    <w:p>
      <w:pPr>
        <w:sectPr>
          <w:pgSz w:w="11900" w:h="16838" w:orient="portrait"/>
          <w:cols w:equalWidth="0" w:num="1">
            <w:col w:w="10139"/>
          </w:cols>
          <w:pgMar w:left="320" w:top="488" w:right="1440" w:bottom="1440" w:gutter="0" w:footer="0" w:header="0"/>
        </w:sectPr>
      </w:pPr>
    </w:p>
    <w:bookmarkStart w:id="11" w:name="page12"/>
    <w:bookmarkEnd w:id="11"/>
    <w:p>
      <w:pPr>
        <w:jc w:val="right"/>
        <w:ind w:right="1699"/>
        <w:spacing w:after="0"/>
        <w:rPr>
          <w:sz w:val="20"/>
          <w:szCs w:val="20"/>
          <w:color w:val="auto"/>
        </w:rPr>
      </w:pPr>
      <w:r>
        <w:rPr>
          <w:rFonts w:ascii="Courier New" w:cs="Courier New" w:eastAsia="Courier New" w:hAnsi="Courier New"/>
          <w:sz w:val="18"/>
          <w:szCs w:val="18"/>
          <w:color w:val="auto"/>
        </w:rPr>
        <w:t>EXHIBIT (99.4)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979"/>
        <w:spacing w:after="0" w:line="257" w:lineRule="auto"/>
        <w:rPr>
          <w:sz w:val="20"/>
          <w:szCs w:val="20"/>
          <w:color w:val="auto"/>
        </w:rPr>
      </w:pPr>
      <w:r>
        <w:rPr>
          <w:rFonts w:ascii="Courier New" w:cs="Courier New" w:eastAsia="Courier New" w:hAnsi="Courier New"/>
          <w:sz w:val="18"/>
          <w:szCs w:val="18"/>
          <w:color w:val="auto"/>
        </w:rPr>
        <w:t>KNOW ALL PERSONS BY THESE PRESENTS that GOLDMAN SACHS &amp; CO. LLC (the "Company") does hereby make, constitute and appoint each</w:t>
      </w:r>
    </w:p>
    <w:p>
      <w:pPr>
        <w:ind w:right="2659"/>
        <w:spacing w:after="0" w:line="238" w:lineRule="auto"/>
        <w:rPr>
          <w:sz w:val="20"/>
          <w:szCs w:val="20"/>
          <w:color w:val="auto"/>
        </w:rPr>
      </w:pPr>
      <w:r>
        <w:rPr>
          <w:rFonts w:ascii="Courier New" w:cs="Courier New" w:eastAsia="Courier New" w:hAnsi="Courier New"/>
          <w:sz w:val="18"/>
          <w:szCs w:val="18"/>
          <w:color w:val="auto"/>
        </w:rPr>
        <w:t>Abhishek V, Kateryna Osmachko, Ameen Soetan, Kshama Mishra, Papa Lette, Sunaina Kapoor, and Andrzej Szyszka, acting individually,</w:t>
      </w:r>
    </w:p>
    <w:p>
      <w:pPr>
        <w:spacing w:after="0" w:line="1"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its true and lawful attorney, to execute and deliver in its name and on its behalf, whether the Company is acting individually or as representative</w:t>
      </w:r>
    </w:p>
    <w:p>
      <w:pPr>
        <w:ind w:right="1919"/>
        <w:spacing w:after="0" w:line="246" w:lineRule="auto"/>
        <w:rPr>
          <w:sz w:val="20"/>
          <w:szCs w:val="20"/>
          <w:color w:val="auto"/>
        </w:rPr>
      </w:pPr>
      <w:r>
        <w:rPr>
          <w:rFonts w:ascii="Courier New" w:cs="Courier New" w:eastAsia="Courier New" w:hAnsi="Courier New"/>
          <w:sz w:val="18"/>
          <w:szCs w:val="18"/>
          <w:color w:val="auto"/>
        </w:rPr>
        <w:t>of others, any and all filings required to be made by the Company pursuant to Rule 13f-1 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314" w:lineRule="exact"/>
        <w:rPr>
          <w:sz w:val="20"/>
          <w:szCs w:val="20"/>
          <w:color w:val="auto"/>
        </w:rPr>
      </w:pPr>
    </w:p>
    <w:p>
      <w:pPr>
        <w:ind w:right="19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December 1, 2024 unless earlier revoked by written instrument, or in the event an Attorney-in-fact ceases to be an employee of The Goldman Sachs Group, Inc. or one of its affiliates or ceases to perform the function in connection with which he or she was appointed Attorney-in-fact prior to December 8, 2023,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Stephanie Snyder, Terry Mosher, Rachel Fraizer, Jamie Minieri, and Terrance Grey on December 1, 2021.</w:t>
      </w:r>
    </w:p>
    <w:p>
      <w:pPr>
        <w:spacing w:after="0" w:line="66"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1,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C0. LLC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11 of 11</w:t>
      </w:r>
    </w:p>
    <w:sectPr>
      <w:pgSz w:w="11900" w:h="16838" w:orient="portrait"/>
      <w:cols w:equalWidth="0" w:num="1">
        <w:col w:w="10139"/>
      </w:cols>
      <w:pgMar w:left="32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4"/>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2024-02-09T18:13:18Z</dcterms:created>
  <dcterms:modified xsi:type="dcterms:W3CDTF">2024-02-09T18:13:18Z</dcterms:modified>
</cp:coreProperties>
</file>