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40" w:before="0" w:after="12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September 27, 2021</w:t>
      </w:r>
    </w:p>
    <w:p>
      <w:pPr>
        <w:pStyle w:val="TextBody"/>
        <w:spacing w:lineRule="auto" w:line="240" w:before="0" w:after="120"/>
        <w:jc w:val="right"/>
        <w:rPr>
          <w:rFonts w:ascii="Times New Roman;sans-serif" w:hAnsi="Times New Roman;sans-serif"/>
          <w:b/>
          <w:color w:val="000000"/>
          <w:sz w:val="20"/>
        </w:rPr>
      </w:pPr>
      <w:r>
        <w:rPr>
          <w:rFonts w:ascii="Times New Roman;sans-serif" w:hAnsi="Times New Roman;sans-serif"/>
          <w:b/>
          <w:color w:val="000000"/>
          <w:sz w:val="20"/>
        </w:rPr>
        <w:t>Registration No. 333-</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40"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120"/>
        <w:jc w:val="center"/>
        <w:rPr>
          <w:rFonts w:ascii="Times New Roman;sans-serif" w:hAnsi="Times New Roman;sans-serif"/>
          <w:b/>
          <w:color w:val="000000"/>
          <w:sz w:val="28"/>
        </w:rPr>
      </w:pPr>
      <w:r>
        <w:rPr>
          <w:rFonts w:ascii="Times New Roman;sans-serif" w:hAnsi="Times New Roman;sans-serif"/>
          <w:b/>
          <w:color w:val="000000"/>
          <w:sz w:val="28"/>
        </w:rPr>
        <w:t>FORM S-8</w:t>
      </w:r>
    </w:p>
    <w:p>
      <w:pPr>
        <w:pStyle w:val="TextBody"/>
        <w:spacing w:lineRule="auto" w:line="240" w:before="0" w:after="120"/>
        <w:jc w:val="center"/>
        <w:rPr>
          <w:rFonts w:ascii="Times New Roman;sans-serif" w:hAnsi="Times New Roman;sans-serif"/>
          <w:b/>
          <w:color w:val="000000"/>
          <w:sz w:val="28"/>
        </w:rPr>
      </w:pPr>
      <w:r>
        <w:rPr>
          <w:rFonts w:ascii="Times New Roman;sans-serif" w:hAnsi="Times New Roman;sans-serif"/>
          <w:b/>
          <w:color w:val="000000"/>
          <w:sz w:val="28"/>
        </w:rPr>
        <w:t>REGISTRATION STATEMENT UNDER THE SECURITIES ACT OF 1933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120"/>
        <w:jc w:val="center"/>
        <w:rPr>
          <w:rFonts w:ascii="Times New Roman;sans-serif" w:hAnsi="Times New Roman;sans-serif"/>
          <w:b/>
          <w:color w:val="000000"/>
          <w:sz w:val="40"/>
        </w:rPr>
      </w:pPr>
      <w:r>
        <w:rPr>
          <w:rFonts w:ascii="Times New Roman;sans-serif" w:hAnsi="Times New Roman;sans-serif"/>
          <w:b/>
          <w:color w:val="000000"/>
          <w:sz w:val="40"/>
        </w:rPr>
        <w:t>SEMA4 HOLDINGS CORP.</w:t>
      </w:r>
    </w:p>
    <w:p>
      <w:pPr>
        <w:pStyle w:val="TextBody"/>
        <w:spacing w:lineRule="auto" w:line="240"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944" w:type="dxa"/>
        <w:jc w:val="left"/>
        <w:tblInd w:w="0" w:type="dxa"/>
        <w:tblCellMar>
          <w:top w:w="28" w:type="dxa"/>
          <w:left w:w="28" w:type="dxa"/>
          <w:bottom w:w="28" w:type="dxa"/>
          <w:right w:w="28" w:type="dxa"/>
        </w:tblCellMar>
      </w:tblPr>
      <w:tblGrid>
        <w:gridCol w:w="898"/>
        <w:gridCol w:w="792"/>
        <w:gridCol w:w="799"/>
        <w:gridCol w:w="424"/>
        <w:gridCol w:w="424"/>
        <w:gridCol w:w="607"/>
      </w:tblGrid>
      <w:tr>
        <w:trPr/>
        <w:tc>
          <w:tcPr>
            <w:tcW w:w="89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85-1966622</w:t>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w:t>
              <w:br/>
              <w:t>of Incorporation or Organization)</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 8th Floor</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spacing w:lineRule="auto" w:line="240"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spacing w:lineRule="auto" w:line="240"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SEMA4 HOLDINGS CORP. 2021 EQUITY INCENTIVE PLAN</w:t>
      </w:r>
    </w:p>
    <w:p>
      <w:pPr>
        <w:pStyle w:val="TextBody"/>
        <w:spacing w:lineRule="auto" w:line="240"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SEMA4 HOLDINGS CORP. 2021 EMPLOYEE STOCK PURCHASE PLAN</w:t>
      </w:r>
    </w:p>
    <w:p>
      <w:pPr>
        <w:pStyle w:val="TextBody"/>
        <w:spacing w:lineRule="auto" w:line="240"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MOUNT SINAI GENOMICS, INC. DBA SEMA4 2017 EQUITY INCENTIVE PLAN</w:t>
      </w:r>
    </w:p>
    <w:p>
      <w:pPr>
        <w:pStyle w:val="TextBody"/>
        <w:spacing w:lineRule="auto" w:line="240"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SEMA4 HOLDINGS CORP. EARN-OUT RSU AWARDS</w:t>
      </w:r>
    </w:p>
    <w:p>
      <w:pPr>
        <w:pStyle w:val="TextBody"/>
        <w:spacing w:lineRule="auto" w:line="240"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(Full Title of the Plans)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Eric Schadt</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 8th Floor</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(Name and Address of Agent For Service)</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(800) 298-6470</w:t>
      </w:r>
    </w:p>
    <w:p>
      <w:pPr>
        <w:pStyle w:val="TextBody"/>
        <w:spacing w:lineRule="auto" w:line="240" w:before="0" w:after="120"/>
        <w:jc w:val="center"/>
        <w:rPr>
          <w:rFonts w:ascii="Times New Roman;sans-serif" w:hAnsi="Times New Roman;sans-serif"/>
          <w:b w:val="false"/>
          <w:i/>
          <w:color w:val="000000"/>
          <w:sz w:val="18"/>
        </w:rPr>
      </w:pPr>
      <w:r>
        <w:rPr>
          <w:rFonts w:ascii="Times New Roman;sans-serif" w:hAnsi="Times New Roman;sans-serif"/>
          <w:b w:val="false"/>
          <w:i/>
          <w:color w:val="000000"/>
          <w:sz w:val="18"/>
        </w:rPr>
        <w:t>(Telephone Number, including area code, of agent for service)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5738" w:type="dxa"/>
        <w:jc w:val="left"/>
        <w:tblInd w:w="0" w:type="dxa"/>
        <w:tblCellMar>
          <w:top w:w="28" w:type="dxa"/>
          <w:left w:w="28" w:type="dxa"/>
          <w:bottom w:w="28" w:type="dxa"/>
          <w:right w:w="28" w:type="dxa"/>
        </w:tblCellMar>
      </w:tblPr>
      <w:tblGrid>
        <w:gridCol w:w="285"/>
        <w:gridCol w:w="251"/>
        <w:gridCol w:w="251"/>
        <w:gridCol w:w="251"/>
        <w:gridCol w:w="251"/>
        <w:gridCol w:w="251"/>
        <w:gridCol w:w="251"/>
        <w:gridCol w:w="251"/>
        <w:gridCol w:w="251"/>
        <w:gridCol w:w="366"/>
        <w:gridCol w:w="366"/>
        <w:gridCol w:w="366"/>
        <w:gridCol w:w="366"/>
        <w:gridCol w:w="366"/>
        <w:gridCol w:w="366"/>
        <w:gridCol w:w="366"/>
        <w:gridCol w:w="366"/>
        <w:gridCol w:w="517"/>
      </w:tblGrid>
      <w:tr>
        <w:trPr/>
        <w:tc>
          <w:tcPr>
            <w:tcW w:w="28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r>
      <w:tr>
        <w:trPr/>
        <w:tc>
          <w:tcPr>
            <w:tcW w:w="5738" w:type="dxa"/>
            <w:gridSpan w:val="18"/>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Copies to:</w:t>
            </w:r>
          </w:p>
        </w:tc>
      </w:tr>
      <w:tr>
        <w:trPr/>
        <w:tc>
          <w:tcPr>
            <w:tcW w:w="2293"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Ethan Skerry</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Per B. Chilstrom</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Fenwick &amp; West LLP</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902 Broadway</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 10010</w:t>
            </w:r>
          </w:p>
          <w:p>
            <w:pPr>
              <w:pStyle w:val="TableContents"/>
              <w:spacing w:lineRule="auto" w:line="288" w:before="0" w:after="118"/>
              <w:jc w:val="center"/>
              <w:rPr>
                <w:rFonts w:ascii="Times New Roman;sans-serif" w:hAnsi="Times New Roman;sans-serif"/>
                <w:b/>
                <w:color w:val="000000"/>
                <w:sz w:val="18"/>
              </w:rPr>
            </w:pPr>
            <w:r>
              <w:rPr>
                <w:rFonts w:ascii="Times New Roman;sans-serif" w:hAnsi="Times New Roman;sans-serif"/>
                <w:b/>
                <w:color w:val="000000"/>
                <w:sz w:val="18"/>
              </w:rPr>
              <w:t>(212) 430-2600</w:t>
            </w:r>
          </w:p>
        </w:tc>
        <w:tc>
          <w:tcPr>
            <w:tcW w:w="3445"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Daniel Clark</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General Counsel</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Sema4 Holdings Corp.</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333 Ludlow Street, North Tower, 8th Floor</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Stamford, Connecticut 06902</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(800) 298-6470</w:t>
            </w:r>
          </w:p>
        </w:tc>
      </w:tr>
    </w:tbl>
    <w:p>
      <w:pPr>
        <w:pStyle w:val="TextBody"/>
        <w:spacing w:lineRule="auto" w:line="240"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58" w:type="dxa"/>
        <w:jc w:val="left"/>
        <w:tblInd w:w="0" w:type="dxa"/>
        <w:tblCellMar>
          <w:top w:w="28" w:type="dxa"/>
          <w:left w:w="28" w:type="dxa"/>
          <w:bottom w:w="28" w:type="dxa"/>
          <w:right w:w="28" w:type="dxa"/>
        </w:tblCellMar>
      </w:tblPr>
      <w:tblGrid>
        <w:gridCol w:w="695"/>
        <w:gridCol w:w="611"/>
        <w:gridCol w:w="613"/>
        <w:gridCol w:w="682"/>
        <w:gridCol w:w="682"/>
        <w:gridCol w:w="975"/>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Large accelerated filer </w:t>
            </w:r>
            <w:r>
              <w:rPr>
                <w:color w:val="000000"/>
              </w:rPr>
              <w:t>☐</w:t>
            </w:r>
          </w:p>
        </w:tc>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Accelerated filer </w:t>
            </w: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Non-accelerated filer </w:t>
            </w:r>
            <w:r>
              <w:rPr>
                <w:color w:val="000000"/>
              </w:rPr>
              <w:t>☒</w:t>
            </w:r>
          </w:p>
        </w:tc>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Smaller reporting company </w:t>
            </w: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Emerging growth company </w:t>
            </w:r>
            <w:r>
              <w:rPr>
                <w:color w:val="000000"/>
              </w:rPr>
              <w:t>☒</w:t>
            </w:r>
          </w:p>
        </w:tc>
      </w:tr>
    </w:tbl>
    <w:p>
      <w:pPr>
        <w:pStyle w:val="TextBody"/>
        <w:spacing w:lineRule="auto" w:line="240" w:before="0" w:after="12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r>
        <w:br w:type="page"/>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120"/>
        <w:jc w:val="center"/>
        <w:rPr>
          <w:rFonts w:ascii="Times New Roman;sans-serif" w:hAnsi="Times New Roman;sans-serif"/>
          <w:b/>
          <w:color w:val="000000"/>
          <w:sz w:val="18"/>
        </w:rPr>
      </w:pPr>
      <w:r>
        <w:rPr>
          <w:rFonts w:ascii="Times New Roman;sans-serif" w:hAnsi="Times New Roman;sans-serif"/>
          <w:b/>
          <w:color w:val="000000"/>
          <w:sz w:val="18"/>
        </w:rPr>
        <w:t>CALCULATION OF REGISTRATION FEE</w:t>
      </w:r>
    </w:p>
    <w:tbl>
      <w:tblPr>
        <w:tblW w:w="10205" w:type="dxa"/>
        <w:jc w:val="left"/>
        <w:tblInd w:w="0" w:type="dxa"/>
        <w:tblCellMar>
          <w:top w:w="28" w:type="dxa"/>
          <w:left w:w="28" w:type="dxa"/>
          <w:bottom w:w="28" w:type="dxa"/>
          <w:right w:w="28" w:type="dxa"/>
        </w:tblCellMar>
      </w:tblPr>
      <w:tblGrid>
        <w:gridCol w:w="1463"/>
        <w:gridCol w:w="1278"/>
        <w:gridCol w:w="1286"/>
        <w:gridCol w:w="414"/>
        <w:gridCol w:w="372"/>
        <w:gridCol w:w="357"/>
        <w:gridCol w:w="542"/>
        <w:gridCol w:w="542"/>
        <w:gridCol w:w="544"/>
        <w:gridCol w:w="888"/>
        <w:gridCol w:w="649"/>
        <w:gridCol w:w="651"/>
        <w:gridCol w:w="354"/>
        <w:gridCol w:w="354"/>
        <w:gridCol w:w="511"/>
      </w:tblGrid>
      <w:tr>
        <w:trPr/>
        <w:tc>
          <w:tcPr>
            <w:tcW w:w="1463"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402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Title of Securities </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Be Registered</w:t>
            </w:r>
          </w:p>
        </w:tc>
        <w:tc>
          <w:tcPr>
            <w:tcW w:w="1143"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Amount To Be</w:t>
            </w:r>
          </w:p>
          <w:p>
            <w:pPr>
              <w:pStyle w:val="TableContents"/>
              <w:spacing w:lineRule="auto" w:line="288" w:before="0" w:after="0"/>
              <w:jc w:val="center"/>
              <w:rPr/>
            </w:pPr>
            <w:r>
              <w:rPr>
                <w:rFonts w:ascii="Times New Roman;sans-serif" w:hAnsi="Times New Roman;sans-serif"/>
                <w:b/>
                <w:color w:val="000000"/>
                <w:sz w:val="18"/>
              </w:rPr>
              <w:t>Registered</w:t>
            </w:r>
            <w:r>
              <w:rPr>
                <w:rFonts w:ascii="Times New Roman;sans-serif" w:hAnsi="Times New Roman;sans-serif"/>
                <w:b/>
                <w:color w:val="000000"/>
                <w:sz w:val="12"/>
              </w:rPr>
              <w:t>(1)</w:t>
            </w:r>
          </w:p>
        </w:tc>
        <w:tc>
          <w:tcPr>
            <w:tcW w:w="1628"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Proposed Maximum Offering Price</w:t>
              <w:br/>
              <w:t>Per Share</w:t>
            </w:r>
          </w:p>
        </w:tc>
        <w:tc>
          <w:tcPr>
            <w:tcW w:w="2188"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Proposed Maximum Aggregate Offering Price</w:t>
            </w:r>
          </w:p>
        </w:tc>
        <w:tc>
          <w:tcPr>
            <w:tcW w:w="1219"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of </w:t>
              <w:br/>
              <w:t>Registration Fee</w:t>
            </w:r>
          </w:p>
        </w:tc>
      </w:tr>
      <w:tr>
        <w:trPr/>
        <w:tc>
          <w:tcPr>
            <w:tcW w:w="4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$0.0001 per share:</w:t>
            </w:r>
          </w:p>
        </w:tc>
        <w:tc>
          <w:tcPr>
            <w:tcW w:w="1143"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188"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r>
      <w:tr>
        <w:trPr/>
        <w:tc>
          <w:tcPr>
            <w:tcW w:w="4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283"/>
              <w:jc w:val="left"/>
              <w:rPr/>
            </w:pPr>
            <w:r>
              <w:rPr>
                <w:rFonts w:ascii="Times New Roman;sans-serif" w:hAnsi="Times New Roman;sans-serif"/>
                <w:b w:val="false"/>
                <w:color w:val="000000"/>
                <w:sz w:val="18"/>
              </w:rPr>
              <w:t>- Reserved for future issuance under the Sema4 Holdings Corp. 2021 Equity Incentive Plan</w:t>
            </w:r>
            <w:r>
              <w:rPr>
                <w:rFonts w:ascii="Times New Roman;sans-serif" w:hAnsi="Times New Roman;sans-serif"/>
                <w:b w:val="false"/>
                <w:color w:val="000000"/>
                <w:sz w:val="12"/>
              </w:rPr>
              <w:t>(2)</w:t>
            </w:r>
          </w:p>
        </w:tc>
        <w:tc>
          <w:tcPr>
            <w:tcW w:w="11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8"/>
              </w:rPr>
              <w:t>32,734,983</w:t>
            </w:r>
            <w:r>
              <w:rPr>
                <w:rFonts w:ascii="Times New Roman;sans-serif" w:hAnsi="Times New Roman;sans-serif"/>
                <w:b w:val="false"/>
                <w:color w:val="000000"/>
                <w:sz w:val="12"/>
              </w:rPr>
              <w:t>(2)</w:t>
            </w:r>
          </w:p>
        </w:tc>
        <w:tc>
          <w:tcPr>
            <w:tcW w:w="162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$8.96</w:t>
            </w:r>
            <w:r>
              <w:rPr>
                <w:rFonts w:ascii="Times New Roman;sans-serif" w:hAnsi="Times New Roman;sans-serif"/>
                <w:b w:val="false"/>
                <w:color w:val="000000"/>
                <w:sz w:val="13"/>
              </w:rPr>
              <w:t>(3)</w:t>
            </w:r>
          </w:p>
        </w:tc>
        <w:tc>
          <w:tcPr>
            <w:tcW w:w="218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$293,141,773</w:t>
            </w:r>
            <w:r>
              <w:rPr>
                <w:rFonts w:ascii="Times New Roman;sans-serif" w:hAnsi="Times New Roman;sans-serif"/>
                <w:b w:val="false"/>
                <w:color w:val="000000"/>
                <w:sz w:val="13"/>
              </w:rPr>
              <w:t>(3)</w:t>
            </w:r>
          </w:p>
        </w:tc>
        <w:tc>
          <w:tcPr>
            <w:tcW w:w="12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$31,982</w:t>
            </w:r>
          </w:p>
        </w:tc>
      </w:tr>
      <w:tr>
        <w:trPr/>
        <w:tc>
          <w:tcPr>
            <w:tcW w:w="4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Reserved for future issuance under the Sema4 Holdings Corp. 2021 Employee Stock Purchase Plan</w:t>
            </w:r>
          </w:p>
        </w:tc>
        <w:tc>
          <w:tcPr>
            <w:tcW w:w="11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8"/>
              </w:rPr>
              <w:t>4,804,011</w:t>
            </w:r>
            <w:r>
              <w:rPr>
                <w:rFonts w:ascii="Times New Roman;sans-serif" w:hAnsi="Times New Roman;sans-serif"/>
                <w:b w:val="false"/>
                <w:color w:val="000000"/>
                <w:sz w:val="12"/>
              </w:rPr>
              <w:t>(4)</w:t>
            </w:r>
          </w:p>
        </w:tc>
        <w:tc>
          <w:tcPr>
            <w:tcW w:w="162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$7.61</w:t>
            </w:r>
            <w:r>
              <w:rPr>
                <w:rFonts w:ascii="Times New Roman;sans-serif" w:hAnsi="Times New Roman;sans-serif"/>
                <w:b w:val="false"/>
                <w:color w:val="000000"/>
                <w:sz w:val="13"/>
              </w:rPr>
              <w:t>(5)</w:t>
            </w:r>
          </w:p>
        </w:tc>
        <w:tc>
          <w:tcPr>
            <w:tcW w:w="218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$36,566,931</w:t>
            </w:r>
            <w:r>
              <w:rPr>
                <w:rFonts w:ascii="Times New Roman;sans-serif" w:hAnsi="Times New Roman;sans-serif"/>
                <w:b w:val="false"/>
                <w:color w:val="000000"/>
                <w:sz w:val="13"/>
              </w:rPr>
              <w:t>(5)</w:t>
            </w:r>
          </w:p>
        </w:tc>
        <w:tc>
          <w:tcPr>
            <w:tcW w:w="12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$3,990</w:t>
            </w:r>
          </w:p>
        </w:tc>
      </w:tr>
      <w:tr>
        <w:trPr/>
        <w:tc>
          <w:tcPr>
            <w:tcW w:w="4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Issuable upon the exercise of outstanding stock options under the Mount Sinai Genomics, Inc. 2017 Equity Incentive Plan</w:t>
            </w:r>
          </w:p>
        </w:tc>
        <w:tc>
          <w:tcPr>
            <w:tcW w:w="11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28,880,501</w:t>
            </w:r>
            <w:r>
              <w:rPr>
                <w:rFonts w:ascii="Times New Roman;sans-serif" w:hAnsi="Times New Roman;sans-serif"/>
                <w:b w:val="false"/>
                <w:color w:val="000000"/>
                <w:sz w:val="13"/>
              </w:rPr>
              <w:t>(6)</w:t>
            </w:r>
          </w:p>
        </w:tc>
        <w:tc>
          <w:tcPr>
            <w:tcW w:w="162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$0.49</w:t>
            </w:r>
            <w:r>
              <w:rPr>
                <w:rFonts w:ascii="Times New Roman;sans-serif" w:hAnsi="Times New Roman;sans-serif"/>
                <w:b w:val="false"/>
                <w:color w:val="000000"/>
                <w:sz w:val="13"/>
              </w:rPr>
              <w:t>(7)</w:t>
            </w:r>
          </w:p>
        </w:tc>
        <w:tc>
          <w:tcPr>
            <w:tcW w:w="218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$14,151,446</w:t>
            </w:r>
          </w:p>
        </w:tc>
        <w:tc>
          <w:tcPr>
            <w:tcW w:w="12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$1,544</w:t>
            </w:r>
          </w:p>
        </w:tc>
      </w:tr>
      <w:tr>
        <w:trPr/>
        <w:tc>
          <w:tcPr>
            <w:tcW w:w="4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Issuable upon vesting of Earn-Out RSUs</w:t>
            </w:r>
          </w:p>
        </w:tc>
        <w:tc>
          <w:tcPr>
            <w:tcW w:w="114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8"/>
              </w:rPr>
              <w:t>1,847,920</w:t>
            </w:r>
            <w:r>
              <w:rPr>
                <w:rFonts w:ascii="Times New Roman;sans-serif" w:hAnsi="Times New Roman;sans-serif"/>
                <w:b w:val="false"/>
                <w:color w:val="000000"/>
                <w:sz w:val="12"/>
              </w:rPr>
              <w:t>(8)</w:t>
            </w:r>
          </w:p>
        </w:tc>
        <w:tc>
          <w:tcPr>
            <w:tcW w:w="162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$8.96</w:t>
            </w:r>
            <w:r>
              <w:rPr>
                <w:rFonts w:ascii="Times New Roman;sans-serif" w:hAnsi="Times New Roman;sans-serif"/>
                <w:b w:val="false"/>
                <w:color w:val="000000"/>
                <w:sz w:val="13"/>
              </w:rPr>
              <w:t>(3)</w:t>
            </w:r>
          </w:p>
        </w:tc>
        <w:tc>
          <w:tcPr>
            <w:tcW w:w="218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8"/>
              </w:rPr>
              <w:t>$16,548,124</w:t>
            </w:r>
            <w:r>
              <w:rPr>
                <w:rFonts w:ascii="Times New Roman;sans-serif" w:hAnsi="Times New Roman;sans-serif"/>
                <w:b w:val="false"/>
                <w:color w:val="000000"/>
                <w:sz w:val="12"/>
              </w:rPr>
              <w:t>(3)</w:t>
            </w:r>
          </w:p>
        </w:tc>
        <w:tc>
          <w:tcPr>
            <w:tcW w:w="12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$1,806</w:t>
            </w:r>
          </w:p>
        </w:tc>
      </w:tr>
      <w:tr>
        <w:trPr/>
        <w:tc>
          <w:tcPr>
            <w:tcW w:w="40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4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68,267,415</w:t>
            </w:r>
          </w:p>
        </w:tc>
        <w:tc>
          <w:tcPr>
            <w:tcW w:w="162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color w:val="000000"/>
              </w:rPr>
            </w:pPr>
            <w:r>
              <w:rPr>
                <w:color w:val="000000"/>
              </w:rPr>
              <w:t>—</w:t>
            </w:r>
          </w:p>
        </w:tc>
        <w:tc>
          <w:tcPr>
            <w:tcW w:w="218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$360,408,274</w:t>
            </w:r>
          </w:p>
        </w:tc>
        <w:tc>
          <w:tcPr>
            <w:tcW w:w="12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$39,322</w:t>
            </w:r>
          </w:p>
        </w:tc>
      </w:tr>
    </w:tbl>
    <w:p>
      <w:pPr>
        <w:pStyle w:val="TextBody"/>
        <w:spacing w:lineRule="auto" w:line="240" w:before="0" w:after="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(1)Pursuant to Rule 416(a) of the Securities Act of 1933, as amended (the “Securities Act”), this Registration Statement also covers such additional and indeterminate number of securities as may become issuable pursuant to the provisions of the Sema4 Holdings Corp. 2021 Equity Incentive Plan (the “Equity Incentive Plan”), the Sema4 Holdings Corp. 2021 Employee Stock Purchase Plan (the “ESPP”), the Mount Sinai Genomics, Inc. 2017 Equity Incentive Plan (the “2017 Plan”) and the Earn-Out RSUs (as defined below) by reason of any stock dividend, stock split, recapitalization or any other similar transaction effected without the Registrant’s receipt of consideration which results in an increase in the number of outstanding shares of Class A common stock, par value $0.0001 per share (the “Class A Common Stock”), of Sema4 Holdings Corp. (formerly, CM Life Sciences, Inc.), a Delaware corporation (the “Registrant”).</w:t>
      </w:r>
    </w:p>
    <w:p>
      <w:pPr>
        <w:pStyle w:val="TextBody"/>
        <w:spacing w:lineRule="auto" w:line="240" w:before="0" w:after="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shares of Class A Common Stock that may be issued under the Equity Incentive Plan consisting of (a) 28,824,070 shares Class A Common Stock reserved for issuance under the Equity Incentive Plan and (b) 3,910,913 shares of Class A Common Stock previously reserved but unissued under the 2017 Plan that are now available for issuance under the Equity Incentive Plan. To the extent that shares previously issued pursuant to awards granted under the 2017 Plan are reacquired by the Registrant after the effective date of the Equity Incentive Plan, or if outstanding awards granted under the 2017 Plan are forfeited, expire or lapse unexercised after the effective date of the Equity Incentive Plan, such shares will become available for issuance under the Equity Incentive Plan, subject to the limits set forth in such plan. In general, to the extent that any awards under the Equity Incentive Plan are forfeited, cancelled or expire for any reason before being exercised or settled in full, if any awards are settled in cash or if shares issued under the Equity Incentive Plan are reacquired by the Registrant pursuant to a forfeiture provision, repurchase right or for any other reason, those shares will again become available for issuance under the Equity Incentive Plan, as will shares applied to pay the exercise or purchase price of an award or to satisfy tax withholding obligations related to any award.</w:t>
      </w:r>
    </w:p>
    <w:p>
      <w:pPr>
        <w:pStyle w:val="TextBody"/>
        <w:spacing w:lineRule="auto" w:line="240" w:before="0" w:after="40"/>
        <w:ind w:left="0" w:right="0" w:hanging="360"/>
        <w:jc w:val="both"/>
        <w:rPr/>
      </w:pPr>
      <w:r>
        <w:rPr>
          <w:rFonts w:ascii="Times New Roman;sans-serif" w:hAnsi="Times New Roman;sans-serif"/>
          <w:b w:val="false"/>
          <w:color w:val="000000"/>
          <w:sz w:val="18"/>
        </w:rPr>
        <w:t>(3)</w:t>
      </w:r>
      <w:r>
        <w:rPr>
          <w:rFonts w:ascii="Times New Roman;sans-serif" w:hAnsi="Times New Roman;sans-serif"/>
          <w:b w:val="false"/>
          <w:color w:val="000000"/>
          <w:sz w:val="18"/>
          <w:highlight w:val="white"/>
        </w:rPr>
        <w:t xml:space="preserve">Estimated pursuant to Rule </w:t>
      </w:r>
      <w:r>
        <w:rPr>
          <w:rFonts w:ascii="Times New Roman;sans-serif" w:hAnsi="Times New Roman;sans-serif"/>
          <w:b w:val="false"/>
          <w:color w:val="000000"/>
          <w:sz w:val="18"/>
        </w:rPr>
        <w:t>457(h)</w:t>
      </w:r>
      <w:r>
        <w:rPr>
          <w:color w:val="000000"/>
          <w:highlight w:val="white"/>
        </w:rPr>
        <w:t xml:space="preserve"> </w:t>
      </w:r>
      <w:r>
        <w:rPr>
          <w:rFonts w:ascii="Times New Roman;sans-serif" w:hAnsi="Times New Roman;sans-serif"/>
          <w:b w:val="false"/>
          <w:color w:val="000000"/>
          <w:sz w:val="18"/>
          <w:highlight w:val="white"/>
        </w:rPr>
        <w:t xml:space="preserve">under the </w:t>
      </w:r>
      <w:r>
        <w:rPr>
          <w:rFonts w:ascii="Times New Roman;sans-serif" w:hAnsi="Times New Roman;sans-serif"/>
          <w:b w:val="false"/>
          <w:color w:val="000000"/>
          <w:sz w:val="18"/>
        </w:rPr>
        <w:t>Securities Act</w:t>
      </w:r>
      <w:r>
        <w:rPr>
          <w:color w:val="000000"/>
          <w:highlight w:val="white"/>
        </w:rPr>
        <w:t xml:space="preserve"> </w:t>
      </w:r>
      <w:r>
        <w:rPr>
          <w:rFonts w:ascii="Times New Roman;sans-serif" w:hAnsi="Times New Roman;sans-serif"/>
          <w:b w:val="false"/>
          <w:color w:val="000000"/>
          <w:sz w:val="18"/>
          <w:highlight w:val="white"/>
        </w:rPr>
        <w:t>solely for the purpose of calculating the registration fee. The price of $</w:t>
      </w:r>
      <w:r>
        <w:rPr>
          <w:rFonts w:ascii="Times New Roman;sans-serif" w:hAnsi="Times New Roman;sans-serif"/>
          <w:b w:val="false"/>
          <w:color w:val="000000"/>
          <w:sz w:val="18"/>
        </w:rPr>
        <w:t>8.96</w:t>
      </w:r>
      <w:r>
        <w:rPr>
          <w:color w:val="000000"/>
          <w:highlight w:val="white"/>
        </w:rPr>
        <w:t xml:space="preserve"> </w:t>
      </w:r>
      <w:r>
        <w:rPr>
          <w:rFonts w:ascii="Times New Roman;sans-serif" w:hAnsi="Times New Roman;sans-serif"/>
          <w:b w:val="false"/>
          <w:color w:val="000000"/>
          <w:sz w:val="18"/>
          <w:highlight w:val="white"/>
        </w:rPr>
        <w:t>per share represents the average high and low sales prices of the Class A Common Stock as quoted on the Nasdaq Global Select Market on September 20, 2021.</w:t>
      </w:r>
    </w:p>
    <w:p>
      <w:pPr>
        <w:pStyle w:val="TextBody"/>
        <w:spacing w:lineRule="auto" w:line="240" w:before="0" w:after="40"/>
        <w:ind w:left="0" w:right="0" w:hanging="360"/>
        <w:jc w:val="both"/>
        <w:rPr/>
      </w:pPr>
      <w:r>
        <w:rPr>
          <w:rFonts w:ascii="Times New Roman;sans-serif" w:hAnsi="Times New Roman;sans-serif"/>
          <w:b w:val="false"/>
          <w:color w:val="000000"/>
          <w:sz w:val="18"/>
        </w:rPr>
        <w:t>(4)</w:t>
      </w:r>
      <w:r>
        <w:rPr>
          <w:rFonts w:ascii="Times New Roman;sans-serif" w:hAnsi="Times New Roman;sans-serif"/>
          <w:b w:val="false"/>
          <w:color w:val="000000"/>
          <w:sz w:val="18"/>
          <w:highlight w:val="white"/>
        </w:rPr>
        <w:t>Represents shares of Class A Common Stock reserved for issuance under the ESPP.</w:t>
      </w:r>
    </w:p>
    <w:p>
      <w:pPr>
        <w:pStyle w:val="TextBody"/>
        <w:spacing w:lineRule="auto" w:line="240" w:before="0" w:after="40"/>
        <w:ind w:left="0" w:right="0" w:hanging="360"/>
        <w:jc w:val="both"/>
        <w:rPr/>
      </w:pPr>
      <w:r>
        <w:rPr>
          <w:rFonts w:ascii="Times New Roman;sans-serif" w:hAnsi="Times New Roman;sans-serif"/>
          <w:b w:val="false"/>
          <w:color w:val="000000"/>
          <w:sz w:val="18"/>
        </w:rPr>
        <w:t xml:space="preserve">(5)Estimated solely for the purpose of calculating the registration fee in accordance with Rule 457(h) under the Securities Act and based upon the average of the high and low prices of the Registrant’s Class A </w:t>
      </w:r>
      <w:r>
        <w:rPr>
          <w:rFonts w:ascii="Times New Roman;sans-serif" w:hAnsi="Times New Roman;sans-serif"/>
          <w:b w:val="false"/>
          <w:color w:val="000000"/>
          <w:sz w:val="18"/>
          <w:highlight w:val="white"/>
        </w:rPr>
        <w:t>Common Stock as quoted on the Nasdaq Global Select Market on September 20, 2021</w:t>
      </w:r>
      <w:r>
        <w:rPr>
          <w:rFonts w:ascii="Times New Roman;sans-serif" w:hAnsi="Times New Roman;sans-serif"/>
          <w:b w:val="false"/>
          <w:color w:val="000000"/>
          <w:sz w:val="18"/>
        </w:rPr>
        <w:t>, multiplied by 85%.</w:t>
      </w:r>
    </w:p>
    <w:p>
      <w:pPr>
        <w:pStyle w:val="TextBody"/>
        <w:spacing w:lineRule="auto" w:line="240" w:before="0" w:after="40"/>
        <w:ind w:left="0" w:right="0" w:hanging="360"/>
        <w:jc w:val="both"/>
        <w:rPr/>
      </w:pPr>
      <w:r>
        <w:rPr>
          <w:rFonts w:ascii="Times New Roman;sans-serif" w:hAnsi="Times New Roman;sans-serif"/>
          <w:b w:val="false"/>
          <w:color w:val="000000"/>
          <w:sz w:val="18"/>
        </w:rPr>
        <w:t>(6)</w:t>
      </w:r>
      <w:r>
        <w:rPr>
          <w:rFonts w:ascii="Times New Roman;sans-serif" w:hAnsi="Times New Roman;sans-serif"/>
          <w:b w:val="false"/>
          <w:color w:val="000000"/>
          <w:sz w:val="18"/>
          <w:highlight w:val="white"/>
        </w:rPr>
        <w:t>Represents shares of Class A Common Stock that may be issued pursuant to the exercise of outstanding stock options under the 2017 Plan, as assumed by the Registrant.</w:t>
      </w:r>
      <w:r>
        <w:rPr>
          <w:color w:val="000000"/>
          <w:highlight w:val="white"/>
        </w:rPr>
        <w:t xml:space="preserve"> </w:t>
      </w:r>
    </w:p>
    <w:p>
      <w:pPr>
        <w:pStyle w:val="TextBody"/>
        <w:spacing w:lineRule="auto" w:line="240" w:before="0" w:after="40"/>
        <w:ind w:left="0" w:right="0" w:hanging="360"/>
        <w:jc w:val="both"/>
        <w:rPr/>
      </w:pPr>
      <w:r>
        <w:rPr>
          <w:rFonts w:ascii="Times New Roman;sans-serif" w:hAnsi="Times New Roman;sans-serif"/>
          <w:b w:val="false"/>
          <w:color w:val="000000"/>
          <w:sz w:val="18"/>
        </w:rPr>
        <w:t>(7)</w:t>
      </w:r>
      <w:r>
        <w:rPr>
          <w:rFonts w:ascii="Times New Roman;sans-serif" w:hAnsi="Times New Roman;sans-serif"/>
          <w:b w:val="false"/>
          <w:color w:val="000000"/>
          <w:sz w:val="18"/>
          <w:highlight w:val="white"/>
        </w:rPr>
        <w:t>Estimated pursuant to Rule 457(h) under the Securities Act solely for the purpose of calculating the registration fee. The price of $</w:t>
      </w:r>
      <w:r>
        <w:rPr>
          <w:rFonts w:ascii="Times New Roman;sans-serif" w:hAnsi="Times New Roman;sans-serif"/>
          <w:b w:val="false"/>
          <w:color w:val="000000"/>
          <w:sz w:val="18"/>
        </w:rPr>
        <w:t>0.49</w:t>
      </w:r>
      <w:r>
        <w:rPr>
          <w:color w:val="000000"/>
          <w:highlight w:val="white"/>
        </w:rPr>
        <w:t xml:space="preserve"> </w:t>
      </w:r>
      <w:r>
        <w:rPr>
          <w:rFonts w:ascii="Times New Roman;sans-serif" w:hAnsi="Times New Roman;sans-serif"/>
          <w:b w:val="false"/>
          <w:color w:val="000000"/>
          <w:sz w:val="18"/>
          <w:highlight w:val="white"/>
        </w:rPr>
        <w:t>per share represents the weighted average exercise price per share of outstanding awards under the 2017 Plan, as assumed by the registrant.</w:t>
      </w:r>
    </w:p>
    <w:p>
      <w:pPr>
        <w:pStyle w:val="TextBody"/>
        <w:spacing w:lineRule="auto" w:line="240" w:before="0" w:after="40"/>
        <w:ind w:left="0" w:right="0" w:hanging="360"/>
        <w:rPr/>
      </w:pPr>
      <w:r>
        <w:rPr>
          <w:rFonts w:ascii="Times New Roman;sans-serif" w:hAnsi="Times New Roman;sans-serif"/>
          <w:b w:val="false"/>
          <w:color w:val="000000"/>
          <w:sz w:val="18"/>
        </w:rPr>
        <w:t>(8)</w:t>
      </w:r>
      <w:r>
        <w:rPr>
          <w:rFonts w:ascii="Times New Roman;sans-serif" w:hAnsi="Times New Roman;sans-serif"/>
          <w:b w:val="false"/>
          <w:color w:val="000000"/>
          <w:sz w:val="18"/>
          <w:highlight w:val="white"/>
        </w:rPr>
        <w:t>Represents shares of Class A Common Stock (the “Earn-Out RSU Shares”) issuable upon the vesting of certain RSU awards (the “Earn-Out RSUs”) that are expected to be granted to certain former equity award holders of Sema4 (as defined below) and certain employees of the Registrant pursuant to the terms of t</w:t>
      </w:r>
      <w:r>
        <w:rPr>
          <w:rFonts w:ascii="Times New Roman;sans-serif" w:hAnsi="Times New Roman;sans-serif"/>
          <w:b w:val="false"/>
          <w:color w:val="000000"/>
          <w:sz w:val="18"/>
        </w:rPr>
        <w:t>hat certain Agreement and Plan of Merger, dated as of February 9, 2021 (as amended, the “Merger Agreement”), by and among CM Life Sciences, Inc., S-IV Sub, Inc. and Mount Sinai Genomics, Inc. d/b/a Sema4 (“Sema4”)</w:t>
      </w:r>
      <w:r>
        <w:rPr>
          <w:rFonts w:ascii="Times New Roman;sans-serif" w:hAnsi="Times New Roman;sans-serif"/>
          <w:b w:val="false"/>
          <w:color w:val="000000"/>
          <w:sz w:val="18"/>
          <w:highlight w:val="white"/>
        </w:rPr>
        <w:t>, and outside of the Equity Incentive Plan.</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1" w:type="dxa"/>
            <w:gridSpan w:val="9"/>
            <w:tcBorders>
              <w:bottom w:val="single" w:sz="8" w:space="0" w:color="000000"/>
            </w:tcBorders>
            <w:shd w:fill="auto" w:val="clear"/>
            <w:tcMar>
              <w:top w:w="0" w:type="dxa"/>
              <w:left w:w="0" w:type="dxa"/>
              <w:right w:w="0" w:type="dxa"/>
            </w:tcMar>
            <w:vAlign w:val="center"/>
          </w:tcPr>
          <w:p>
            <w:pPr>
              <w:pStyle w:val="TableContents"/>
              <w:spacing w:before="0" w:after="40"/>
              <w:jc w:val="center"/>
              <w:rPr/>
            </w:pPr>
            <w:r>
              <w:rPr/>
            </w:r>
          </w:p>
        </w:tc>
      </w:tr>
    </w:tbl>
    <w:p>
      <w:pPr>
        <w:pStyle w:val="TextBody"/>
        <w:spacing w:lineRule="auto" w:line="240" w:before="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Registration Statement shall become effective upon filing in accordance with Rule 462 under the Securities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lineRule="auto" w:line="288" w:before="0" w:after="180"/>
        <w:jc w:val="both"/>
        <w:rPr/>
      </w:pPr>
      <w:r>
        <w:rPr>
          <w:rFonts w:ascii="Times New Roman;sans-serif" w:hAnsi="Times New Roman;sans-serif"/>
          <w:b w:val="false"/>
          <w:color w:val="000000"/>
          <w:sz w:val="20"/>
          <w:highlight w:val="white"/>
        </w:rPr>
        <w:t xml:space="preserve">This Registration Statement on Form S-8 (this “Registration Statement”) is being filed by Sema4 Holdings Corp. (formerly, CM Life Sciences, Inc.), a Delaware corporation (the “Registrant”), relating to (i) 32,734,983 shares of Class A common stock, par value $0.0001 per share (the “Class A Common Stock”), of the Registrant reserved for issuance under the Sema4 Holdings Corp. 2021 Equity Incentive Plan (the “Equity Incentive Plan”); (ii) 4,804,011 shares of Class A Common Stock reserved for issuance under the Sema4 Holdings Corp. 2021 Employee Stock Purchase Plan (the “ESPP”); (iii) 28,880,501 shares of Class A Common Stock issuable upon the exercise of stock options granted under the Mount Sinai Genomics, Inc. 2017 Equity Incentive Plan (the “2017 Plan”); and (iv) </w:t>
      </w:r>
      <w:r>
        <w:rPr>
          <w:rFonts w:ascii="Times New Roman;sans-serif" w:hAnsi="Times New Roman;sans-serif"/>
          <w:b w:val="false"/>
          <w:color w:val="000000"/>
          <w:sz w:val="18"/>
          <w:highlight w:val="white"/>
        </w:rPr>
        <w:t>1,847,920</w:t>
      </w:r>
      <w:r>
        <w:rPr>
          <w:color w:val="000000"/>
          <w:highlight w:val="white"/>
        </w:rPr>
        <w:t xml:space="preserve"> </w:t>
      </w:r>
      <w:r>
        <w:rPr>
          <w:rFonts w:ascii="Times New Roman;sans-serif" w:hAnsi="Times New Roman;sans-serif"/>
          <w:b w:val="false"/>
          <w:color w:val="000000"/>
          <w:sz w:val="20"/>
          <w:highlight w:val="white"/>
        </w:rPr>
        <w:t>shares of Class A Common Stock (the “Earn-Out RSU Shares”) issuable upon the vesting of certain RSU awards (the “Earn-Out RSUs”) that are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 and outside of the Equity Incentive Plan.</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This Registration Statement also includes a prospectus (the “Reoffer Prospectus”) prepared in accordance with General Instruction C of Form S-8 and in accordance with the requirements of Part I of Form S-3. This Reoffer Prospectus may be used for the reoffer and resale of shares of Class A Common Stock on a continuous or delayed basis that may be deemed to be “control securities” within the meaning of the Securities Act of 1933, as amended (the “Securities Act”), and the rules and regulations promulgated thereunder, that are issuable to certain of our executive and other officers and directors identified in the Reoffer Prospectus. The number of shares of Class A Common Stock included in the Reoffer Prospectus represents shares of Class A Common Stock issuable to the selling stockholders pursuant to Earn-Out RSUs the selling stockholders are expected to be granted pursuant to the Merger Agreement and outside of the Equity Incentive Plan and does not necessarily represent a present intention to sell any or all such shares of Class A Common Stock. The number of shares of Class A Common Stock to be offered or resold by means of the Reoffer Prospectus by the selling stockholders, and any other person with whom any of them is acting in concert for the purpose of selling Class A Common Stock, may not exceed, during any three-month period, the amount specified in Rule 144(e) under the Securities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INFORMATION REQUIRED IN THE SECTION 10(A) PROSPECTUS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information called for by Part I of Form S-8 is omitted from this Registration Statement in accordance with Rule 428 of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The documents containing the information specified in Part I of Form S-8 will be delivered to the participants in the equity benefit plans covered by this Registration Statement as specified by Rule 428(b)(1) under the Securities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before="0" w:after="180"/>
        <w:jc w:val="center"/>
        <w:rPr/>
      </w:pPr>
      <w:r>
        <w:rPr/>
        <w:drawing>
          <wp:inline distT="0" distB="63500" distL="0" distR="0">
            <wp:extent cx="2619375"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19375" cy="67627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Sema4 Holdings Corp.</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1,847,920 Shares of Class A Common Stock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This reoffer prospectus (“Reoffer Prospectus”) relates to the offer and sale from time to time by the selling stockholders named in this Reoffer Prospectus (the “Selling Stockholders”), or their permitted transferees, of up to 1,847,920 shares of Class A common stock, par value $0.0001 per share (“Class A Common Stock”), of Sema4 Holdings Corp., a Delaware corporation. This Reoffer Prospectus covers 1,847,920 shares of Class A Common Stock issuable to each Selling Stockholder upon the vesting of the Earn-Out RSUs that are expected to be granted by us to the Selling Stockholders pursuant to the earn-out provisions of the Merger Agreement (as defined below) and outside the Sema4 Holdings Corp. 2021 Equity Incentive Plan (the “Equity Incentive Plan”). We are not offering any shares of Class A Common Stock and will not receive any proceeds from the sale of the shares of Class A Common Stock by the Selling Stockholders pursuant to this Reoffer Prospectus. The Selling Stockholders are certain of our directors and executive and other officers, each of whom is an “affiliate” of our company (as defined in Rule 405 under the Securities Act of 1933, as amended (the “Securities Act”)).</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the satisfaction of any conditions to vesting of the shares of Class A Common Stock offered hereby pursuant to the terms of the relevant Earn-Out RSU agreements, and subject to the expiration of any lock-up agreements described herein, the Selling Stockholders may from time to time sell, transfer or otherwise dispose of any or all of the shares of Class A Common Stock covered by this Reoffer Prospectus through underwriters or dealers, directly to purchasers (or a single purchaser) or through broker-dealers or agents. If underwriters or dealers are used to sell the shares of Class A Common Stock, we will name them and describe their compensation in a prospectus supplement. The shares of Class A Common Stock may be sold in one or more transactions at fixed prices, prevailing market prices at the time of sale, prices related to the prevailing market prices, varying prices determined at the time of sale or negotiated prices. We do not know when or in what amount the Selling Stockholders may offer the shares of Class A Common Stock for sale. The Selling Stockholders may sell any, all or none of the shares of Class A Common Stock offered by this Reoffer Prospectus. See “Plan of Distribution” beginning on page 14 for more information about how the Selling Stockholders may sell or dispose of the shares of Class A Common Stock covered by this Reoffer Prospectus. The Selling Stockholders will bear all sales commissions and similar expenses. We will bear all expenses of registration incurred in connection with this offering, including any other expenses incurred by us in connection with the registration and offering that are not borne by the Selling Stockholders.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Shares of Class A Common Stock that will be issued pursuant to the Earn-Out RSUs that are expected to be granted to Selling Stockholders will be “control securities” under the Securities Act before their sale under this Reoffer Prospectus. This Reoffer Prospectus has been prepared for the purposes of registering the shares of Class A Common Stock under the Securities Act to allow for future sales by Selling Stockholders on a continuous or delayed basis to the public without restriction, provided that the amount of shares of Class A Common Stock to be offered or resold under this Reoffer Prospectus by each Selling Stockholder or other person with whom he or she is acting in concert for the purpose of selling shares of Class A Common Stock, may not exceed, during any three-month period, the amount specified in Rule 144(e) under the Securities Act.</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July 22, 2021, we consummated the transactions contemplated by that certain Agreement and Plan of Merger, dated as of February 9, 2021 (as amended, the “Merger Agreement”), by and among CM Life Sciences, Inc. (“CMLS” and, after the consummation of the Business Combination (as defined below), “Sema4 Holdings Corp.”), S-IV Sub, Inc. (“Merger Sub”) and Mount Sinai Genomics, Inc. d/b/a Sema4 (“Sema4”). In particular, on July 22, 2021, we consummated the merger contemplated by the Merger Agreement, whereby Merger Sub merged with and into Sema4, with Sema4 surviving the merger as a wholly-owned subsidiary of CMLS (the “Merger” and, together </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with the other transactions contemplated by the Merger Agreement, the “Business Combination”). In connection with the consummation of the Business Combination, CMLS changed its name to “Sema4 Holdings Corp.” and Sema4 changed its name to “Sema4 OpCo, Inc.”</w:t>
      </w:r>
    </w:p>
    <w:p>
      <w:pPr>
        <w:pStyle w:val="TextBody"/>
        <w:spacing w:lineRule="auto" w:line="288" w:before="0" w:after="180"/>
        <w:ind w:left="0" w:right="0" w:firstLine="49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Class A Common Stock and public warrants are listed on the Nasdaq Global Select Market (the “Nasdaq”) under the symbols “SMFR” and “SMFRW”, respectively.</w:t>
      </w:r>
    </w:p>
    <w:p>
      <w:pPr>
        <w:pStyle w:val="TextBody"/>
        <w:spacing w:lineRule="auto" w:line="288" w:before="0" w:after="180"/>
        <w:ind w:left="0" w:right="0" w:firstLine="490"/>
        <w:rPr/>
      </w:pPr>
      <w:r>
        <w:rPr>
          <w:rFonts w:ascii="Times New Roman;sans-serif" w:hAnsi="Times New Roman;sans-serif"/>
          <w:b/>
          <w:color w:val="000000"/>
          <w:sz w:val="20"/>
          <w:highlight w:val="white"/>
        </w:rPr>
        <w:t>We are an “emerging growth company” under federal securities laws and are subject to reduced public company reporting requirements. Investing in our Class A Common Stock involves a high degree of risk. You should review carefully the risks and uncertainties described under the heading “</w:t>
      </w:r>
      <w:hyperlink w:anchor="i0e1f3e809ef9408c902f4d4d6accaf6c_134">
        <w:r>
          <w:rPr>
            <w:rStyle w:val="InternetLink"/>
            <w:rFonts w:ascii="Times New Roman;sans-serif" w:hAnsi="Times New Roman;sans-serif"/>
            <w:b/>
            <w:color w:val="0000FF"/>
            <w:sz w:val="20"/>
            <w:highlight w:val="white"/>
            <w:u w:val="single"/>
          </w:rPr>
          <w:t>Risk Factors</w:t>
        </w:r>
      </w:hyperlink>
      <w:r>
        <w:rPr>
          <w:color w:val="000000"/>
          <w:highlight w:val="white"/>
        </w:rPr>
        <w:t xml:space="preserve">” </w:t>
      </w:r>
      <w:r>
        <w:rPr>
          <w:rFonts w:ascii="Times New Roman;sans-serif" w:hAnsi="Times New Roman;sans-serif"/>
          <w:b/>
          <w:color w:val="000000"/>
          <w:sz w:val="20"/>
          <w:highlight w:val="white"/>
        </w:rPr>
        <w:t>on page 12 of this Reoffer Prospectus and under similar headings in the documents that are incorporated by reference into this Reoffer Prospectus, as well as “</w:t>
      </w:r>
      <w:hyperlink w:anchor="i0e1f3e809ef9408c902f4d4d6accaf6c_116">
        <w:r>
          <w:rPr>
            <w:rStyle w:val="InternetLink"/>
            <w:rFonts w:ascii="Times New Roman;sans-serif" w:hAnsi="Times New Roman;sans-serif"/>
            <w:b/>
            <w:color w:val="0000FF"/>
            <w:sz w:val="20"/>
            <w:highlight w:val="white"/>
            <w:u w:val="single"/>
          </w:rPr>
          <w:t>Cautionary Note Regarding Forward-Looking Statements</w:t>
        </w:r>
      </w:hyperlink>
      <w:r>
        <w:rPr>
          <w:color w:val="000000"/>
          <w:highlight w:val="white"/>
        </w:rPr>
        <w:t xml:space="preserve">” </w:t>
      </w:r>
      <w:r>
        <w:rPr>
          <w:rFonts w:ascii="Times New Roman;sans-serif" w:hAnsi="Times New Roman;sans-serif"/>
          <w:b/>
          <w:color w:val="000000"/>
          <w:sz w:val="20"/>
          <w:highlight w:val="white"/>
        </w:rPr>
        <w:t>on page 8 of this Reoffer Prospectus.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color w:val="000000"/>
              </w:rPr>
            </w:pPr>
            <w:r>
              <w:rPr>
                <w:color w:val="000000"/>
              </w:rPr>
              <w:t> </w:t>
            </w:r>
          </w:p>
        </w:tc>
      </w:tr>
    </w:tbl>
    <w:p>
      <w:pPr>
        <w:pStyle w:val="TextBody"/>
        <w:spacing w:lineRule="auto" w:line="288" w:before="0" w:after="180"/>
        <w:ind w:left="0" w:right="0" w:firstLine="490"/>
        <w:rPr>
          <w:rFonts w:ascii="Times New Roman;sans-serif" w:hAnsi="Times New Roman;sans-serif"/>
          <w:b/>
          <w:color w:val="000000"/>
          <w:sz w:val="20"/>
          <w:highlight w:val="white"/>
        </w:rPr>
      </w:pPr>
      <w:r>
        <w:rPr>
          <w:rFonts w:ascii="Times New Roman;sans-serif" w:hAnsi="Times New Roman;sans-serif"/>
          <w:b/>
          <w:color w:val="000000"/>
          <w:sz w:val="20"/>
          <w:highlight w:val="white"/>
        </w:rPr>
        <w:t>Neither the U.S. Securities and Exchange Commission nor any state securities commission has approved or disapproved of these securities or determined if this Reoffer Prospectus is truthful or complete. Any representation to the contrary is a criminal offense.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color w:val="000000"/>
              </w:rPr>
            </w:pPr>
            <w:r>
              <w:rPr>
                <w:color w:val="000000"/>
              </w:rPr>
              <w:t> </w:t>
            </w:r>
          </w:p>
        </w:tc>
      </w:tr>
    </w:tbl>
    <w:p>
      <w:pPr>
        <w:pStyle w:val="TextBody"/>
        <w:spacing w:lineRule="auto" w:line="288" w:before="0" w:after="1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date of this Reoffer Prospectus is September 27,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5341" w:type="dxa"/>
        <w:jc w:val="left"/>
        <w:tblInd w:w="0" w:type="dxa"/>
        <w:tblCellMar>
          <w:top w:w="28" w:type="dxa"/>
          <w:left w:w="28" w:type="dxa"/>
          <w:bottom w:w="28" w:type="dxa"/>
          <w:right w:w="28" w:type="dxa"/>
        </w:tblCellMar>
      </w:tblPr>
      <w:tblGrid>
        <w:gridCol w:w="1727"/>
        <w:gridCol w:w="1516"/>
        <w:gridCol w:w="1527"/>
        <w:gridCol w:w="167"/>
        <w:gridCol w:w="167"/>
        <w:gridCol w:w="237"/>
      </w:tblGrid>
      <w:tr>
        <w:trPr/>
        <w:tc>
          <w:tcPr>
            <w:tcW w:w="1727"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98">
              <w:r>
                <w:rPr>
                  <w:rStyle w:val="InternetLink"/>
                  <w:rFonts w:ascii="Times New Roman;sans-serif" w:hAnsi="Times New Roman;sans-serif"/>
                  <w:b w:val="false"/>
                  <w:strike w:val="false"/>
                  <w:dstrike w:val="false"/>
                  <w:color w:val="000000"/>
                  <w:sz w:val="20"/>
                  <w:u w:val="none"/>
                  <w:effect w:val="none"/>
                </w:rPr>
                <w:t>About This Prospectus</w:t>
              </w:r>
            </w:hyperlink>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hyperlink w:anchor="i0e1f3e809ef9408c902f4d4d6accaf6c_98">
              <w:r>
                <w:rPr>
                  <w:rStyle w:val="InternetLink"/>
                  <w:rFonts w:ascii="Times New Roman;sans-serif" w:hAnsi="Times New Roman;sans-serif"/>
                  <w:b w:val="false"/>
                  <w:strike w:val="false"/>
                  <w:dstrike w:val="false"/>
                  <w:color w:val="000000"/>
                  <w:sz w:val="20"/>
                  <w:u w:val="none"/>
                  <w:effect w:val="none"/>
                </w:rPr>
                <w:t>7</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104">
              <w:r>
                <w:rPr>
                  <w:rStyle w:val="InternetLink"/>
                  <w:rFonts w:ascii="Times New Roman;sans-serif" w:hAnsi="Times New Roman;sans-serif"/>
                  <w:b w:val="false"/>
                  <w:strike w:val="false"/>
                  <w:dstrike w:val="false"/>
                  <w:color w:val="000000"/>
                  <w:sz w:val="20"/>
                  <w:u w:val="none"/>
                  <w:effect w:val="none"/>
                </w:rPr>
                <w:t>Where You Can Find More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04">
              <w:r>
                <w:rPr>
                  <w:rStyle w:val="InternetLink"/>
                  <w:rFonts w:ascii="Times New Roman;sans-serif" w:hAnsi="Times New Roman;sans-serif"/>
                  <w:b w:val="false"/>
                  <w:strike w:val="false"/>
                  <w:dstrike w:val="false"/>
                  <w:color w:val="000000"/>
                  <w:sz w:val="20"/>
                  <w:u w:val="none"/>
                  <w:effect w:val="none"/>
                </w:rPr>
                <w:t>7</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110">
              <w:r>
                <w:rPr>
                  <w:rStyle w:val="InternetLink"/>
                  <w:rFonts w:ascii="Times New Roman;sans-serif" w:hAnsi="Times New Roman;sans-serif"/>
                  <w:b w:val="false"/>
                  <w:strike w:val="false"/>
                  <w:dstrike w:val="false"/>
                  <w:color w:val="000000"/>
                  <w:sz w:val="20"/>
                  <w:u w:val="none"/>
                  <w:effect w:val="none"/>
                </w:rPr>
                <w:t>Incorporation of Certain Information by Reference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10">
              <w:r>
                <w:rPr>
                  <w:rStyle w:val="InternetLink"/>
                  <w:rFonts w:ascii="Times New Roman;sans-serif" w:hAnsi="Times New Roman;sans-serif"/>
                  <w:b w:val="false"/>
                  <w:strike w:val="false"/>
                  <w:dstrike w:val="false"/>
                  <w:color w:val="000000"/>
                  <w:sz w:val="20"/>
                  <w:u w:val="none"/>
                  <w:effect w:val="none"/>
                </w:rPr>
                <w:t>7</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116">
              <w:r>
                <w:rPr>
                  <w:rStyle w:val="InternetLink"/>
                  <w:rFonts w:ascii="Times New Roman;sans-serif" w:hAnsi="Times New Roman;sans-serif"/>
                  <w:b w:val="false"/>
                  <w:strike w:val="false"/>
                  <w:dstrike w:val="false"/>
                  <w:color w:val="000000"/>
                  <w:sz w:val="20"/>
                  <w:u w:val="none"/>
                  <w:effect w:val="none"/>
                </w:rPr>
                <w:t>Cautionary Note Regarding Forward-Looking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16">
              <w:r>
                <w:rPr>
                  <w:rStyle w:val="InternetLink"/>
                  <w:rFonts w:ascii="Times New Roman;sans-serif" w:hAnsi="Times New Roman;sans-serif"/>
                  <w:b w:val="false"/>
                  <w:strike w:val="false"/>
                  <w:dstrike w:val="false"/>
                  <w:color w:val="000000"/>
                  <w:sz w:val="20"/>
                  <w:u w:val="none"/>
                  <w:effect w:val="none"/>
                </w:rPr>
                <w:t>8</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7">
              <w:r>
                <w:rPr>
                  <w:rStyle w:val="InternetLink"/>
                  <w:rFonts w:ascii="Times New Roman;sans-serif" w:hAnsi="Times New Roman;sans-serif"/>
                  <w:b w:val="false"/>
                  <w:strike w:val="false"/>
                  <w:dstrike w:val="false"/>
                  <w:color w:val="000000"/>
                  <w:sz w:val="20"/>
                  <w:u w:val="none"/>
                  <w:effect w:val="none"/>
                </w:rPr>
                <w:t>Prospectus Summary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7">
              <w:r>
                <w:rPr>
                  <w:rStyle w:val="InternetLink"/>
                  <w:rFonts w:ascii="Times New Roman;sans-serif" w:hAnsi="Times New Roman;sans-serif"/>
                  <w:b w:val="false"/>
                  <w:strike w:val="false"/>
                  <w:dstrike w:val="false"/>
                  <w:color w:val="000000"/>
                  <w:sz w:val="20"/>
                  <w:u w:val="none"/>
                  <w:effect w:val="none"/>
                </w:rPr>
                <w:t>10</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134">
              <w:r>
                <w:rPr>
                  <w:rStyle w:val="InternetLink"/>
                  <w:rFonts w:ascii="Times New Roman;sans-serif" w:hAnsi="Times New Roman;sans-serif"/>
                  <w:b w:val="false"/>
                  <w:strike w:val="false"/>
                  <w:dstrike w:val="false"/>
                  <w:color w:val="000000"/>
                  <w:sz w:val="20"/>
                  <w:u w:val="none"/>
                  <w:effect w:val="none"/>
                </w:rPr>
                <w:t>Risk Factors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34">
              <w:r>
                <w:rPr>
                  <w:rStyle w:val="InternetLink"/>
                  <w:rFonts w:ascii="Times New Roman;sans-serif" w:hAnsi="Times New Roman;sans-serif"/>
                  <w:b w:val="false"/>
                  <w:strike w:val="false"/>
                  <w:dstrike w:val="false"/>
                  <w:color w:val="000000"/>
                  <w:sz w:val="20"/>
                  <w:u w:val="none"/>
                  <w:effect w:val="none"/>
                </w:rPr>
                <w:t>12</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of Offering Price</w:t>
            </w:r>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0">
              <w:r>
                <w:rPr>
                  <w:rStyle w:val="InternetLink"/>
                  <w:rFonts w:ascii="Times New Roman;sans-serif" w:hAnsi="Times New Roman;sans-serif"/>
                  <w:b w:val="false"/>
                  <w:strike w:val="false"/>
                  <w:dstrike w:val="false"/>
                  <w:color w:val="000000"/>
                  <w:sz w:val="20"/>
                  <w:u w:val="none"/>
                  <w:effect w:val="none"/>
                </w:rPr>
                <w:t>12</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142">
              <w:r>
                <w:rPr>
                  <w:rStyle w:val="InternetLink"/>
                  <w:rFonts w:ascii="Times New Roman;sans-serif" w:hAnsi="Times New Roman;sans-serif"/>
                  <w:b w:val="false"/>
                  <w:strike w:val="false"/>
                  <w:dstrike w:val="false"/>
                  <w:color w:val="000000"/>
                  <w:sz w:val="20"/>
                  <w:u w:val="none"/>
                  <w:effect w:val="none"/>
                </w:rPr>
                <w:t>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42">
              <w:r>
                <w:rPr>
                  <w:rStyle w:val="InternetLink"/>
                  <w:rFonts w:ascii="Times New Roman;sans-serif" w:hAnsi="Times New Roman;sans-serif"/>
                  <w:b w:val="false"/>
                  <w:strike w:val="false"/>
                  <w:dstrike w:val="false"/>
                  <w:color w:val="000000"/>
                  <w:sz w:val="20"/>
                  <w:u w:val="none"/>
                  <w:effect w:val="none"/>
                </w:rPr>
                <w:t>12</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158">
              <w:r>
                <w:rPr>
                  <w:rStyle w:val="InternetLink"/>
                  <w:rFonts w:ascii="Times New Roman;sans-serif" w:hAnsi="Times New Roman;sans-serif"/>
                  <w:b w:val="false"/>
                  <w:strike w:val="false"/>
                  <w:dstrike w:val="false"/>
                  <w:color w:val="000000"/>
                  <w:sz w:val="20"/>
                  <w:u w:val="none"/>
                  <w:effect w:val="none"/>
                </w:rPr>
                <w:t>Description of Securities Being Offered</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58">
              <w:r>
                <w:rPr>
                  <w:rStyle w:val="InternetLink"/>
                  <w:rFonts w:ascii="Times New Roman;sans-serif" w:hAnsi="Times New Roman;sans-serif"/>
                  <w:b w:val="false"/>
                  <w:strike w:val="false"/>
                  <w:dstrike w:val="false"/>
                  <w:color w:val="000000"/>
                  <w:sz w:val="20"/>
                  <w:u w:val="none"/>
                  <w:effect w:val="none"/>
                </w:rPr>
                <w:t>12</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174">
              <w:r>
                <w:rPr>
                  <w:rStyle w:val="InternetLink"/>
                  <w:rFonts w:ascii="Times New Roman;sans-serif" w:hAnsi="Times New Roman;sans-serif"/>
                  <w:b w:val="false"/>
                  <w:strike w:val="false"/>
                  <w:dstrike w:val="false"/>
                  <w:color w:val="000000"/>
                  <w:sz w:val="20"/>
                  <w:u w:val="none"/>
                  <w:effect w:val="none"/>
                </w:rPr>
                <w:t>Selling Stockholders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74">
              <w:r>
                <w:rPr>
                  <w:rStyle w:val="InternetLink"/>
                  <w:rFonts w:ascii="Times New Roman;sans-serif" w:hAnsi="Times New Roman;sans-serif"/>
                  <w:b w:val="false"/>
                  <w:strike w:val="false"/>
                  <w:dstrike w:val="false"/>
                  <w:color w:val="000000"/>
                  <w:sz w:val="20"/>
                  <w:u w:val="none"/>
                  <w:effect w:val="none"/>
                </w:rPr>
                <w:t>12</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188">
              <w:r>
                <w:rPr>
                  <w:rStyle w:val="InternetLink"/>
                  <w:rFonts w:ascii="Times New Roman;sans-serif" w:hAnsi="Times New Roman;sans-serif"/>
                  <w:b w:val="false"/>
                  <w:strike w:val="false"/>
                  <w:dstrike w:val="false"/>
                  <w:color w:val="000000"/>
                  <w:sz w:val="20"/>
                  <w:u w:val="none"/>
                  <w:effect w:val="none"/>
                </w:rPr>
                <w:t>Plan of Distribution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188">
              <w:r>
                <w:rPr>
                  <w:rStyle w:val="InternetLink"/>
                  <w:rFonts w:ascii="Times New Roman;sans-serif" w:hAnsi="Times New Roman;sans-serif"/>
                  <w:b w:val="false"/>
                  <w:strike w:val="false"/>
                  <w:dstrike w:val="false"/>
                  <w:color w:val="000000"/>
                  <w:sz w:val="20"/>
                  <w:u w:val="none"/>
                  <w:effect w:val="none"/>
                </w:rPr>
                <w:t>14</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202">
              <w:r>
                <w:rPr>
                  <w:rStyle w:val="InternetLink"/>
                  <w:rFonts w:ascii="Times New Roman;sans-serif" w:hAnsi="Times New Roman;sans-serif"/>
                  <w:b w:val="false"/>
                  <w:strike w:val="false"/>
                  <w:dstrike w:val="false"/>
                  <w:color w:val="000000"/>
                  <w:sz w:val="20"/>
                  <w:u w:val="none"/>
                  <w:effect w:val="none"/>
                </w:rPr>
                <w:t>Legal Matters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202">
              <w:r>
                <w:rPr>
                  <w:rStyle w:val="InternetLink"/>
                  <w:rFonts w:ascii="Times New Roman;sans-serif" w:hAnsi="Times New Roman;sans-serif"/>
                  <w:b w:val="false"/>
                  <w:strike w:val="false"/>
                  <w:dstrike w:val="false"/>
                  <w:color w:val="000000"/>
                  <w:sz w:val="20"/>
                  <w:u w:val="none"/>
                  <w:effect w:val="none"/>
                </w:rPr>
                <w:t>15</w:t>
              </w:r>
            </w:hyperlink>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i0e1f3e809ef9408c902f4d4d6accaf6c_215">
              <w:r>
                <w:rPr>
                  <w:rStyle w:val="InternetLink"/>
                  <w:rFonts w:ascii="Times New Roman;sans-serif" w:hAnsi="Times New Roman;sans-serif"/>
                  <w:b w:val="false"/>
                  <w:strike w:val="false"/>
                  <w:dstrike w:val="false"/>
                  <w:color w:val="000000"/>
                  <w:sz w:val="20"/>
                  <w:u w:val="none"/>
                  <w:effect w:val="none"/>
                </w:rPr>
                <w:t>Experts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e1f3e809ef9408c902f4d4d6accaf6c_215">
              <w:r>
                <w:rPr>
                  <w:rStyle w:val="InternetLink"/>
                  <w:rFonts w:ascii="Times New Roman;sans-serif" w:hAnsi="Times New Roman;sans-serif"/>
                  <w:b w:val="false"/>
                  <w:strike w:val="false"/>
                  <w:dstrike w:val="false"/>
                  <w:color w:val="000000"/>
                  <w:sz w:val="20"/>
                  <w:u w:val="none"/>
                  <w:effect w:val="none"/>
                </w:rPr>
                <w:t>15</w:t>
              </w:r>
            </w:hyperlink>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You should rely only on the information contained or incorporated by reference in this Reoffer Prospectus. We have not authorized any other person to provide you with different information. If anyone provides you with different or inconsistent information, you should not rely on it. Neither we nor the Selling Stockholders are making an offer to sell these securities in any jurisdiction where the offer or sale is not permitted. You should assume that the information appearing in this Reoffer Prospectus is accurate only as of the date hereof. Additionally, any information we have incorporated by reference in this Reoffer Prospectus is accurate only as of the date of the document incorporated by reference, regardless of the time of delivery of this Reoffer Prospectus or any sale of securities. Our business, financial condition, results of operations and prospects may have changed since that date.</w:t>
      </w:r>
    </w:p>
    <w:p>
      <w:pPr>
        <w:pStyle w:val="TextBody"/>
        <w:spacing w:lineRule="auto" w:line="288"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When used in this Reoffer Prospectus, references to the “Company,” “we,” “us” or “our” refers to Mount Sinai Genomics, Inc. d/b/a Sema4, a Delaware corporation (“Sema4”), prior to the consummation of the Business Combination (the “Closing,” and such date of the consummation of the Business Combination, the “Closing Date”), and to Sema4 Holdings Corp. (“Sema4 Holdings Corp.”) and its subsidiary following the Business Combination. References to “CMLS” refer to CM Life Sciences, Inc. prior to the consummation of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Reoffer Prospectus contains important information you should know before investing, including important information about the Company and the securities being offered. You should carefully read this Reoffer Prospectus, as well as the additional information contained in the documents described under “Where You Can Find More Information” and “Incorporation of Certain Information by Reference” in this Reoffer Prospectus, and in particular the periodic and current reporting documents we file with the Securities and Exchange Commission (the “Commission”). We have not authorized any other person to provide you with different information. If anyone provides you with different or inconsistent information, you should not rely on it. This Reoffer Prospectus is not an offer to sell these securities, and it is not soliciting an offer to buy these securities in any jurisdiction where the offer or sale is not permitted.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assume that the information in this Reoffer Prospectus or any documents we incorporate by reference herein or therein is accurate as of any date other than the date on the front of those documents. Our business, financial condition, results of operations and prospects may have changed since those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file annual, quarterly and current reports, proxy statements and other documents with the Commission under the U.S. Securities Exchange Act of 1934, as amended (the “Exchange Act”). The Commission maintains a website that contains reports, proxy and information statements and other information regarding issuers, including the Company, that file electronically with the Commission. You may obtain copies of the registration statement and its exhibits and the other documents that we file with the Commission at www.sec.gov.</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also make these documents available on the investor relations portion of our website at www.sema4.com. Our website and the information contained or connected to our website is not incorporated by reference in this Reoffer Prospectus, and you should not consider it part of this Reoffer Prospectus. Our principal executive office is located at 333 Ludlow Street, North Tower, 8th Floor, Stamford, Connecticut 06902, and can be reached by telephone at (800) 298-6470.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INCORPORATION OF CERTAIN INFORMATION BY REFERENCE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Commission rules permit us to incorporate by reference information in this Reoffer Prospectus. This means that we can disclose important information to you by referring you to another document filed separately with the Commission. The information incorporated by reference is considered to be part of this Reoffer Prospectus, except for information superseded by information contained in this Reoffer Prospectus itself or in any subsequently filed incorporated document. This Reoffer Prospectus incorporates by reference the documents set forth below that we have previously filed with the Commission, other than information in such documents that is deemed to be furnished and not filed. These documents contain important information about the Company and its business and financial condition.</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(a)the Registrant’s Annual Report on Form 10-K/A for the fiscal year ended December 31, 2020, which includes audited financial statements for the Registrant’s latest fiscal year, filed with the Commission on </w:t>
      </w:r>
      <w:hyperlink r:id="rId3">
        <w:r>
          <w:rPr>
            <w:rStyle w:val="InternetLink"/>
            <w:rFonts w:ascii="Times New Roman;sans-serif" w:hAnsi="Times New Roman;sans-serif"/>
            <w:b w:val="false"/>
            <w:color w:val="0000FF"/>
            <w:sz w:val="20"/>
            <w:u w:val="single"/>
          </w:rPr>
          <w:t>May 5, 2021</w:t>
        </w:r>
      </w:hyperlink>
      <w:r>
        <w:rPr>
          <w:rFonts w:ascii="Times New Roman;sans-serif" w:hAnsi="Times New Roman;sans-serif"/>
          <w:b w:val="false"/>
          <w:color w:val="000000"/>
          <w:sz w:val="20"/>
        </w:rPr>
        <w:t xml:space="preserve">; </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(b)the Registrant’s Quarterly Reports on Form 10-Q for the fiscal quarters ended March 31, 2021 and June 30, 2021, filed with the Commission on </w:t>
      </w:r>
      <w:hyperlink r:id="rId4">
        <w:r>
          <w:rPr>
            <w:rStyle w:val="InternetLink"/>
            <w:rFonts w:ascii="Times New Roman;sans-serif" w:hAnsi="Times New Roman;sans-serif"/>
            <w:b w:val="false"/>
            <w:color w:val="0000FF"/>
            <w:sz w:val="20"/>
            <w:u w:val="single"/>
          </w:rPr>
          <w:t>May 24, 2021</w:t>
        </w:r>
      </w:hyperlink>
      <w:r>
        <w:rPr>
          <w:color w:val="000000"/>
        </w:rPr>
        <w:t xml:space="preserve"> </w:t>
      </w:r>
      <w:r>
        <w:rPr>
          <w:rFonts w:ascii="Times New Roman;sans-serif" w:hAnsi="Times New Roman;sans-serif"/>
          <w:b w:val="false"/>
          <w:color w:val="000000"/>
          <w:sz w:val="20"/>
        </w:rPr>
        <w:t xml:space="preserve">and </w:t>
      </w:r>
      <w:hyperlink r:id="rId5">
        <w:r>
          <w:rPr>
            <w:rStyle w:val="InternetLink"/>
            <w:rFonts w:ascii="Times New Roman;sans-serif" w:hAnsi="Times New Roman;sans-serif"/>
            <w:b w:val="false"/>
            <w:color w:val="0000FF"/>
            <w:sz w:val="20"/>
            <w:u w:val="single"/>
          </w:rPr>
          <w:t>July 21, 2021</w:t>
        </w:r>
      </w:hyperlink>
      <w:r>
        <w:rPr>
          <w:rFonts w:ascii="Times New Roman;sans-serif" w:hAnsi="Times New Roman;sans-serif"/>
          <w:b w:val="false"/>
          <w:color w:val="000000"/>
          <w:sz w:val="20"/>
        </w:rPr>
        <w:t>, respectively;</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(c)the Registrant’s Current Reports on Form 8-K filed with the Commission on </w:t>
      </w:r>
      <w:hyperlink r:id="rId6">
        <w:r>
          <w:rPr>
            <w:rStyle w:val="InternetLink"/>
            <w:rFonts w:ascii="Times New Roman;sans-serif" w:hAnsi="Times New Roman;sans-serif"/>
            <w:b w:val="false"/>
            <w:color w:val="0000FF"/>
            <w:sz w:val="20"/>
            <w:u w:val="single"/>
          </w:rPr>
          <w:t>February 11, 2021</w:t>
        </w:r>
      </w:hyperlink>
      <w:r>
        <w:rPr>
          <w:rFonts w:ascii="Times New Roman;sans-serif" w:hAnsi="Times New Roman;sans-serif"/>
          <w:b w:val="false"/>
          <w:color w:val="000000"/>
          <w:sz w:val="20"/>
        </w:rPr>
        <w:t xml:space="preserve">, </w:t>
      </w:r>
      <w:hyperlink r:id="rId7">
        <w:r>
          <w:rPr>
            <w:rStyle w:val="InternetLink"/>
            <w:rFonts w:ascii="Times New Roman;sans-serif" w:hAnsi="Times New Roman;sans-serif"/>
            <w:b w:val="false"/>
            <w:color w:val="0000FF"/>
            <w:sz w:val="20"/>
            <w:u w:val="single"/>
          </w:rPr>
          <w:t>May 5, 2021</w:t>
        </w:r>
      </w:hyperlink>
      <w:r>
        <w:rPr>
          <w:rFonts w:ascii="Times New Roman;sans-serif" w:hAnsi="Times New Roman;sans-serif"/>
          <w:b w:val="false"/>
          <w:color w:val="000000"/>
          <w:sz w:val="20"/>
        </w:rPr>
        <w:t xml:space="preserve">, </w:t>
      </w:r>
      <w:hyperlink r:id="rId8">
        <w:r>
          <w:rPr>
            <w:rStyle w:val="InternetLink"/>
            <w:rFonts w:ascii="Times New Roman;sans-serif" w:hAnsi="Times New Roman;sans-serif"/>
            <w:b w:val="false"/>
            <w:color w:val="0000FF"/>
            <w:sz w:val="20"/>
            <w:u w:val="single"/>
          </w:rPr>
          <w:t>July 19, 2021</w:t>
        </w:r>
      </w:hyperlink>
      <w:r>
        <w:rPr>
          <w:rFonts w:ascii="Times New Roman;sans-serif" w:hAnsi="Times New Roman;sans-serif"/>
          <w:b w:val="false"/>
          <w:color w:val="000000"/>
          <w:sz w:val="20"/>
        </w:rPr>
        <w:t xml:space="preserve">, </w:t>
      </w:r>
      <w:hyperlink r:id="rId9">
        <w:r>
          <w:rPr>
            <w:rStyle w:val="InternetLink"/>
            <w:rFonts w:ascii="Times New Roman;sans-serif" w:hAnsi="Times New Roman;sans-serif"/>
            <w:b w:val="false"/>
            <w:color w:val="0000FF"/>
            <w:sz w:val="20"/>
            <w:u w:val="single"/>
          </w:rPr>
          <w:t>July 22, 2021</w:t>
        </w:r>
      </w:hyperlink>
      <w:r>
        <w:rPr>
          <w:rFonts w:ascii="Times New Roman;sans-serif" w:hAnsi="Times New Roman;sans-serif"/>
          <w:b w:val="false"/>
          <w:color w:val="000000"/>
          <w:sz w:val="20"/>
        </w:rPr>
        <w:t xml:space="preserve">, </w:t>
      </w:r>
      <w:hyperlink r:id="rId10">
        <w:r>
          <w:rPr>
            <w:rStyle w:val="InternetLink"/>
            <w:rFonts w:ascii="Times New Roman;sans-serif" w:hAnsi="Times New Roman;sans-serif"/>
            <w:b w:val="false"/>
            <w:color w:val="0000FF"/>
            <w:sz w:val="20"/>
            <w:u w:val="single"/>
          </w:rPr>
          <w:t>July 28, 2021</w:t>
        </w:r>
      </w:hyperlink>
      <w:r>
        <w:rPr>
          <w:rFonts w:ascii="Times New Roman;sans-serif" w:hAnsi="Times New Roman;sans-serif"/>
          <w:b w:val="false"/>
          <w:color w:val="000000"/>
          <w:sz w:val="20"/>
        </w:rPr>
        <w:t xml:space="preserve">, as amended on </w:t>
      </w:r>
      <w:hyperlink r:id="rId11">
        <w:r>
          <w:rPr>
            <w:rStyle w:val="InternetLink"/>
            <w:rFonts w:ascii="Times New Roman;sans-serif" w:hAnsi="Times New Roman;sans-serif"/>
            <w:b w:val="false"/>
            <w:color w:val="0000FF"/>
            <w:sz w:val="20"/>
            <w:u w:val="single"/>
          </w:rPr>
          <w:t>August 16, 2021</w:t>
        </w:r>
      </w:hyperlink>
      <w:r>
        <w:rPr>
          <w:rFonts w:ascii="Times New Roman;sans-serif" w:hAnsi="Times New Roman;sans-serif"/>
          <w:b w:val="false"/>
          <w:color w:val="000000"/>
          <w:sz w:val="20"/>
        </w:rPr>
        <w:t xml:space="preserve">, and </w:t>
      </w:r>
      <w:hyperlink r:id="rId12">
        <w:r>
          <w:rPr>
            <w:rStyle w:val="InternetLink"/>
            <w:rFonts w:ascii="Times New Roman;sans-serif" w:hAnsi="Times New Roman;sans-serif"/>
            <w:b w:val="false"/>
            <w:color w:val="0000FF"/>
            <w:sz w:val="20"/>
            <w:u w:val="single"/>
          </w:rPr>
          <w:t>August 16, 2021</w:t>
        </w:r>
      </w:hyperlink>
      <w:r>
        <w:rPr>
          <w:color w:val="000000"/>
        </w:rPr>
        <w:t xml:space="preserve"> </w:t>
      </w:r>
      <w:r>
        <w:rPr>
          <w:rFonts w:ascii="Times New Roman;sans-serif" w:hAnsi="Times New Roman;sans-serif"/>
          <w:b w:val="false"/>
          <w:color w:val="000000"/>
          <w:sz w:val="20"/>
        </w:rPr>
        <w:t>(but only with respect to Items 4.01 and 9.01 thereto); and</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(d)the description of the Registrant’s Class A Common Stock contained in the Registrant’s Registration Statement on Form 8-A filed with the Commission on </w:t>
      </w:r>
      <w:hyperlink r:id="rId13">
        <w:r>
          <w:rPr>
            <w:rStyle w:val="InternetLink"/>
            <w:rFonts w:ascii="Times New Roman;sans-serif" w:hAnsi="Times New Roman;sans-serif"/>
            <w:b w:val="false"/>
            <w:color w:val="0000FF"/>
            <w:sz w:val="20"/>
            <w:u w:val="single"/>
          </w:rPr>
          <w:t>August 31, 2020</w:t>
        </w:r>
      </w:hyperlink>
      <w:r>
        <w:rPr>
          <w:rFonts w:ascii="Times New Roman;sans-serif" w:hAnsi="Times New Roman;sans-serif"/>
          <w:b w:val="false"/>
          <w:color w:val="000000"/>
          <w:sz w:val="20"/>
        </w:rPr>
        <w:t xml:space="preserve">, including any amendments or reports filed for the purpose of updating such description. </w:t>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All documents subsequently filed by the Company with the Commission pursuant to Sections 13(a), 13(c), 14, or 15(d) of the Exchange Act, prior to the filing of a post-effective amendment to the Registration Statement of which this Reoffer Prospectus forms a part which indicates that all securities offered have been sold or which deregisters all securities then remaining unsold, shall be deemed incorporated by reference into this Reoffer Prospectus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Reoffer Prospectus.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Any statement contained herein or in a document incorporated or deemed to be incorporated by reference in this Reoffer Prospectus shall be deemed to be modified or superseded for purposes of this Reoffer Prospectus to the extent that a statement contained in this Reoffer Prospectus, or in any other subsequently filed document which also is or is deemed to be incorporated by reference in this Reoffer Prospectus, modifies or supersedes such earlier statement. Any statement so modified or superseded shall not be deemed, except as so modified or superseded, to constitute a part of this Reoffer Prospectus.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undertakes to provide without charge to each person, including any beneficial owner, to whom a copy of this Reoffer Prospectus is delivered, upon written or oral request of any such person, a copy of any and all of the information that has been incorporated by reference in this Reoffer Prospectus but not delivered with this Reoffer Prospectus other than the exhibits to those documents, unless the exhibits are specifically incorporated by reference into the information that this Reoffer Prospectus incorporates. Documents incorporated by reference in this Reoffer Prospectus may be obtained by requesting them in writing or by telephone from us at:</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Sema4 Holdings Corp.</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333 Ludlow Street, North Tower, 8th Floor, </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Stamford, Connecticut 06902</w:t>
      </w:r>
    </w:p>
    <w:p>
      <w:pPr>
        <w:pStyle w:val="TextBody"/>
        <w:spacing w:lineRule="auto" w:line="288" w:before="0" w:after="18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Tel.: (800) 298-6470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Reoffer Prospectus contains forward-looking statements within the meaning of the “safe harbor” provisions of the Private Securities Litigation Reform Act of 1995. These statements are based on the current expectations and beliefs of our management, and are subject to a number of factors and uncertainties that could cause actual results to differ materially from those described in the forward-looking statements. These forward-looking statements include statements about our future financial and operating results; the benefits of the Business Combination; statements of the plans, strategies and objectives of our management for our future operations; and statements regarding future economic conditions or performance.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These statements include, but are not limited to, statements about: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realize the benefits expected from the Business Combination;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factors relating to our business, operations and financial performance,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comply with laws and regulations applicable to our business;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market conditions and global and economic factors beyond our control;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intense competition and competitive pressures from other companies worldwide in the industries in which we operate;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litigation and the ability to adequately protect our intellectual property rights;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other factors detailed under the section entitled “</w:t>
      </w:r>
      <w:hyperlink w:anchor="i0e1f3e809ef9408c902f4d4d6accaf6c_134">
        <w:r>
          <w:rPr>
            <w:rStyle w:val="InternetLink"/>
            <w:rFonts w:ascii="Times New Roman;sans-serif" w:hAnsi="Times New Roman;sans-serif"/>
            <w:b w:val="false"/>
            <w:color w:val="0000FF"/>
            <w:sz w:val="20"/>
            <w:u w:val="single"/>
          </w:rPr>
          <w:t>Risk Factors</w:t>
        </w:r>
      </w:hyperlink>
      <w:r>
        <w:rPr>
          <w:rFonts w:ascii="Times New Roman;sans-serif" w:hAnsi="Times New Roman;sans-serif"/>
          <w:b w:val="false"/>
          <w:color w:val="000000"/>
          <w:sz w:val="20"/>
        </w:rPr>
        <w:t>.”</w:t>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the actual results to differ materially from those described in the forward-looking statements include those set forth in the risk factors included in this Reoffer Prospectus. Any forward-looking statements made in this Reoffer Prospectus are qualified in their entirety by the forward-looking statements contained or referred to in this section, and there is no assurance that the actual results or developments anticipated by us will be realized. All subsequent written and oral forward-looking statements concerning us, the Business Combination or other matters attributable to us or any person acting on our behalf are expressly qualified in their entirety by the forward-looking statements above. Except to the extent required by applicable law, we are under no obligation (and expressly disclaim any such obligation) to update or revise these forward-looking statements whether as a result of new information, future events, or otherwise.</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You should read this Reoffer Prospectus, the documents that incorporated by reference herein, and the documents we have filed with the Commission as exhibits to the registration statement of which this prospectus is a part with the understanding that our actual future results, levels of activity, performance and events and circumstances may be materially different from what we expect.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spacing w:lineRule="auto" w:line="288" w:before="0" w:after="180"/>
        <w:jc w:val="both"/>
        <w:rPr>
          <w:rFonts w:ascii="Times New Roman;sans-serif" w:hAnsi="Times New Roman;sans-serif"/>
          <w:b w:val="false"/>
          <w:color w:val="000000"/>
          <w:sz w:val="20"/>
          <w:highlight w:val="white"/>
          <w:bdr w:val="single" w:sz="8" w:space="36" w:color="000000"/>
        </w:rPr>
      </w:pPr>
      <w:r>
        <w:rPr>
          <w:rFonts w:ascii="Times New Roman;sans-serif" w:hAnsi="Times New Roman;sans-serif"/>
          <w:b w:val="false"/>
          <w:color w:val="000000"/>
          <w:sz w:val="20"/>
          <w:highlight w:val="white"/>
          <w:bdr w:val="single" w:sz="8" w:space="36" w:color="000000"/>
        </w:rPr>
        <w:t>This Reoffer Prospectus is part of a registration statement that we filed with the Commission. We have provided to you in this Reoffer Prospectus a general description of the Selling Stockholders and the distribution of the shares. To the extent there is a conflict between the information contained in this Reoffer Prospectus and any of our subsequent filings with the Commission, the information in the document having the later date shall modify or supersede the earlier statement.</w:t>
      </w:r>
    </w:p>
    <w:p>
      <w:pPr>
        <w:pStyle w:val="TextBody"/>
        <w:spacing w:lineRule="auto" w:line="288" w:before="0" w:after="180"/>
        <w:jc w:val="both"/>
        <w:rPr>
          <w:rFonts w:ascii="Times New Roman;sans-serif" w:hAnsi="Times New Roman;sans-serif"/>
          <w:b w:val="false"/>
          <w:color w:val="000000"/>
          <w:sz w:val="20"/>
          <w:highlight w:val="white"/>
          <w:bdr w:val="single" w:sz="8" w:space="36" w:color="000000"/>
        </w:rPr>
      </w:pPr>
      <w:r>
        <w:rPr>
          <w:rFonts w:ascii="Times New Roman;sans-serif" w:hAnsi="Times New Roman;sans-serif"/>
          <w:b w:val="false"/>
          <w:color w:val="000000"/>
          <w:sz w:val="20"/>
          <w:highlight w:val="white"/>
          <w:bdr w:val="single" w:sz="8" w:space="36" w:color="000000"/>
        </w:rPr>
        <w:t>As permitted by the rules and regulations of the Commission, the registration statement of which this Reoffer Prospectus forms part includes additional information not contained in this prospectus. You may read the registration statement and the other reports we file with the Commission at the Commission’s website or at the Commission’s offices described above under the heading “Incorporation of Certain Information by Reference” if necessary.</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Company Overview</w:t>
      </w:r>
    </w:p>
    <w:p>
      <w:pPr>
        <w:pStyle w:val="TextBody"/>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pStyle w:val="TextBody"/>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35 petabytes of data per month, growing by almost 1.2 petabyte per month, and maintain a database that includes more than 11.7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pStyle w:val="TextBody"/>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Today, by providing differentiated insights through diagnostic testing solutions to physicians and patients across the United States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pStyle w:val="TextBody"/>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pStyle w:val="TextBody"/>
        <w:spacing w:lineRule="auto" w:line="288" w:before="0" w:after="180"/>
        <w:jc w:val="both"/>
        <w:rPr>
          <w:bdr w:val="single" w:sz="8" w:space="36" w:color="000000"/>
        </w:rPr>
      </w:pPr>
      <w:r>
        <w:rPr>
          <w:rFonts w:ascii="Times New Roman;sans-serif" w:hAnsi="Times New Roman;sans-serif"/>
          <w:b w:val="false"/>
          <w:color w:val="000000"/>
          <w:sz w:val="20"/>
          <w:highlight w:val="white"/>
          <w:bdr w:val="single" w:sz="8" w:space="36" w:color="000000"/>
        </w:rPr>
        <w:t xml:space="preserve">The mailing address of our principal executive office is located at </w:t>
      </w:r>
      <w:r>
        <w:rPr>
          <w:rFonts w:ascii="Times New Roman;sans-serif" w:hAnsi="Times New Roman;sans-serif"/>
          <w:b w:val="false"/>
          <w:color w:val="000000"/>
          <w:sz w:val="20"/>
          <w:bdr w:val="single" w:sz="8" w:space="36" w:color="000000"/>
        </w:rPr>
        <w:t>333 Ludlow Street, North Tower, 8th Floor Stamford, Connecticut 06902, and can be reached by telephone at (800) 298-6470</w:t>
      </w:r>
      <w:r>
        <w:rPr>
          <w:rFonts w:ascii="Times New Roman;sans-serif" w:hAnsi="Times New Roman;sans-serif"/>
          <w:b w:val="false"/>
          <w:color w:val="000000"/>
          <w:sz w:val="20"/>
          <w:highlight w:val="white"/>
          <w:bdr w:val="single" w:sz="8" w:space="36" w:color="000000"/>
        </w:rPr>
        <w: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Recent Developments</w:t>
      </w:r>
    </w:p>
    <w:p>
      <w:pPr>
        <w:pStyle w:val="TextBody"/>
        <w:spacing w:lineRule="auto" w:line="288" w:before="0" w:after="180"/>
        <w:jc w:val="both"/>
        <w:rPr>
          <w:rFonts w:ascii="Times New Roman;sans-serif" w:hAnsi="Times New Roman;sans-serif"/>
          <w:b w:val="false"/>
          <w:color w:val="000000"/>
          <w:sz w:val="20"/>
          <w:highlight w:val="white"/>
          <w:bdr w:val="single" w:sz="8" w:space="36" w:color="000000"/>
        </w:rPr>
      </w:pPr>
      <w:r>
        <w:rPr>
          <w:rFonts w:ascii="Times New Roman;sans-serif" w:hAnsi="Times New Roman;sans-serif"/>
          <w:b w:val="false"/>
          <w:color w:val="000000"/>
          <w:sz w:val="20"/>
          <w:highlight w:val="white"/>
          <w:bdr w:val="single" w:sz="8" w:space="36" w:color="000000"/>
        </w:rPr>
        <w:t xml:space="preserve">On July 22, 2021, we consummated the Business Combination. In particular, on July 22, 2021, we consummated the Merger, whereby Merger Sub merged with and into Sema4, with Sema4 surviving the Merger as a wholly-owned </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highlight w:val="white"/>
          <w:bdr w:val="single" w:sz="8" w:space="36" w:color="000000"/>
        </w:rPr>
      </w:pPr>
      <w:r>
        <w:rPr>
          <w:rFonts w:ascii="Times New Roman;sans-serif" w:hAnsi="Times New Roman;sans-serif"/>
          <w:b w:val="false"/>
          <w:color w:val="000000"/>
          <w:sz w:val="20"/>
          <w:highlight w:val="white"/>
          <w:bdr w:val="single" w:sz="8" w:space="36" w:color="000000"/>
        </w:rPr>
        <w:t>subsidiary of CMLS. In connection with the consummation of the Business Combination, CMLS changed its name to “Sema4 Holdings Corp.” and Sema4 changed its name to “Sema4 OpCo, Inc.”</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Offering</w:t>
      </w:r>
    </w:p>
    <w:p>
      <w:pPr>
        <w:pStyle w:val="TextBody"/>
        <w:spacing w:lineRule="auto" w:line="288" w:before="0" w:after="180"/>
        <w:jc w:val="both"/>
        <w:rPr>
          <w:rFonts w:ascii="Times New Roman;sans-serif" w:hAnsi="Times New Roman;sans-serif"/>
          <w:b w:val="false"/>
          <w:color w:val="000000"/>
          <w:sz w:val="20"/>
          <w:highlight w:val="white"/>
          <w:bdr w:val="single" w:sz="8" w:space="36" w:color="000000"/>
        </w:rPr>
      </w:pPr>
      <w:r>
        <w:rPr>
          <w:rFonts w:ascii="Times New Roman;sans-serif" w:hAnsi="Times New Roman;sans-serif"/>
          <w:b w:val="false"/>
          <w:color w:val="000000"/>
          <w:sz w:val="20"/>
          <w:highlight w:val="white"/>
          <w:bdr w:val="single" w:sz="8" w:space="36" w:color="000000"/>
        </w:rPr>
        <w:t>This Reoffer Prospectus relates to the public offering by the Selling Stockholders listed in this Reoffer Prospectus of up to 1,847,920 shares of Class A Common Stock issuable to each Selling Stockholder pursuant to the Earn-Out RSUs that are expected to be granted by the Company to the Selling Stockholders pursuant to the earn-out provisions of the Merger Agreement and outside of the Equity Incentive Plan. Subject to the satisfaction of any conditions to vesting of the shares of Class A Common Stock offered hereby pursuant to the terms of the relevant Earn-Out RSU agreements, and subject to the expiration of any lock-up agreements described herein, the Selling Stockholders may from time to time sell, transfer or otherwise dispose of any or all of the shares of Class A Common Stock covered by this Reoffer Prospectus through underwriters or dealers, directly to purchasers (or a single purchaser) or through broker-dealers or agents. We will receive none of the proceeds from the sale of the shares of Class A Common Stock by the Selling Stockholders. The Selling Stockholders will bear all sales commissions and similar expenses in connection with this offering. We will bear all expenses of registration incurred in connection with this offering, as well as any other expenses incurred by us in connection with the registration and offering that are not borne by the Selling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jc w:val="both"/>
        <w:rPr/>
      </w:pPr>
      <w:r>
        <w:rPr>
          <w:rFonts w:ascii="Times New Roman;sans-serif" w:hAnsi="Times New Roman;sans-serif"/>
          <w:b w:val="false"/>
          <w:color w:val="000000"/>
          <w:sz w:val="20"/>
        </w:rPr>
        <w:t xml:space="preserve">Investing in shares of our Class A Common Stock involves a high degree of risk. Investors should carefully consider the risks we have described as set forth under the caption “Risk Factors” in our Annual Report on Form 10-K/A for the fiscal year ended December 31, 2020, filed with the Commission on </w:t>
      </w:r>
      <w:hyperlink r:id="rId14">
        <w:r>
          <w:rPr>
            <w:rStyle w:val="InternetLink"/>
            <w:rFonts w:ascii="Times New Roman;sans-serif" w:hAnsi="Times New Roman;sans-serif"/>
            <w:b w:val="false"/>
            <w:color w:val="0000FF"/>
            <w:sz w:val="20"/>
            <w:u w:val="single"/>
          </w:rPr>
          <w:t>May 5, 2021</w:t>
        </w:r>
      </w:hyperlink>
      <w:r>
        <w:rPr>
          <w:rFonts w:ascii="Times New Roman;sans-serif" w:hAnsi="Times New Roman;sans-serif"/>
          <w:b w:val="false"/>
          <w:color w:val="000000"/>
          <w:sz w:val="20"/>
        </w:rPr>
        <w:t xml:space="preserve">, and our Current Report on Form 8-K filed with the Commission on </w:t>
      </w:r>
      <w:hyperlink r:id="rId15">
        <w:r>
          <w:rPr>
            <w:rStyle w:val="InternetLink"/>
            <w:rFonts w:ascii="Times New Roman;sans-serif" w:hAnsi="Times New Roman;sans-serif"/>
            <w:b w:val="false"/>
            <w:color w:val="0000FF"/>
            <w:sz w:val="20"/>
            <w:u w:val="single"/>
          </w:rPr>
          <w:t>July 28, 2021</w:t>
        </w:r>
      </w:hyperlink>
      <w:r>
        <w:rPr>
          <w:rFonts w:ascii="Times New Roman;sans-serif" w:hAnsi="Times New Roman;sans-serif"/>
          <w:b w:val="false"/>
          <w:color w:val="000000"/>
          <w:sz w:val="20"/>
        </w:rPr>
        <w:t xml:space="preserve">, as amended on </w:t>
      </w:r>
      <w:hyperlink r:id="rId16">
        <w:r>
          <w:rPr>
            <w:rStyle w:val="InternetLink"/>
            <w:rFonts w:ascii="Times New Roman;sans-serif" w:hAnsi="Times New Roman;sans-serif"/>
            <w:b w:val="false"/>
            <w:color w:val="0000FF"/>
            <w:sz w:val="20"/>
            <w:u w:val="single"/>
          </w:rPr>
          <w:t>August 16, 2021</w:t>
        </w:r>
      </w:hyperlink>
      <w:r>
        <w:rPr>
          <w:color w:val="000000"/>
        </w:rPr>
        <w:t xml:space="preserve"> </w:t>
      </w:r>
      <w:r>
        <w:rPr>
          <w:rFonts w:ascii="Times New Roman;sans-serif" w:hAnsi="Times New Roman;sans-serif"/>
          <w:b w:val="false"/>
          <w:color w:val="000000"/>
          <w:sz w:val="20"/>
        </w:rPr>
        <w:t>(the “Super 8-K”), which are incorporated by reference herein, and subsequent reports filed with the Commission, together with the financial and other information contained or incorporated by reference in this prospectus.</w:t>
      </w:r>
      <w:r>
        <w:rPr>
          <w:color w:val="000000"/>
        </w:rPr>
        <w:t xml:space="preserve"> </w:t>
      </w:r>
      <w:r>
        <w:rPr>
          <w:rFonts w:ascii="Times New Roman;sans-serif" w:hAnsi="Times New Roman;sans-serif"/>
          <w:b w:val="false"/>
          <w:color w:val="000000"/>
          <w:sz w:val="20"/>
        </w:rPr>
        <w:t>If any of the events or developments we have described occur, our business, financial condition, or results of operations could be materially or adversely affected. As a result, the market price of our Class A Common Stock could decline, and investors could lose all or part of their investment. The risks and uncertainties we have described are not the only risks and uncertainties that we face. Additional risks and uncertainties not presently known to us or that we currently deem immaterial may also impair our business operations. The risks we have described also include forward-looking statements, and our actual results may differ substantially from those discussed in these forward-looking statements. See “Cautionary Note Regarding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DETERMINATION OF OFFERING PRICE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Stockholders will determine at what price they may sell the offered shares of Class A Common Stock, and such sales may be made at prevailing market prices or at privately negotiated prices. See “Plan of Distribution” below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proceeds from the sale of shares of our Class A Common Stock by the Selling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DESCRIPTION OF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the caption “Description of Securities” in the Super 8-K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SELLING STOCKHOLDERS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table below sets forth information concerning the resale of the shares by the Selling Stockholders. We will not receive any proceeds from the resale of the shares by the Selling Stockholders.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table below sets forth, as of September 13, 2021 (the “Determination Date”), (i) the name of each person who is offering the resale of shares by this Reoffer Prospectus; (ii) the number of shares (and the percentage, if 1% or more) of Class A Common Stock beneficially owned (determined in the manner described in footnote (1) to the table below) by each person; (iii) the number of shares that each Selling Stockholder may offer for sale from time to time pursuant to this Reoffer Prospectus, whether or not such Selling Stockholder has a present intention to do so; and (iv) the number of shares (and the percentage, if 1% or more) of Class A Common Stock each person will own after the offering, assuming they sell all of the shares offered. Unless otherwise indicated, beneficial ownership is direct and the person indicated has sole voting and investment power. The address for each Selling Stockholder listed in the table below is c/o Sema4 Holdings Corp., 333 Ludlow Street, North Tower, 8th Floor Stamford, Connecticut 06902.</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Pursuant to the earn-out provisions of the Merger Agreement, we may issue an aggregate of up to 19,021,576 shares of Class A Common Stock upon the occurrence of certain triggering events provided for in the Merger Agreement, which shares are comprised of an initial allocation of up to 16,331,812 shares of Class A Common Stock (the “Earn-Out Shares”) issuable to certain former stockholders of Sema4 and up to 2,689,764 shares of Class A Common Stock (the “Earn-Out RSU Shares”) issuable upon the vesting of certain RSU awards (“Earn-Out RSUs”) that are expected to be granted to certain former equity award holders of Sema4 and certain employees of our company. We expect to grant the Earn-Out RSUs on or after October 1, 2021. In the event any Earn-Out RSUs are forfeited following the Closing (for example, as a result of an Earn-Out RSU recipient no longer being an employee of our company), the Merger Agreement provides for a forfeiture pool in respect of the Earn-Out RSU Shares that were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originally allocated to such forfeited Earn-Out RSUs, with such Earn-Out RSU Shares becoming available for issuance to the other recipients of Earn-Out Shares and Earn-Out RSUs. In the case of each Selling Stockholder, the table below includes the Earn-Out RSU Shares underlying the Earn-Out RSU such Selling Stockholder is expected to be granted in respect of the initial allocation of Earn-Out RSU Shares (such Selling Stockholder’s “Allocated Earn-Out RSU Shares” and such Selling Stockholder’s “Allocated Earn-Out RSU”, respectively), as well as such Selling Stockholder’s pro rata portion of the reallocated Earn-Out RSU Shares underlying an Earn-Out RSU granted to such Selling Stockholder (such Selling Stockholder’s “Reallocated Earn-Out RSU Shares”), assuming that 100% of the Allocated Earn-Out RSUs (other than such Selling Stockholder’s Allocated Earn-Out RSU) are forfeited after the Closing.</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Selling Stockholders identified below may have sold, transferred or otherwise disposed of some or all of their shares since the date on which the information in the following table is presented in transactions exempt from or not subject to the registration requirements of the Securities Act. Information concerning the Selling Stockholders may change from time to time and, if necessary, we will amend or supplement this prospectus accordingly. We cannot give an estimate as to the number of shares of Class A Common Stock that will actually be held by the Selling Stockholders upon termination of this offering because the Selling Stockholders may offer some or all of their Class A Common Stock under the offering contemplated by this prospectus or acquire additional shares of Class A Common Stock. The total number of shares that may be sold hereunder will not exceed the number of shares offered hereby. Please read the section entitled “Plan of Distribution” in this Reoffer Prospectus. </w:t>
      </w:r>
    </w:p>
    <w:tbl>
      <w:tblPr>
        <w:tblW w:w="10205" w:type="dxa"/>
        <w:jc w:val="left"/>
        <w:tblInd w:w="0" w:type="dxa"/>
        <w:tblCellMar>
          <w:top w:w="28" w:type="dxa"/>
          <w:left w:w="28" w:type="dxa"/>
          <w:bottom w:w="28" w:type="dxa"/>
          <w:right w:w="28" w:type="dxa"/>
        </w:tblCellMar>
      </w:tblPr>
      <w:tblGrid>
        <w:gridCol w:w="486"/>
        <w:gridCol w:w="389"/>
        <w:gridCol w:w="393"/>
        <w:gridCol w:w="957"/>
        <w:gridCol w:w="687"/>
        <w:gridCol w:w="689"/>
        <w:gridCol w:w="113"/>
        <w:gridCol w:w="113"/>
        <w:gridCol w:w="113"/>
        <w:gridCol w:w="784"/>
        <w:gridCol w:w="546"/>
        <w:gridCol w:w="548"/>
        <w:gridCol w:w="113"/>
        <w:gridCol w:w="113"/>
        <w:gridCol w:w="113"/>
        <w:gridCol w:w="906"/>
        <w:gridCol w:w="637"/>
        <w:gridCol w:w="638"/>
        <w:gridCol w:w="113"/>
        <w:gridCol w:w="113"/>
        <w:gridCol w:w="113"/>
        <w:gridCol w:w="443"/>
        <w:gridCol w:w="443"/>
        <w:gridCol w:w="642"/>
      </w:tblGrid>
      <w:tr>
        <w:trPr/>
        <w:tc>
          <w:tcPr>
            <w:tcW w:w="48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r>
      <w:tr>
        <w:trPr/>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7"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Class A Common Stock</w:t>
            </w:r>
          </w:p>
        </w:tc>
      </w:tr>
      <w:tr>
        <w:trPr/>
        <w:tc>
          <w:tcPr>
            <w:tcW w:w="126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23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pPr>
            <w:r>
              <w:rPr>
                <w:rFonts w:ascii="Times New Roman;sans-serif" w:hAnsi="Times New Roman;sans-serif"/>
                <w:b/>
                <w:color w:val="000000"/>
                <w:sz w:val="16"/>
              </w:rPr>
              <w:t xml:space="preserve">Number Beneficially Owned Prior to Offering </w:t>
            </w:r>
            <w:r>
              <w:rPr>
                <w:rFonts w:ascii="Times New Roman;sans-serif" w:hAnsi="Times New Roman;sans-serif"/>
                <w:b/>
                <w:color w:val="000000"/>
                <w:sz w:val="10"/>
              </w:rPr>
              <w:t>(1)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Registered for Sale Hereby</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Beneficially Owned After Offering</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pPr>
            <w:r>
              <w:rPr>
                <w:rFonts w:ascii="Times New Roman;sans-serif" w:hAnsi="Times New Roman;sans-serif"/>
                <w:b/>
                <w:color w:val="000000"/>
                <w:sz w:val="16"/>
              </w:rPr>
              <w:t xml:space="preserve">Percent Owned After Offering </w:t>
            </w:r>
            <w:r>
              <w:rPr>
                <w:rFonts w:ascii="Times New Roman;sans-serif" w:hAnsi="Times New Roman;sans-serif"/>
                <w:b/>
                <w:color w:val="000000"/>
                <w:sz w:val="10"/>
              </w:rPr>
              <w:t>(2)</w:t>
            </w:r>
          </w:p>
        </w:tc>
      </w:tr>
      <w:tr>
        <w:trPr/>
        <w:tc>
          <w:tcPr>
            <w:tcW w:w="1268"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 xml:space="preserve">Anthony Prentice </w:t>
            </w:r>
            <w:r>
              <w:rPr>
                <w:rFonts w:ascii="Times New Roman;sans-serif" w:hAnsi="Times New Roman;sans-serif"/>
                <w:b w:val="false"/>
                <w:color w:val="000000"/>
                <w:sz w:val="13"/>
              </w:rPr>
              <w:t>(3)</w:t>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2,329,919 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232,570 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2,097,349 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8"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 xml:space="preserve">Daniel Clark </w:t>
            </w:r>
            <w:r>
              <w:rPr>
                <w:rFonts w:ascii="Times New Roman;sans-serif" w:hAnsi="Times New Roman;sans-serif"/>
                <w:b w:val="false"/>
                <w:color w:val="000000"/>
                <w:sz w:val="13"/>
              </w:rPr>
              <w:t>(4)</w:t>
            </w:r>
          </w:p>
        </w:tc>
        <w:tc>
          <w:tcPr>
            <w:tcW w:w="164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1,498,081 </w:t>
            </w:r>
          </w:p>
        </w:tc>
        <w:tc>
          <w:tcPr>
            <w:tcW w:w="6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149,842 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1,348,239 </w:t>
            </w:r>
          </w:p>
        </w:tc>
        <w:tc>
          <w:tcPr>
            <w:tcW w:w="6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8"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 xml:space="preserve">Eric Schadt </w:t>
            </w:r>
            <w:r>
              <w:rPr>
                <w:rFonts w:ascii="Times New Roman;sans-serif" w:hAnsi="Times New Roman;sans-serif"/>
                <w:b w:val="false"/>
                <w:color w:val="000000"/>
                <w:sz w:val="13"/>
              </w:rPr>
              <w:t>(5)</w:t>
            </w:r>
          </w:p>
        </w:tc>
        <w:tc>
          <w:tcPr>
            <w:tcW w:w="164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7,723,537 </w:t>
            </w:r>
          </w:p>
        </w:tc>
        <w:tc>
          <w:tcPr>
            <w:tcW w:w="6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827,589 </w:t>
            </w:r>
          </w:p>
        </w:tc>
        <w:tc>
          <w:tcPr>
            <w:tcW w:w="5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6,895,948 </w:t>
            </w:r>
          </w:p>
        </w:tc>
        <w:tc>
          <w:tcPr>
            <w:tcW w:w="6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1268"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 xml:space="preserve">James M. Coffin </w:t>
            </w:r>
            <w:r>
              <w:rPr>
                <w:rFonts w:ascii="Times New Roman;sans-serif" w:hAnsi="Times New Roman;sans-serif"/>
                <w:b w:val="false"/>
                <w:color w:val="000000"/>
                <w:sz w:val="13"/>
              </w:rPr>
              <w:t>(6)</w:t>
            </w:r>
          </w:p>
        </w:tc>
        <w:tc>
          <w:tcPr>
            <w:tcW w:w="164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2,915,515 </w:t>
            </w:r>
          </w:p>
        </w:tc>
        <w:tc>
          <w:tcPr>
            <w:tcW w:w="6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290,762 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2,624,753 </w:t>
            </w:r>
          </w:p>
        </w:tc>
        <w:tc>
          <w:tcPr>
            <w:tcW w:w="6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268"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 xml:space="preserve">Isaac Ro </w:t>
            </w:r>
            <w:r>
              <w:rPr>
                <w:rFonts w:ascii="Times New Roman;sans-serif" w:hAnsi="Times New Roman;sans-serif"/>
                <w:b w:val="false"/>
                <w:color w:val="000000"/>
                <w:sz w:val="13"/>
              </w:rPr>
              <w:t>(7)</w:t>
            </w:r>
          </w:p>
        </w:tc>
        <w:tc>
          <w:tcPr>
            <w:tcW w:w="164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220,506 </w:t>
            </w:r>
          </w:p>
        </w:tc>
        <w:tc>
          <w:tcPr>
            <w:tcW w:w="6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220,506 </w:t>
            </w:r>
          </w:p>
        </w:tc>
        <w:tc>
          <w:tcPr>
            <w:tcW w:w="5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8"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 xml:space="preserve">Kareem Saad </w:t>
            </w:r>
            <w:r>
              <w:rPr>
                <w:rFonts w:ascii="Times New Roman;sans-serif" w:hAnsi="Times New Roman;sans-serif"/>
                <w:b w:val="false"/>
                <w:color w:val="000000"/>
                <w:sz w:val="13"/>
              </w:rPr>
              <w:t>(8)</w:t>
            </w:r>
          </w:p>
        </w:tc>
        <w:tc>
          <w:tcPr>
            <w:tcW w:w="164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70,719 </w:t>
            </w:r>
          </w:p>
        </w:tc>
        <w:tc>
          <w:tcPr>
            <w:tcW w:w="6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70,719 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8"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 xml:space="preserve">Karen White </w:t>
            </w:r>
            <w:r>
              <w:rPr>
                <w:rFonts w:ascii="Times New Roman;sans-serif" w:hAnsi="Times New Roman;sans-serif"/>
                <w:b w:val="false"/>
                <w:color w:val="000000"/>
                <w:sz w:val="13"/>
              </w:rPr>
              <w:t>(9)</w:t>
            </w:r>
          </w:p>
        </w:tc>
        <w:tc>
          <w:tcPr>
            <w:tcW w:w="164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71,786 </w:t>
            </w:r>
          </w:p>
        </w:tc>
        <w:tc>
          <w:tcPr>
            <w:tcW w:w="6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20,259 </w:t>
            </w:r>
          </w:p>
        </w:tc>
        <w:tc>
          <w:tcPr>
            <w:tcW w:w="5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51,527 </w:t>
            </w:r>
          </w:p>
        </w:tc>
        <w:tc>
          <w:tcPr>
            <w:tcW w:w="6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8"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 xml:space="preserve">Rachel Sherman </w:t>
            </w:r>
            <w:r>
              <w:rPr>
                <w:rFonts w:ascii="Times New Roman;sans-serif" w:hAnsi="Times New Roman;sans-serif"/>
                <w:b w:val="false"/>
                <w:color w:val="000000"/>
                <w:sz w:val="13"/>
              </w:rPr>
              <w:t>(10)</w:t>
            </w:r>
          </w:p>
        </w:tc>
        <w:tc>
          <w:tcPr>
            <w:tcW w:w="164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171,880 </w:t>
            </w:r>
          </w:p>
        </w:tc>
        <w:tc>
          <w:tcPr>
            <w:tcW w:w="6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35,673 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136,207 </w:t>
            </w:r>
          </w:p>
        </w:tc>
        <w:tc>
          <w:tcPr>
            <w:tcW w:w="6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TOTALS</w:t>
            </w:r>
          </w:p>
        </w:tc>
        <w:tc>
          <w:tcPr>
            <w:tcW w:w="16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pPr>
            <w:r>
              <w:rPr>
                <w:rFonts w:ascii="Times New Roman;sans-serif" w:hAnsi="Times New Roman;sans-serif"/>
                <w:b/>
                <w:color w:val="000000"/>
                <w:sz w:val="20"/>
              </w:rPr>
              <w:t>15,001,943</w:t>
            </w:r>
            <w:r>
              <w:rPr>
                <w:color w:val="000000"/>
              </w:rPr>
              <w:t> </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pPr>
            <w:r>
              <w:rPr>
                <w:rFonts w:ascii="Times New Roman;sans-serif" w:hAnsi="Times New Roman;sans-serif"/>
                <w:b/>
                <w:color w:val="000000"/>
                <w:sz w:val="20"/>
              </w:rPr>
              <w:t>1,847,920</w:t>
            </w:r>
            <w:r>
              <w:rPr>
                <w:color w:val="000000"/>
              </w:rPr>
              <w:t>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13,154,023</w:t>
            </w:r>
            <w:r>
              <w:rPr>
                <w:color w:val="000000"/>
              </w:rPr>
              <w:t> </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5.5%</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*Less than 1%</w:t>
      </w:r>
    </w:p>
    <w:p>
      <w:pPr>
        <w:pStyle w:val="TextBody"/>
        <w:spacing w:lineRule="auto" w:line="288" w:before="0" w:after="4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numbers of shares of Class A Common Stock reflect all Earn-Out RSU Shares of each Selling Stockholder (including both shares beneficially owned on the Determination Date and shares which the Selling Stockholder has a contingent right to receive).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(2)Assumes all of the shares of Class A Common Stock being offered are sold in the offering, that shares of Class A Common Stock beneficially owned by such Selling Stockholder on the Determination Date but not being offered pursuant to this prospectus (if any) are not sold, and that no additional shares are purchased or otherwise acquired other than pursuant to the Earn-Out RSUs relating to the shares being offered.</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(3)Includes 2,097,349 shares underlying options to purchase common stock that are exercisable within 60 days of September 13, 2021. Shares hereby offered consist of 201,093 Allocated Earn-Out RSU Shares and 31,477 Reallocated Earn-Out RSU Shares.</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1,348,239 shares underlying options to purchase common stock that are exercisable within 60 days of September 13, 2021. Shares hereby offered consist of 129,265 Allocated Earn-Out RSU Shares and 20,577 Reallocated Earn-Out RSU Shares.</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6,895,948 shares underlying options to purchase common stock that are exercisable within 60 days of September 13, 2021. Shares hereby offered consist of 718,401 Allocated Earn-Out RSU Shares and 109,188 Reallocated Earn-Out RSU Shares. Mr. Schadt is member of Sema4 Holdings Corp.’s board of directors.</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(6)Includes 2,624,753 shares underlying options to purchase common stock that are exercisable within 60 days of September 13, 2021. Shares hereby offered consist of 251,828 Allocated Earn-Out RSU Shares and 38,934 Reallocated Earn-Out RSU Shares.</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(7)Shares hereby offered consist of 191,547 Allocated Earn-Out RSU Shares and 28,959 Reallocated Earn-Out RSU Shares.</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(8)Shares hereby offered consist of 60,946 Allocated Earn-Out RSU Shares and 9,773 Reallocated Earn-Out RSU Shares.</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(9)Includes 51,527 shares underlying options to purchase common stock that are exercisable within 60 days of September 13, 2021. Shares hereby offered consist of 17,413 Allocated Earn-Out RSU Shares and 2,846 Reallocated Earn-Out RSU Shares.</w:t>
      </w:r>
    </w:p>
    <w:p>
      <w:pPr>
        <w:pStyle w:val="TextBody"/>
        <w:spacing w:lineRule="auto" w:line="26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(10)Includes 136,207 shares underlying options to purchase common stock that are exercisable within 60 days of September 13, 2021. Shares hereby offered consist of 30,687 Allocated Earn-Out RSU Shares and 4,986 Reallocated Earn-Out RSU Shares. Ms. Sherman is member of Sema4 Holdings Corp.’s board of directors.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lineRule="auto" w:line="288" w:before="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Other Material Relationships with the Selling Stockholders</w:t>
      </w:r>
    </w:p>
    <w:p>
      <w:pPr>
        <w:pStyle w:val="TextBody"/>
        <w:spacing w:lineRule="auto" w:line="288" w:before="0" w:after="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Employment Relationships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entered into employment agreements with each of Eric Schadt, James Coffin, Daniel Clark, Anthony Prentice, Isaac Ro, Kareem Saad and Karen White in connection with the Business Combination. Each of Eric Schadt, James Coffin, Anthony Prentice, Isaac Ro, Kareem Saad and Karen White have provided and continue to provide services to the Company commensurate with his or her role.</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Each of Dr. Schadt, Dr. Coffin, Mr. Clark, Mr. Prentice and Ms. White have agreed that, during the nine-month period following the Closing,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pStyle w:val="TextBody"/>
        <w:spacing w:lineRule="auto" w:line="288" w:before="0" w:after="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Indemnification Agreement</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amended and restated certificate of incorporation (the “Certificate of Incorporation”) contains provisions limiting the liability of directors, and our restated bylaws (the “Bylaws”) provide that we will indemnify each of our directors to the fullest extent permitted under Delaware law. The Certificate of Incorporation and Bylaws also provide the board of directors with discretion to indemnify officers and employees when determined appropriate by our board of directors.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entered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the Certificate of Incorporation and Bylaws. In addition, the indemnification agreements provide that, to the fullest extent permitted by Delaware law, we will advance all expenses incurred by its directors, executive officers, and other key employees in connection with a legal proceeding involving his or her status as a director, executive officer, or key employee.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shares of Class A Common Stock covered by this Reoffer Prospectus are being registered by the Company for the account of the Selling Stockholders. The shares of Class A Common Stock offered may be sold from time to time directly by or on behalf of each Selling Stockholder in one or more transactions on the Nasdaq or any other stock exchange on which the Class A Common Stock may be listed at the time of sale, in privately negotiated transactions, or through a combination of such methods, at market prices prevailing at the time of sale, at prices related to such prevailing market prices, at fixed prices (which may be changed) or at negotiated prices. The Selling Stockholders may sell shares through one or more agents, brokers or dealers or directly to purchasers. Such brokers or dealers may receive compensation in the form of commissions, discounts or concessions from the Selling Stockholders and/or purchasers of the shares or both. Such compensation as to a particular broker or dealer may be in excess of customary commissions. The amount of shares of Class A Common Stock to be reoffered or resold under the Reoffer Prospectus by each Selling Stockholder and any other person with whom he or she is acting in concert for the purpose of selling shares of Class A Common Stock, may not exceed, during any three-month period, the amount specified in Rule 144(e) under the Securities Act.</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connection with their sales, a Selling Stockholder and any participating broker or dealer may be deemed to be “underwriters” within the meaning of the Securities Act, and any commissions they receive and the proceeds of any sale of shares may be deemed to be underwriting discounts and commissions under the Securities Act. We are bearing all costs relating to the registration of the shares of Class A Common Stock. Any commissions or other fees payable to brokers or dealers in connection with any sale of the shares will be borne by the Selling Stockholders or other party selling such shares. Sales of the shares must be made by the Selling Stockholders in compliance with all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applicable state and federal securities laws and regulations, including the Securities Act. In addition to any shares sold hereunder, Selling Stockholders may sell shares of Class A Common Stock in compliance with Rule 144. There is no assurance that the Selling Stockholders will sell all or a portion of the shares of Class A Common Stock offered hereby. The Selling Stockholders may agree to indemnify any broker, dealer or agent that participates in transactions involving sales of the shares against certain liabilities in connection with the offering of the shares arising under the Securities Act. We have notified the Selling Stockholders of the need to deliver a copy of this Reoffer Prospectus in connection with any sale of the shares of Class A Common Stock.</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anti-manipulation rules of Regulation M under the Exchange Act may apply to sales of shares of Class A Common Stock and activities of the Selling Stockholders, which may limit the timing of purchases and sales of any of the shares of Common Stock by the Selling Stockholders and any other participating person. Regulation M may also restrict the ability of any person engaged in the distribution of the shares of Class A Common Stock to engage in passive market-making activities with respect to the shares of Class A Common Stock. Passive market making involves transactions in which a market maker acts as both our underwriter and as a purchaser of shares of Class A Common Stock in the secondary market. All of the foregoing may affect the marketability of the shares of Class A Common Stock and the ability of any person or entity to engage in market-making activities with respect to the shares of Class A Common Stock.</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Once sold under the registration statement of which this Reoffer Prospectus forms a part, the shares of Class A Common Stock will be freely tradable in the hands of persons other than our affiliates.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Fenwick &amp; West LLP will issue an opinion regarding the legality of certain of the offered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financial statements of Sema4 Holdings Corp, Inc. (f/k/a CM Life Sciences, Inc.) as of December 31, 2020, and for the period from July 10, 2020 (inception) through December 31, 2020, incorporated herein by reference, have been audited by WithumSmith+Brown, PC, independent registered public accounting firm, as set forth in their report thereon, which is incorporated by reference herein. </w:t>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financial statements of Mount Sinai Genomics, Inc.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financial statements)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spacing w:lineRule="auto" w:line="288" w:before="0" w:after="18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documents filed by Sema4 Holdings Corp. (the “Registrant”) with the Commission pursuant to the Securities Act and the Securities Exchange Act of 1934, as amended (the “Exchange Act”), are incorporated herein by reference:</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(a)the Registrant’s Annual Report on Form 10-K/A for the fiscal year ended December 31, 2020, which includes audited financial statements for the Registrant’s latest fiscal year, filed with the Commission on </w:t>
      </w:r>
      <w:hyperlink r:id="rId17">
        <w:r>
          <w:rPr>
            <w:rStyle w:val="InternetLink"/>
            <w:rFonts w:ascii="Times New Roman;sans-serif" w:hAnsi="Times New Roman;sans-serif"/>
            <w:b w:val="false"/>
            <w:color w:val="0000FF"/>
            <w:sz w:val="20"/>
            <w:u w:val="single"/>
          </w:rPr>
          <w:t>May 5, 2021</w:t>
        </w:r>
      </w:hyperlink>
      <w:r>
        <w:rPr>
          <w:rFonts w:ascii="Times New Roman;sans-serif" w:hAnsi="Times New Roman;sans-serif"/>
          <w:b w:val="false"/>
          <w:color w:val="000000"/>
          <w:sz w:val="20"/>
        </w:rPr>
        <w:t xml:space="preserve">; </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(b)the Registrant’s Quarterly Reports on Form 10-Q for the fiscal quarters ended March 31, 2021 and June 30, 2021, filed with the Commission on </w:t>
      </w:r>
      <w:hyperlink r:id="rId18">
        <w:r>
          <w:rPr>
            <w:rStyle w:val="InternetLink"/>
            <w:rFonts w:ascii="Times New Roman;sans-serif" w:hAnsi="Times New Roman;sans-serif"/>
            <w:b w:val="false"/>
            <w:color w:val="0000FF"/>
            <w:sz w:val="20"/>
            <w:u w:val="single"/>
          </w:rPr>
          <w:t>May 24, 2021</w:t>
        </w:r>
      </w:hyperlink>
      <w:r>
        <w:rPr>
          <w:color w:val="000000"/>
        </w:rPr>
        <w:t xml:space="preserve"> </w:t>
      </w:r>
      <w:r>
        <w:rPr>
          <w:rFonts w:ascii="Times New Roman;sans-serif" w:hAnsi="Times New Roman;sans-serif"/>
          <w:b w:val="false"/>
          <w:color w:val="000000"/>
          <w:sz w:val="20"/>
        </w:rPr>
        <w:t xml:space="preserve">and </w:t>
      </w:r>
      <w:hyperlink r:id="rId19">
        <w:r>
          <w:rPr>
            <w:rStyle w:val="InternetLink"/>
            <w:rFonts w:ascii="Times New Roman;sans-serif" w:hAnsi="Times New Roman;sans-serif"/>
            <w:b w:val="false"/>
            <w:color w:val="0000FF"/>
            <w:sz w:val="20"/>
            <w:u w:val="single"/>
          </w:rPr>
          <w:t>July 21, 2021</w:t>
        </w:r>
      </w:hyperlink>
      <w:r>
        <w:rPr>
          <w:rFonts w:ascii="Times New Roman;sans-serif" w:hAnsi="Times New Roman;sans-serif"/>
          <w:b w:val="false"/>
          <w:color w:val="000000"/>
          <w:sz w:val="20"/>
        </w:rPr>
        <w:t>, respectively;</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(c)the Registrant’s Current Reports on Form 8-K filed with the Commission on </w:t>
      </w:r>
      <w:hyperlink r:id="rId20">
        <w:r>
          <w:rPr>
            <w:rStyle w:val="InternetLink"/>
            <w:rFonts w:ascii="Times New Roman;sans-serif" w:hAnsi="Times New Roman;sans-serif"/>
            <w:b w:val="false"/>
            <w:color w:val="0000FF"/>
            <w:sz w:val="20"/>
            <w:u w:val="single"/>
          </w:rPr>
          <w:t>February 11, 2021</w:t>
        </w:r>
      </w:hyperlink>
      <w:r>
        <w:rPr>
          <w:rFonts w:ascii="Times New Roman;sans-serif" w:hAnsi="Times New Roman;sans-serif"/>
          <w:b w:val="false"/>
          <w:color w:val="000000"/>
          <w:sz w:val="20"/>
        </w:rPr>
        <w:t xml:space="preserve">, </w:t>
      </w:r>
      <w:hyperlink r:id="rId21">
        <w:r>
          <w:rPr>
            <w:rStyle w:val="InternetLink"/>
            <w:rFonts w:ascii="Times New Roman;sans-serif" w:hAnsi="Times New Roman;sans-serif"/>
            <w:b w:val="false"/>
            <w:color w:val="0000FF"/>
            <w:sz w:val="20"/>
            <w:u w:val="single"/>
          </w:rPr>
          <w:t>May 5, 2021</w:t>
        </w:r>
      </w:hyperlink>
      <w:r>
        <w:rPr>
          <w:rFonts w:ascii="Times New Roman;sans-serif" w:hAnsi="Times New Roman;sans-serif"/>
          <w:b w:val="false"/>
          <w:color w:val="000000"/>
          <w:sz w:val="20"/>
        </w:rPr>
        <w:t xml:space="preserve">, </w:t>
      </w:r>
      <w:hyperlink r:id="rId22">
        <w:r>
          <w:rPr>
            <w:rStyle w:val="InternetLink"/>
            <w:rFonts w:ascii="Times New Roman;sans-serif" w:hAnsi="Times New Roman;sans-serif"/>
            <w:b w:val="false"/>
            <w:color w:val="0000FF"/>
            <w:sz w:val="20"/>
            <w:u w:val="single"/>
          </w:rPr>
          <w:t>July 19, 2021</w:t>
        </w:r>
      </w:hyperlink>
      <w:r>
        <w:rPr>
          <w:rFonts w:ascii="Times New Roman;sans-serif" w:hAnsi="Times New Roman;sans-serif"/>
          <w:b w:val="false"/>
          <w:color w:val="000000"/>
          <w:sz w:val="20"/>
        </w:rPr>
        <w:t xml:space="preserve">, </w:t>
      </w:r>
      <w:hyperlink r:id="rId23">
        <w:r>
          <w:rPr>
            <w:rStyle w:val="InternetLink"/>
            <w:rFonts w:ascii="Times New Roman;sans-serif" w:hAnsi="Times New Roman;sans-serif"/>
            <w:b w:val="false"/>
            <w:color w:val="0000FF"/>
            <w:sz w:val="20"/>
            <w:u w:val="single"/>
          </w:rPr>
          <w:t>July 22, 2021</w:t>
        </w:r>
      </w:hyperlink>
      <w:r>
        <w:rPr>
          <w:rFonts w:ascii="Times New Roman;sans-serif" w:hAnsi="Times New Roman;sans-serif"/>
          <w:b w:val="false"/>
          <w:color w:val="000000"/>
          <w:sz w:val="20"/>
        </w:rPr>
        <w:t xml:space="preserve">, </w:t>
      </w:r>
      <w:hyperlink r:id="rId24">
        <w:r>
          <w:rPr>
            <w:rStyle w:val="InternetLink"/>
            <w:rFonts w:ascii="Times New Roman;sans-serif" w:hAnsi="Times New Roman;sans-serif"/>
            <w:b w:val="false"/>
            <w:color w:val="0000FF"/>
            <w:sz w:val="20"/>
            <w:u w:val="single"/>
          </w:rPr>
          <w:t>July 28, 2021</w:t>
        </w:r>
      </w:hyperlink>
      <w:r>
        <w:rPr>
          <w:rFonts w:ascii="Times New Roman;sans-serif" w:hAnsi="Times New Roman;sans-serif"/>
          <w:b w:val="false"/>
          <w:color w:val="000000"/>
          <w:sz w:val="20"/>
        </w:rPr>
        <w:t xml:space="preserve">, as amended on </w:t>
      </w:r>
      <w:hyperlink r:id="rId25">
        <w:r>
          <w:rPr>
            <w:rStyle w:val="InternetLink"/>
            <w:rFonts w:ascii="Times New Roman;sans-serif" w:hAnsi="Times New Roman;sans-serif"/>
            <w:b w:val="false"/>
            <w:color w:val="0000FF"/>
            <w:sz w:val="20"/>
            <w:u w:val="single"/>
          </w:rPr>
          <w:t>August 16, 2021</w:t>
        </w:r>
      </w:hyperlink>
      <w:r>
        <w:rPr>
          <w:rFonts w:ascii="Times New Roman;sans-serif" w:hAnsi="Times New Roman;sans-serif"/>
          <w:b w:val="false"/>
          <w:color w:val="000000"/>
          <w:sz w:val="20"/>
        </w:rPr>
        <w:t xml:space="preserve">, and </w:t>
      </w:r>
      <w:hyperlink r:id="rId26">
        <w:r>
          <w:rPr>
            <w:rStyle w:val="InternetLink"/>
            <w:rFonts w:ascii="Times New Roman;sans-serif" w:hAnsi="Times New Roman;sans-serif"/>
            <w:b w:val="false"/>
            <w:color w:val="0000FF"/>
            <w:sz w:val="20"/>
            <w:u w:val="single"/>
          </w:rPr>
          <w:t>August 16, 2021</w:t>
        </w:r>
      </w:hyperlink>
      <w:r>
        <w:rPr>
          <w:color w:val="000000"/>
        </w:rPr>
        <w:t xml:space="preserve"> </w:t>
      </w:r>
      <w:r>
        <w:rPr>
          <w:rFonts w:ascii="Times New Roman;sans-serif" w:hAnsi="Times New Roman;sans-serif"/>
          <w:b w:val="false"/>
          <w:color w:val="000000"/>
          <w:sz w:val="20"/>
        </w:rPr>
        <w:t>(but only with respect to Items 4.01 and 9.01 thereto); and</w:t>
      </w:r>
    </w:p>
    <w:p>
      <w:pPr>
        <w:pStyle w:val="TextBody"/>
        <w:spacing w:lineRule="auto" w:line="288" w:before="0" w:after="180"/>
        <w:ind w:left="0" w:right="0" w:hanging="360"/>
        <w:jc w:val="both"/>
        <w:rPr/>
      </w:pPr>
      <w:r>
        <w:rPr>
          <w:rFonts w:ascii="Times New Roman;sans-serif" w:hAnsi="Times New Roman;sans-serif"/>
          <w:b w:val="false"/>
          <w:color w:val="000000"/>
          <w:sz w:val="20"/>
        </w:rPr>
        <w:t xml:space="preserve">(d)the description of the Registrant’s Class A Common Stock contained in the Registrant’s Registration Statement on Form 8-A filed with the Commission on </w:t>
      </w:r>
      <w:hyperlink r:id="rId27">
        <w:r>
          <w:rPr>
            <w:rStyle w:val="InternetLink"/>
            <w:rFonts w:ascii="Times New Roman;sans-serif" w:hAnsi="Times New Roman;sans-serif"/>
            <w:b w:val="false"/>
            <w:color w:val="0000FF"/>
            <w:sz w:val="20"/>
            <w:u w:val="single"/>
          </w:rPr>
          <w:t>August 31, 2020</w:t>
        </w:r>
      </w:hyperlink>
      <w:r>
        <w:rPr>
          <w:rFonts w:ascii="Times New Roman;sans-serif" w:hAnsi="Times New Roman;sans-serif"/>
          <w:b w:val="false"/>
          <w:color w:val="000000"/>
          <w:sz w:val="20"/>
        </w:rPr>
        <w:t xml:space="preserve">, including any amendments or reports filed for the purpose of updating such description. </w:t>
      </w:r>
    </w:p>
    <w:p>
      <w:pPr>
        <w:pStyle w:val="TextBody"/>
        <w:spacing w:lineRule="auto" w:line="288" w:before="0" w:after="18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pStyle w:val="TextBody"/>
        <w:spacing w:lineRule="auto" w:line="288" w:before="0" w:after="18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Description of Securities.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5. Interests of Named Experts and Counsel.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6. Indemnification of Directors and Officers.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145 of the General Corporation Law of the State of Delaware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v:rect>
            </w:pict>
          </mc:Fallback>
        </mc:AlternateConten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by the DGCL, the Amended and Restated Certificate of Incorporation of the Registrant contains provisions that eliminate the personal liability of its directors for monetary damages for any breach of fiduciary duties as a director, except liability for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breach of a director’s duty of loyalty to the Registrant or the Registrant’s stockholders;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acts or omissions not in good faith or that involve intentional misconduct or a knowing violation of law;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under Section 174 of the DGCL (regarding unlawful dividends and stock purchases); or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transaction from which the director derived an improper personal benefit.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permitted by the DGCL, the Restated Bylaws of the Registrant provide that: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Registrant is required to indemnify its directors and executive officers to the fullest extent permitted by the DGCL, subject to very limited exceptions;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Registrant may indemnify its other employees and agents as set forth in the DGCL;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Registrant is required to advance expenses, as incurred, to its directors and executive officers in connection with a legal proceeding to the fullest extent permitted by the DGCL, subject to very limited exceptions;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rights conferred in the Restated Bylaws of the Registrant are not exclusive.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has entered into indemnification agreements with each of its directors and executive officers to provide these directors and executive officers additional contractual assurances regarding the scope of the indemnification set forth in the Amended and Restated Certificate of Incorporation and Restated Bylaws of the Registrant and to provide additional procedural protections. At present, there is no pending litigation or proceeding involving one of the Registrant’s directors or executive officers for which indemnification is sought. The indemnification provisions in the Amended and Restated Certificate of Incorporation, Restated Bylaws, and the indemnification agreements entered into between the Registrant and each of the Registrant’s directors and executive officers may be sufficiently broad to permit indemnification of the Registrant’s directors and executive officers for liabilities arising under the Securities Act. The Registrant carries liability insurance for the Registrant’s directors and officers. Certain of the Registrant’s directors are also indemnified by their employers with regard to service on the Registrant’s board of directors.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7. Exemption from Registration Claimed.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 applicable.</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8. Exhibits. </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478"/>
        <w:gridCol w:w="1319"/>
        <w:gridCol w:w="1324"/>
        <w:gridCol w:w="109"/>
        <w:gridCol w:w="109"/>
        <w:gridCol w:w="109"/>
        <w:gridCol w:w="170"/>
        <w:gridCol w:w="170"/>
        <w:gridCol w:w="171"/>
        <w:gridCol w:w="109"/>
        <w:gridCol w:w="109"/>
        <w:gridCol w:w="109"/>
        <w:gridCol w:w="252"/>
        <w:gridCol w:w="242"/>
        <w:gridCol w:w="196"/>
        <w:gridCol w:w="109"/>
        <w:gridCol w:w="109"/>
        <w:gridCol w:w="109"/>
        <w:gridCol w:w="210"/>
        <w:gridCol w:w="210"/>
        <w:gridCol w:w="211"/>
        <w:gridCol w:w="109"/>
        <w:gridCol w:w="109"/>
        <w:gridCol w:w="109"/>
        <w:gridCol w:w="250"/>
        <w:gridCol w:w="250"/>
        <w:gridCol w:w="252"/>
        <w:gridCol w:w="109"/>
        <w:gridCol w:w="109"/>
        <w:gridCol w:w="109"/>
        <w:gridCol w:w="242"/>
        <w:gridCol w:w="242"/>
        <w:gridCol w:w="348"/>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Fonts w:ascii="Times New Roman;sans-serif" w:hAnsi="Times New Roman;sans-serif"/>
                  <w:b w:val="false"/>
                  <w:color w:val="0000FF"/>
                  <w:sz w:val="18"/>
                  <w:u w:val="single"/>
                </w:rPr>
                <w:t>Third Amended and Restated Certificate of Incorporation of Sema4 Holdings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Times New Roman;sans-serif" w:hAnsi="Times New Roman;sans-serif"/>
                  <w:b w:val="false"/>
                  <w:color w:val="0000FF"/>
                  <w:sz w:val="18"/>
                  <w:u w:val="single"/>
                </w:rPr>
                <w:t>Bylaws of Sema4 Holdings Corp., as currently in effect.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51-sx8.htm">
              <w:r>
                <w:rPr>
                  <w:rStyle w:val="InternetLink"/>
                  <w:rFonts w:ascii="Times New Roman;sans-serif" w:hAnsi="Times New Roman;sans-serif"/>
                  <w:b w:val="false"/>
                  <w:color w:val="0000FF"/>
                  <w:sz w:val="18"/>
                  <w:u w:val="single"/>
                </w:rPr>
                <w:t>Opinion of Fenwick &amp; West LLP.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231-sx8.htm">
              <w:r>
                <w:rPr>
                  <w:rStyle w:val="InternetLink"/>
                </w:rPr>
                <w:t xml:space="preserve">Consent of WithumSmith+Brown, PC, </w:t>
              </w:r>
            </w:hyperlink>
            <w:hyperlink w:anchor="exhibit231-sx8.htm">
              <w:r>
                <w:rPr>
                  <w:rStyle w:val="InternetLink"/>
                </w:rPr>
                <w:t>I</w:t>
              </w:r>
            </w:hyperlink>
            <w:hyperlink w:anchor="exhibit231-sx8.htm">
              <w:r>
                <w:rPr>
                  <w:rStyle w:val="InternetLink"/>
                </w:rPr>
                <w:t xml:space="preserve">ndependent </w:t>
              </w:r>
            </w:hyperlink>
            <w:hyperlink w:anchor="exhibit231-sx8.htm">
              <w:r>
                <w:rPr>
                  <w:rStyle w:val="InternetLink"/>
                </w:rPr>
                <w:t>R</w:t>
              </w:r>
            </w:hyperlink>
            <w:hyperlink w:anchor="exhibit231-sx8.htm">
              <w:r>
                <w:rPr>
                  <w:rStyle w:val="InternetLink"/>
                </w:rPr>
                <w:t xml:space="preserve">egistered </w:t>
              </w:r>
            </w:hyperlink>
            <w:hyperlink w:anchor="exhibit231-sx8.htm">
              <w:r>
                <w:rPr>
                  <w:rStyle w:val="InternetLink"/>
                </w:rPr>
                <w:t xml:space="preserve">Public </w:t>
              </w:r>
            </w:hyperlink>
            <w:hyperlink w:anchor="exhibit231-sx8.htm">
              <w:r>
                <w:rPr>
                  <w:rStyle w:val="InternetLink"/>
                </w:rPr>
                <w:t>A</w:t>
              </w:r>
            </w:hyperlink>
            <w:hyperlink w:anchor="exhibit231-sx8.htm">
              <w:r>
                <w:rPr>
                  <w:rStyle w:val="InternetLink"/>
                </w:rPr>
                <w:t xml:space="preserve">ccounting </w:t>
              </w:r>
            </w:hyperlink>
            <w:hyperlink w:anchor="exhibit231-sx8.htm">
              <w:r>
                <w:rPr>
                  <w:rStyle w:val="InternetLink"/>
                </w:rPr>
                <w:t>F</w:t>
              </w:r>
            </w:hyperlink>
            <w:hyperlink w:anchor="exhibit231-sx8.htm">
              <w:r>
                <w:rPr>
                  <w:rStyle w:val="InternetLink"/>
                </w:rPr>
                <w:t xml:space="preserve">irm for </w:t>
              </w:r>
            </w:hyperlink>
            <w:hyperlink w:anchor="exhibit231-sx8.htm">
              <w:r>
                <w:rPr>
                  <w:rStyle w:val="InternetLink"/>
                </w:rPr>
                <w:t>CM Life Sciences,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232-sx8.htm">
              <w:r>
                <w:rPr>
                  <w:rStyle w:val="InternetLink"/>
                </w:rPr>
                <w:t xml:space="preserve">Consent of Ernst &amp; Young LLP, </w:t>
              </w:r>
            </w:hyperlink>
            <w:hyperlink w:anchor="exhibit232-sx8.htm">
              <w:r>
                <w:rPr>
                  <w:rStyle w:val="InternetLink"/>
                </w:rPr>
                <w:t>I</w:t>
              </w:r>
            </w:hyperlink>
            <w:hyperlink w:anchor="exhibit232-sx8.htm">
              <w:r>
                <w:rPr>
                  <w:rStyle w:val="InternetLink"/>
                </w:rPr>
                <w:t xml:space="preserve">ndependent </w:t>
              </w:r>
            </w:hyperlink>
            <w:hyperlink w:anchor="exhibit232-sx8.htm">
              <w:r>
                <w:rPr>
                  <w:rStyle w:val="InternetLink"/>
                </w:rPr>
                <w:t>R</w:t>
              </w:r>
            </w:hyperlink>
            <w:hyperlink w:anchor="exhibit232-sx8.htm">
              <w:r>
                <w:rPr>
                  <w:rStyle w:val="InternetLink"/>
                </w:rPr>
                <w:t>egistered</w:t>
              </w:r>
            </w:hyperlink>
            <w:hyperlink w:anchor="exhibit232-sx8.htm">
              <w:r>
                <w:rPr>
                  <w:rStyle w:val="InternetLink"/>
                </w:rPr>
                <w:t xml:space="preserve"> Public</w:t>
              </w:r>
            </w:hyperlink>
            <w:hyperlink w:anchor="exhibit232-sx8.htm">
              <w:r>
                <w:rPr>
                  <w:rStyle w:val="InternetLink"/>
                </w:rPr>
                <w:t xml:space="preserve"> </w:t>
              </w:r>
            </w:hyperlink>
            <w:hyperlink w:anchor="exhibit232-sx8.htm">
              <w:r>
                <w:rPr>
                  <w:rStyle w:val="InternetLink"/>
                </w:rPr>
                <w:t>A</w:t>
              </w:r>
            </w:hyperlink>
            <w:hyperlink w:anchor="exhibit232-sx8.htm">
              <w:r>
                <w:rPr>
                  <w:rStyle w:val="InternetLink"/>
                </w:rPr>
                <w:t xml:space="preserve">ccounting </w:t>
              </w:r>
            </w:hyperlink>
            <w:hyperlink w:anchor="exhibit232-sx8.htm">
              <w:r>
                <w:rPr>
                  <w:rStyle w:val="InternetLink"/>
                </w:rPr>
                <w:t>F</w:t>
              </w:r>
            </w:hyperlink>
            <w:hyperlink w:anchor="exhibit232-sx8.htm">
              <w:r>
                <w:rPr>
                  <w:rStyle w:val="InternetLink"/>
                </w:rPr>
                <w:t>irm for Sema4 Holdings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51-sx8.htm">
              <w:r>
                <w:rPr>
                  <w:rStyle w:val="InternetLink"/>
                  <w:rFonts w:ascii="Times New Roman;sans-serif" w:hAnsi="Times New Roman;sans-serif"/>
                  <w:b w:val="false"/>
                  <w:color w:val="0000FF"/>
                  <w:sz w:val="18"/>
                  <w:u w:val="single"/>
                </w:rPr>
                <w:t>Consent of Fenwick &amp; West LLP (contained in Exhibit 5.1).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0e1f3e809ef9408c902f4d4d6accaf6c_253">
              <w:r>
                <w:rPr>
                  <w:rStyle w:val="InternetLink"/>
                  <w:rFonts w:ascii="Times New Roman;sans-serif" w:hAnsi="Times New Roman;sans-serif"/>
                  <w:b w:val="false"/>
                  <w:color w:val="0000FF"/>
                  <w:sz w:val="18"/>
                  <w:u w:val="single"/>
                </w:rPr>
                <w:t>Power of Attorney (included on the signature page of this Registration Statement).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0">
              <w:r>
                <w:rPr>
                  <w:rStyle w:val="InternetLink"/>
                </w:rPr>
                <w:t xml:space="preserve">Sema4 Holdings Corp. 2021 Equity </w:t>
              </w:r>
            </w:hyperlink>
            <w:hyperlink r:id="rId31">
              <w:r>
                <w:rPr>
                  <w:rStyle w:val="InternetLink"/>
                </w:rPr>
                <w:t>Incentive Plan</w:t>
              </w:r>
            </w:hyperlink>
            <w:hyperlink r:id="rId32">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3">
              <w:r>
                <w:rPr>
                  <w:rStyle w:val="InternetLink"/>
                </w:rPr>
                <w:t>Form</w:t>
              </w:r>
            </w:hyperlink>
            <w:hyperlink r:id="rId34">
              <w:r>
                <w:rPr>
                  <w:rStyle w:val="InternetLink"/>
                </w:rPr>
                <w:t xml:space="preserve"> </w:t>
              </w:r>
            </w:hyperlink>
            <w:hyperlink r:id="rId35">
              <w:r>
                <w:rPr>
                  <w:rStyle w:val="InternetLink"/>
                </w:rPr>
                <w:t>of Stock Option Agreement under the Sema4 Holdings Corp. 2021 Equity Incentive Plan</w:t>
              </w:r>
            </w:hyperlink>
            <w:hyperlink r:id="rId36">
              <w:r>
                <w:rPr>
                  <w:rStyle w:val="InternetLink"/>
                </w:rPr>
                <w: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7">
              <w:r>
                <w:rPr>
                  <w:rStyle w:val="InternetLink"/>
                </w:rPr>
                <w:t>Form</w:t>
              </w:r>
            </w:hyperlink>
            <w:hyperlink r:id="rId38">
              <w:r>
                <w:rPr>
                  <w:rStyle w:val="InternetLink"/>
                </w:rPr>
                <w:t xml:space="preserve"> </w:t>
              </w:r>
            </w:hyperlink>
            <w:hyperlink r:id="rId39">
              <w:r>
                <w:rPr>
                  <w:rStyle w:val="InternetLink"/>
                </w:rPr>
                <w:t>of RSU Agreement under the Sema4 Holdings Corp. 2021 Equity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0">
              <w:r>
                <w:rPr>
                  <w:rStyle w:val="InternetLink"/>
                  <w:rFonts w:ascii="Times New Roman;sans-serif" w:hAnsi="Times New Roman;sans-serif"/>
                  <w:b w:val="false"/>
                  <w:color w:val="0000FF"/>
                  <w:sz w:val="18"/>
                  <w:u w:val="single"/>
                </w:rPr>
                <w:t>Form of Earn-Out RSU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1">
              <w:r>
                <w:rPr>
                  <w:rStyle w:val="InternetLink"/>
                  <w:rFonts w:ascii="Times New Roman;sans-serif" w:hAnsi="Times New Roman;sans-serif"/>
                  <w:b w:val="false"/>
                  <w:color w:val="0000FF"/>
                  <w:sz w:val="18"/>
                  <w:u w:val="single"/>
                </w:rPr>
                <w:t>Sema4 Holdings Corp. 2021 Employee Stock Purchase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996-sx8.htm">
              <w:r>
                <w:rPr>
                  <w:rStyle w:val="InternetLink"/>
                </w:rPr>
                <w:t>Mount</w:t>
              </w:r>
            </w:hyperlink>
            <w:hyperlink w:anchor="exhibit996-sx8.htm">
              <w:r>
                <w:rPr>
                  <w:rStyle w:val="InternetLink"/>
                </w:rPr>
                <w:t xml:space="preserve"> </w:t>
              </w:r>
            </w:hyperlink>
            <w:hyperlink w:anchor="exhibit996-sx8.htm">
              <w:r>
                <w:rPr>
                  <w:rStyle w:val="InternetLink"/>
                </w:rPr>
                <w:t>Sinai Genomics, Inc.</w:t>
              </w:r>
            </w:hyperlink>
            <w:hyperlink w:anchor="exhibit996-sx8.htm">
              <w:r>
                <w:rPr>
                  <w:rStyle w:val="InternetLink"/>
                </w:rPr>
                <w:t xml:space="preserve"> 2</w:t>
              </w:r>
            </w:hyperlink>
            <w:hyperlink w:anchor="exhibit996-sx8.htm">
              <w:r>
                <w:rPr>
                  <w:rStyle w:val="InternetLink"/>
                </w:rPr>
                <w:t>017 Equity Incentive Plan, as amended, and forms of equity agreements thereunder.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9. Undertakings.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undersigned Registrant hereby undertakes: </w:t>
      </w:r>
    </w:p>
    <w:p>
      <w:pPr>
        <w:pStyle w:val="TextBody"/>
        <w:spacing w:lineRule="auto" w:line="288" w:before="0" w:after="180"/>
        <w:ind w:left="0" w:right="0" w:firstLine="14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To file, during any period in which offers or sales are being made, a post-effective amendment to this Registration Statement: </w:t>
      </w:r>
    </w:p>
    <w:p>
      <w:pPr>
        <w:pStyle w:val="TextBody"/>
        <w:spacing w:lineRule="auto" w:line="288" w:before="0" w:after="180"/>
        <w:ind w:left="0" w:right="0" w:firstLine="216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To include any prospectus required by Section 10(a)(3) of the Securities Act; </w:t>
      </w:r>
    </w:p>
    <w:p>
      <w:pPr>
        <w:pStyle w:val="TextBody"/>
        <w:spacing w:lineRule="auto" w:line="288" w:before="0" w:after="180"/>
        <w:ind w:left="0" w:right="0" w:firstLine="216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w:t>
      </w:r>
    </w:p>
    <w:p>
      <w:pPr>
        <w:pStyle w:val="TextBody"/>
        <w:spacing w:lineRule="auto" w:line="288" w:before="0" w:after="18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Commission pursuant to Rule 424(b) if, in the aggregate, the changes in volume and price represent no more than a 20 percent change in the maximum aggregate offering price set forth in the “Calculation of Registration Fee” table in the effective Registration Statement; </w:t>
      </w:r>
    </w:p>
    <w:p>
      <w:pPr>
        <w:pStyle w:val="TextBody"/>
        <w:spacing w:lineRule="auto" w:line="288" w:before="0" w:after="180"/>
        <w:ind w:left="0" w:right="0" w:firstLine="216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To include any material information with respect to the plan of distribution not previously disclosed in the Registration Statement or any material change to such information in the Registration Statement;</w:t>
      </w:r>
    </w:p>
    <w:p>
      <w:pPr>
        <w:pStyle w:val="TextBody"/>
        <w:spacing w:lineRule="auto" w:line="288" w:before="0" w:after="180"/>
        <w:ind w:left="0" w:right="0" w:firstLine="2160"/>
        <w:jc w:val="both"/>
        <w:rPr/>
      </w:pP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clauses (1)(i) and (1)(ii) shall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this Registration Statement; </w:t>
      </w:r>
    </w:p>
    <w:p>
      <w:pPr>
        <w:pStyle w:val="TextBody"/>
        <w:spacing w:lineRule="auto" w:line="288" w:before="0" w:after="180"/>
        <w:ind w:left="0" w:right="0" w:firstLine="14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spacing w:lineRule="auto" w:line="288" w:before="0" w:after="180"/>
        <w:ind w:left="0" w:right="0" w:firstLine="14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To remove from registration by means of a post-effective amendment any of the securities being registered that remain unsold at the termination of the offering. </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undersigned Registrant hereby undertakes that, for purposes of determining any liability under the Securities Act, each filing of the Registrant’s annual report pursuant to Section 13(a) or Section 15(d) of the Exchange Act </w:t>
      </w:r>
      <w:r>
        <w:rPr>
          <w:rFonts w:ascii="Times New Roman;sans-serif" w:hAnsi="Times New Roman;sans-serif"/>
          <w:b w:val="false"/>
          <w:color w:val="000000"/>
          <w:sz w:val="20"/>
          <w:highlight w:val="white"/>
        </w:rPr>
        <w:t xml:space="preserve">(and, where applicable, each filing of an employee benefit plan’s annual report pursuant to Section 15(d) of the Exchange Act) </w:t>
      </w:r>
      <w:r>
        <w:rPr>
          <w:rFonts w:ascii="Times New Roman;sans-serif" w:hAnsi="Times New Roman;sans-serif"/>
          <w:b w:val="false"/>
          <w:color w:val="000000"/>
          <w:sz w:val="20"/>
        </w:rPr>
        <w:t>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Insofar as indemnification for liabilities arising under the Securities Act may be permitted to directors, officers and controlling persons of the Registrant pursuant to the indemnification provisions summarized in Item 6,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Stamford, State of Connecticut, on the 27th day of September, 2021.</w:t>
      </w:r>
    </w:p>
    <w:tbl>
      <w:tblPr>
        <w:tblW w:w="3281" w:type="dxa"/>
        <w:jc w:val="right"/>
        <w:tblInd w:w="0" w:type="dxa"/>
        <w:tblCellMar>
          <w:top w:w="28" w:type="dxa"/>
          <w:left w:w="28" w:type="dxa"/>
          <w:bottom w:w="28" w:type="dxa"/>
          <w:right w:w="28" w:type="dxa"/>
        </w:tblCellMar>
      </w:tblPr>
      <w:tblGrid>
        <w:gridCol w:w="439"/>
        <w:gridCol w:w="386"/>
        <w:gridCol w:w="386"/>
        <w:gridCol w:w="604"/>
        <w:gridCol w:w="604"/>
        <w:gridCol w:w="862"/>
      </w:tblGrid>
      <w:tr>
        <w:trPr/>
        <w:tc>
          <w:tcPr>
            <w:tcW w:w="43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328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SEMA4 HOLDINGS CORP.</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20"/>
              </w:rPr>
              <w:t xml:space="preserve">/s/ </w:t>
            </w:r>
            <w:r>
              <w:rPr>
                <w:rFonts w:ascii="Times New Roman;sans-serif" w:hAnsi="Times New Roman;sans-serif"/>
                <w:b w:val="false"/>
                <w:color w:val="000000"/>
                <w:sz w:val="20"/>
              </w:rPr>
              <w:t>Eric Schadt</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Eric Schadt, Daniel Clark and Joshua Ruch,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this Registration Statement has been signed by the following persons on behalf of the Registrant in the capacities and on the dates indicated.</w:t>
      </w:r>
      <w:r>
        <w:br w:type="page"/>
      </w:r>
    </w:p>
    <w:p>
      <w:pPr>
        <w:pStyle w:val="TextBody"/>
        <w:spacing w:before="0" w:after="180"/>
        <w:ind w:left="0" w:right="0" w:firstLine="36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v:rect>
            </w:pict>
          </mc:Fallback>
        </mc:AlternateContent>
      </w:r>
    </w:p>
    <w:tbl>
      <w:tblPr>
        <w:tblW w:w="7177" w:type="dxa"/>
        <w:jc w:val="left"/>
        <w:tblInd w:w="0" w:type="dxa"/>
        <w:tblCellMar>
          <w:top w:w="28" w:type="dxa"/>
          <w:left w:w="28" w:type="dxa"/>
          <w:bottom w:w="28" w:type="dxa"/>
          <w:right w:w="28" w:type="dxa"/>
        </w:tblCellMar>
      </w:tblPr>
      <w:tblGrid>
        <w:gridCol w:w="608"/>
        <w:gridCol w:w="534"/>
        <w:gridCol w:w="538"/>
        <w:gridCol w:w="109"/>
        <w:gridCol w:w="109"/>
        <w:gridCol w:w="109"/>
        <w:gridCol w:w="1020"/>
        <w:gridCol w:w="1020"/>
        <w:gridCol w:w="1034"/>
        <w:gridCol w:w="109"/>
        <w:gridCol w:w="109"/>
        <w:gridCol w:w="109"/>
        <w:gridCol w:w="515"/>
        <w:gridCol w:w="515"/>
        <w:gridCol w:w="739"/>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Schadt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Isaac 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Isaac 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Shawn Assad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Shawn Assad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Joshua Ruch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Charney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Charney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Eli D. Casdin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Emily Leproust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Ryan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Pellini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Pellini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 Turner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 Turner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Rachel Sherman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r>
        <w:trPr/>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Rachel Sherman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pPr>
      <w:r>
        <w:rPr>
          <w:rFonts w:ascii="Times New Roman;sans-serif" w:hAnsi="Times New Roman;sans-serif"/>
          <w:b/>
          <w:color w:val="000000"/>
          <w:sz w:val="20"/>
        </w:rPr>
        <w:t>E</w:t>
      </w:r>
      <w:r>
        <w:rPr>
          <w:rFonts w:ascii="Times New Roman;sans-serif" w:hAnsi="Times New Roman;sans-serif"/>
          <w:b/>
          <w:color w:val="000000"/>
          <w:sz w:val="20"/>
        </w:rPr>
        <w:t>xhibit 5.1</w:t>
      </w:r>
      <w:r>
        <w:rPr/>
        <w:drawing>
          <wp:inline distT="0" distB="63500" distL="0" distR="0">
            <wp:extent cx="5943600" cy="32385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42"/>
                    <a:stretch>
                      <a:fillRect/>
                    </a:stretch>
                  </pic:blipFill>
                  <pic:spPr bwMode="auto">
                    <a:xfrm>
                      <a:off x="0" y="0"/>
                      <a:ext cx="5943600" cy="32385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v:rect>
            </w:pict>
          </mc:Fallback>
        </mc:AlternateContent>
      </w:r>
    </w:p>
    <w:p>
      <w:pPr>
        <w:pStyle w:val="TextBody"/>
        <w:spacing w:lineRule="auto" w:line="261"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September 27, 2021 </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Sema4 Holdings Corp.</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333 Ludlow Street, North Tower, 8th Floor </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Stamford, Connecticut </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spacing w:lineRule="auto" w:line="288" w:before="0" w:after="240"/>
        <w:ind w:left="0" w:right="0" w:firstLine="720"/>
        <w:jc w:val="both"/>
        <w:rPr/>
      </w:pPr>
      <w:r>
        <w:rPr>
          <w:rFonts w:ascii="Times New Roman;sans-serif" w:hAnsi="Times New Roman;sans-serif"/>
          <w:b w:val="false"/>
          <w:color w:val="000000"/>
          <w:sz w:val="22"/>
        </w:rPr>
        <w:t>At your request, as your counsel, we have examined the Registration Statement on Form S-8 (the “</w:t>
      </w:r>
      <w:r>
        <w:rPr>
          <w:rFonts w:ascii="Times New Roman;sans-serif" w:hAnsi="Times New Roman;sans-serif"/>
          <w:b/>
          <w:i/>
          <w:color w:val="000000"/>
          <w:sz w:val="22"/>
        </w:rPr>
        <w:t>Registration Statement</w:t>
      </w:r>
      <w:r>
        <w:rPr>
          <w:color w:val="000000"/>
        </w:rPr>
        <w:t>”</w:t>
      </w:r>
      <w:r>
        <w:rPr>
          <w:rFonts w:ascii="Times New Roman;sans-serif" w:hAnsi="Times New Roman;sans-serif"/>
          <w:b w:val="false"/>
          <w:color w:val="000000"/>
          <w:sz w:val="22"/>
        </w:rPr>
        <w:t>) to be filed by Sema4 Holdings Corp.,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with the Securities and Exchange Commission (the “</w:t>
      </w:r>
      <w:r>
        <w:rPr>
          <w:rFonts w:ascii="Times New Roman;sans-serif" w:hAnsi="Times New Roman;sans-serif"/>
          <w:b/>
          <w:i/>
          <w:color w:val="000000"/>
          <w:sz w:val="22"/>
        </w:rPr>
        <w:t>Commission</w:t>
      </w:r>
      <w:r>
        <w:rPr>
          <w:color w:val="000000"/>
        </w:rPr>
        <w:t>”</w:t>
      </w:r>
      <w:r>
        <w:rPr>
          <w:rFonts w:ascii="Times New Roman;sans-serif" w:hAnsi="Times New Roman;sans-serif"/>
          <w:b w:val="false"/>
          <w:color w:val="000000"/>
          <w:sz w:val="22"/>
        </w:rPr>
        <w:t>) on or about September 27, 2021 in connection with the registration under the Securities Act of 1933, as amended (the “</w:t>
      </w:r>
      <w:r>
        <w:rPr>
          <w:rFonts w:ascii="Times New Roman;sans-serif" w:hAnsi="Times New Roman;sans-serif"/>
          <w:b/>
          <w:i/>
          <w:color w:val="000000"/>
          <w:sz w:val="22"/>
        </w:rPr>
        <w:t>Securities Act</w:t>
      </w:r>
      <w:r>
        <w:rPr>
          <w:color w:val="000000"/>
        </w:rPr>
        <w:t>”</w:t>
      </w:r>
      <w:r>
        <w:rPr>
          <w:rFonts w:ascii="Times New Roman;sans-serif" w:hAnsi="Times New Roman;sans-serif"/>
          <w:b w:val="false"/>
          <w:color w:val="000000"/>
          <w:sz w:val="22"/>
        </w:rPr>
        <w:t>), of an aggregate of 68,267,415 shares (the “</w:t>
      </w:r>
      <w:r>
        <w:rPr>
          <w:rFonts w:ascii="Times New Roman;sans-serif" w:hAnsi="Times New Roman;sans-serif"/>
          <w:b/>
          <w:i/>
          <w:color w:val="000000"/>
          <w:sz w:val="22"/>
        </w:rPr>
        <w:t>Company Shares</w:t>
      </w:r>
      <w:r>
        <w:rPr>
          <w:color w:val="000000"/>
        </w:rPr>
        <w:t>”</w:t>
      </w:r>
      <w:r>
        <w:rPr>
          <w:rFonts w:ascii="Times New Roman;sans-serif" w:hAnsi="Times New Roman;sans-serif"/>
          <w:b w:val="false"/>
          <w:color w:val="000000"/>
          <w:sz w:val="22"/>
        </w:rPr>
        <w:t>) of the Company’s Class A Common Stock, $0.0001 par value per share (the “</w:t>
      </w:r>
      <w:r>
        <w:rPr>
          <w:rFonts w:ascii="Times New Roman;sans-serif" w:hAnsi="Times New Roman;sans-serif"/>
          <w:b/>
          <w:i/>
          <w:color w:val="000000"/>
          <w:sz w:val="22"/>
        </w:rPr>
        <w:t>Common Stock</w:t>
      </w:r>
      <w:r>
        <w:rPr>
          <w:color w:val="000000"/>
        </w:rPr>
        <w:t>”</w:t>
      </w:r>
      <w:r>
        <w:rPr>
          <w:rFonts w:ascii="Times New Roman;sans-serif" w:hAnsi="Times New Roman;sans-serif"/>
          <w:b w:val="false"/>
          <w:color w:val="000000"/>
          <w:sz w:val="22"/>
        </w:rPr>
        <w:t>), subject to issuance by the Company (a) upon the exercise or settlement of awards to be granted under the Company’s 2021 Equity Incentive Plan (the “</w:t>
      </w:r>
      <w:r>
        <w:rPr>
          <w:rFonts w:ascii="Times New Roman;sans-serif" w:hAnsi="Times New Roman;sans-serif"/>
          <w:b/>
          <w:i/>
          <w:color w:val="000000"/>
          <w:sz w:val="22"/>
        </w:rPr>
        <w:t>2021 Plan</w:t>
      </w:r>
      <w:r>
        <w:rPr>
          <w:color w:val="000000"/>
        </w:rPr>
        <w:t>”</w:t>
      </w:r>
      <w:r>
        <w:rPr>
          <w:rFonts w:ascii="Times New Roman;sans-serif" w:hAnsi="Times New Roman;sans-serif"/>
          <w:b w:val="false"/>
          <w:color w:val="000000"/>
          <w:sz w:val="22"/>
        </w:rPr>
        <w:t>), (b) pursuant to purchase rights to acquire shares of Common Stock to be granted under the Company’s 2021 Employee Stock Purchase Plan (the “</w:t>
      </w:r>
      <w:r>
        <w:rPr>
          <w:rFonts w:ascii="Times New Roman;sans-serif" w:hAnsi="Times New Roman;sans-serif"/>
          <w:b/>
          <w:i/>
          <w:color w:val="000000"/>
          <w:sz w:val="22"/>
        </w:rPr>
        <w:t>Purchase Plan</w:t>
      </w:r>
      <w:r>
        <w:rPr>
          <w:color w:val="000000"/>
        </w:rPr>
        <w:t>”</w:t>
      </w:r>
      <w:r>
        <w:rPr>
          <w:rFonts w:ascii="Times New Roman;sans-serif" w:hAnsi="Times New Roman;sans-serif"/>
          <w:b w:val="false"/>
          <w:color w:val="000000"/>
          <w:sz w:val="22"/>
        </w:rPr>
        <w:t>), (c) upon</w:t>
      </w:r>
      <w:r>
        <w:rPr>
          <w:color w:val="000000"/>
        </w:rPr>
        <w:t xml:space="preserve"> </w:t>
      </w:r>
      <w:r>
        <w:rPr>
          <w:rFonts w:ascii="Times New Roman;sans-serif" w:hAnsi="Times New Roman;sans-serif"/>
          <w:b w:val="false"/>
          <w:color w:val="000000"/>
          <w:sz w:val="22"/>
        </w:rPr>
        <w:t>the exercise of outstanding stock options granted under the Mount Sinai Genomics, Inc. 2017 Equity Incentive Plan (the “</w:t>
      </w:r>
      <w:r>
        <w:rPr>
          <w:rFonts w:ascii="Times New Roman;sans-serif" w:hAnsi="Times New Roman;sans-serif"/>
          <w:b/>
          <w:i/>
          <w:color w:val="000000"/>
          <w:sz w:val="22"/>
        </w:rPr>
        <w:t>2017 Plan</w:t>
      </w:r>
      <w:r>
        <w:rPr>
          <w:color w:val="000000"/>
        </w:rPr>
        <w:t xml:space="preserve">” </w:t>
      </w:r>
      <w:r>
        <w:rPr>
          <w:rFonts w:ascii="Times New Roman;sans-serif" w:hAnsi="Times New Roman;sans-serif"/>
          <w:b w:val="false"/>
          <w:color w:val="000000"/>
          <w:sz w:val="22"/>
        </w:rPr>
        <w:t>and, together with the 2021 Plan and the Purchase Plan, the “</w:t>
      </w:r>
      <w:r>
        <w:rPr>
          <w:rFonts w:ascii="Times New Roman;sans-serif" w:hAnsi="Times New Roman;sans-serif"/>
          <w:b/>
          <w:i/>
          <w:color w:val="000000"/>
          <w:sz w:val="22"/>
        </w:rPr>
        <w:t>Plans</w:t>
      </w:r>
      <w:r>
        <w:rPr>
          <w:color w:val="000000"/>
        </w:rPr>
        <w:t>”</w:t>
      </w:r>
      <w:r>
        <w:rPr>
          <w:rFonts w:ascii="Times New Roman;sans-serif" w:hAnsi="Times New Roman;sans-serif"/>
          <w:b w:val="false"/>
          <w:color w:val="000000"/>
          <w:sz w:val="22"/>
        </w:rPr>
        <w:t xml:space="preserve">), and (d) </w:t>
      </w:r>
      <w:r>
        <w:rPr>
          <w:rFonts w:ascii="Times New Roman;sans-serif" w:hAnsi="Times New Roman;sans-serif"/>
          <w:b w:val="false"/>
          <w:color w:val="000000"/>
          <w:sz w:val="22"/>
          <w:highlight w:val="white"/>
        </w:rPr>
        <w:t>upon the vesting of certain RSU awards (the “</w:t>
      </w:r>
      <w:r>
        <w:rPr>
          <w:rFonts w:ascii="Times New Roman;sans-serif" w:hAnsi="Times New Roman;sans-serif"/>
          <w:b/>
          <w:i/>
          <w:color w:val="000000"/>
          <w:sz w:val="22"/>
          <w:highlight w:val="white"/>
        </w:rPr>
        <w:t>Earn-Out RSUs</w:t>
      </w:r>
      <w:r>
        <w:rPr>
          <w:color w:val="000000"/>
          <w:highlight w:val="white"/>
        </w:rPr>
        <w:t>”</w:t>
      </w:r>
      <w:r>
        <w:rPr>
          <w:rFonts w:ascii="Times New Roman;sans-serif" w:hAnsi="Times New Roman;sans-serif"/>
          <w:b w:val="false"/>
          <w:color w:val="000000"/>
          <w:sz w:val="22"/>
          <w:highlight w:val="white"/>
        </w:rPr>
        <w:t>) that are expected to be granted to certain former equity award holders of Sema4 (as defined below) and certain employees of the Company pursuant to the terms of t</w:t>
      </w:r>
      <w:r>
        <w:rPr>
          <w:rFonts w:ascii="Times New Roman;sans-serif" w:hAnsi="Times New Roman;sans-serif"/>
          <w:b w:val="false"/>
          <w:color w:val="000000"/>
          <w:sz w:val="22"/>
        </w:rPr>
        <w:t>hat certain Agreement and Plan of Merger, dated as of February 9, 2021 (as amended, the “</w:t>
      </w:r>
      <w:r>
        <w:rPr>
          <w:rFonts w:ascii="Times New Roman;sans-serif" w:hAnsi="Times New Roman;sans-serif"/>
          <w:b/>
          <w:i/>
          <w:color w:val="000000"/>
          <w:sz w:val="22"/>
        </w:rPr>
        <w:t>Merger Agreement</w:t>
      </w:r>
      <w:r>
        <w:rPr>
          <w:color w:val="000000"/>
        </w:rPr>
        <w:t>”</w:t>
      </w:r>
      <w:r>
        <w:rPr>
          <w:rFonts w:ascii="Times New Roman;sans-serif" w:hAnsi="Times New Roman;sans-serif"/>
          <w:b w:val="false"/>
          <w:color w:val="000000"/>
          <w:sz w:val="22"/>
        </w:rPr>
        <w:t>), by and among CM Life Sciences, Inc., S-IV Sub, Inc. and Mount Sinai Genomics, Inc. d/b/a Sema4 (“</w:t>
      </w:r>
      <w:r>
        <w:rPr>
          <w:rFonts w:ascii="Times New Roman;sans-serif" w:hAnsi="Times New Roman;sans-serif"/>
          <w:b/>
          <w:i/>
          <w:color w:val="000000"/>
          <w:sz w:val="22"/>
        </w:rPr>
        <w:t>Sema4</w:t>
      </w:r>
      <w:r>
        <w:rPr>
          <w:color w:val="000000"/>
        </w:rPr>
        <w:t>”</w:t>
      </w:r>
      <w:r>
        <w:rPr>
          <w:rFonts w:ascii="Times New Roman;sans-serif" w:hAnsi="Times New Roman;sans-serif"/>
          <w:b w:val="false"/>
          <w:color w:val="000000"/>
          <w:sz w:val="22"/>
        </w:rPr>
        <w:t>). In addition, the Registration Statement registers the resale of up to 1,847,920 shares (the “</w:t>
      </w:r>
      <w:r>
        <w:rPr>
          <w:rFonts w:ascii="Times New Roman;sans-serif" w:hAnsi="Times New Roman;sans-serif"/>
          <w:b/>
          <w:i/>
          <w:color w:val="000000"/>
          <w:sz w:val="22"/>
        </w:rPr>
        <w:t>Selling Stockholder Shares</w:t>
      </w:r>
      <w:r>
        <w:rPr>
          <w:color w:val="000000"/>
        </w:rPr>
        <w:t xml:space="preserve">” </w:t>
      </w:r>
      <w:r>
        <w:rPr>
          <w:rFonts w:ascii="Times New Roman;sans-serif" w:hAnsi="Times New Roman;sans-serif"/>
          <w:b w:val="false"/>
          <w:color w:val="000000"/>
          <w:sz w:val="22"/>
        </w:rPr>
        <w:t>and, together with the Company Shares, the “</w:t>
      </w:r>
      <w:r>
        <w:rPr>
          <w:rFonts w:ascii="Times New Roman;sans-serif" w:hAnsi="Times New Roman;sans-serif"/>
          <w:b/>
          <w:i/>
          <w:color w:val="000000"/>
          <w:sz w:val="22"/>
        </w:rPr>
        <w:t>Shares</w:t>
      </w:r>
      <w:r>
        <w:rPr>
          <w:color w:val="000000"/>
        </w:rPr>
        <w:t>”</w:t>
      </w:r>
      <w:r>
        <w:rPr>
          <w:rFonts w:ascii="Times New Roman;sans-serif" w:hAnsi="Times New Roman;sans-serif"/>
          <w:b w:val="false"/>
          <w:color w:val="000000"/>
          <w:sz w:val="22"/>
        </w:rPr>
        <w:t>) of Common Stock issuable to certain selling stockholders (the “</w:t>
      </w:r>
      <w:r>
        <w:rPr>
          <w:rFonts w:ascii="Times New Roman;sans-serif" w:hAnsi="Times New Roman;sans-serif"/>
          <w:b/>
          <w:i/>
          <w:color w:val="000000"/>
          <w:sz w:val="22"/>
        </w:rPr>
        <w:t>Selling Stockholders</w:t>
      </w:r>
      <w:r>
        <w:rPr>
          <w:color w:val="000000"/>
        </w:rPr>
        <w:t>”</w:t>
      </w:r>
      <w:r>
        <w:rPr>
          <w:rFonts w:ascii="Times New Roman;sans-serif" w:hAnsi="Times New Roman;sans-serif"/>
          <w:b w:val="false"/>
          <w:color w:val="000000"/>
          <w:sz w:val="22"/>
        </w:rPr>
        <w:t>) listed in in the reoffer prospectus included in the Registration Statement (the “</w:t>
      </w:r>
      <w:r>
        <w:rPr>
          <w:rFonts w:ascii="Times New Roman;sans-serif" w:hAnsi="Times New Roman;sans-serif"/>
          <w:b/>
          <w:i/>
          <w:color w:val="000000"/>
          <w:sz w:val="22"/>
        </w:rPr>
        <w:t>Reoffer Prospectus</w:t>
      </w:r>
      <w:r>
        <w:rPr>
          <w:color w:val="000000"/>
        </w:rPr>
        <w:t>”</w:t>
      </w:r>
      <w:r>
        <w:rPr>
          <w:rFonts w:ascii="Times New Roman;sans-serif" w:hAnsi="Times New Roman;sans-serif"/>
          <w:b w:val="false"/>
          <w:color w:val="000000"/>
          <w:sz w:val="22"/>
        </w:rPr>
        <w:t>) upon the vesting of certain Earn-Out RSUs to be granted to the Selling Stockholders.</w:t>
      </w:r>
      <w:r>
        <w:rPr>
          <w:color w:val="000000"/>
        </w:rPr>
        <w:t xml:space="preserve"> </w:t>
      </w:r>
    </w:p>
    <w:p>
      <w:pPr>
        <w:pStyle w:val="TextBody"/>
        <w:spacing w:lineRule="auto" w:line="288" w:before="0" w:after="240"/>
        <w:ind w:left="0" w:right="0" w:firstLine="720"/>
        <w:jc w:val="both"/>
        <w:rPr/>
      </w:pPr>
      <w:r>
        <w:rPr>
          <w:rFonts w:ascii="Times New Roman;sans-serif" w:hAnsi="Times New Roman;sans-serif"/>
          <w:b w:val="false"/>
          <w:color w:val="000000"/>
          <w:sz w:val="22"/>
        </w:rPr>
        <w:t>At your request we are providing this letter to express our opinion on the matters set forth below in this letter (“</w:t>
      </w:r>
      <w:r>
        <w:rPr>
          <w:rFonts w:ascii="Times New Roman;sans-serif" w:hAnsi="Times New Roman;sans-serif"/>
          <w:b/>
          <w:i/>
          <w:color w:val="000000"/>
          <w:sz w:val="22"/>
        </w:rPr>
        <w:t>our opinion</w:t>
      </w:r>
      <w:r>
        <w:rPr>
          <w:color w:val="000000"/>
        </w:rPr>
        <w:t>”</w:t>
      </w:r>
      <w:r>
        <w:rPr>
          <w:rFonts w:ascii="Times New Roman;sans-serif" w:hAnsi="Times New Roman;sans-serif"/>
          <w:b w:val="false"/>
          <w:color w:val="000000"/>
          <w:sz w:val="22"/>
        </w:rPr>
        <w:t xml:space="preserve">). </w:t>
      </w:r>
    </w:p>
    <w:p>
      <w:pPr>
        <w:pStyle w:val="TextBody"/>
        <w:spacing w:lineRule="auto" w:line="288" w:before="0" w:after="240"/>
        <w:ind w:left="0" w:right="0" w:firstLine="720"/>
        <w:jc w:val="both"/>
        <w:rPr/>
      </w:pPr>
      <w:r>
        <w:rPr>
          <w:rFonts w:ascii="Times New Roman;sans-serif" w:hAnsi="Times New Roman;sans-serif"/>
          <w:b w:val="false"/>
          <w:color w:val="000000"/>
          <w:sz w:val="22"/>
        </w:rPr>
        <w:t>In connection with our opinion, we have examined such matters of fact as we have deemed necessary, which included examination of originals or copies of: (a) the Company’s Amended and Restated Certificate</w:t>
      </w:r>
      <w:r>
        <w:rPr>
          <w:color w:val="000000"/>
        </w:rPr>
        <w:t xml:space="preserve"> </w:t>
      </w:r>
      <w:r>
        <w:rPr>
          <w:rFonts w:ascii="Times New Roman;sans-serif" w:hAnsi="Times New Roman;sans-serif"/>
          <w:b w:val="false"/>
          <w:color w:val="000000"/>
          <w:sz w:val="22"/>
        </w:rPr>
        <w:t>of Incorporation and Restated Bylaws (collectively, the “</w:t>
      </w:r>
      <w:r>
        <w:rPr>
          <w:rFonts w:ascii="Times New Roman;sans-serif" w:hAnsi="Times New Roman;sans-serif"/>
          <w:b/>
          <w:i/>
          <w:color w:val="000000"/>
          <w:sz w:val="22"/>
        </w:rPr>
        <w:t>Charter Documents</w:t>
      </w:r>
      <w:r>
        <w:rPr>
          <w:color w:val="000000"/>
        </w:rPr>
        <w:t>”</w:t>
      </w:r>
      <w:r>
        <w:rPr>
          <w:rFonts w:ascii="Times New Roman;sans-serif" w:hAnsi="Times New Roman;sans-serif"/>
          <w:b w:val="false"/>
          <w:color w:val="000000"/>
          <w:sz w:val="22"/>
        </w:rPr>
        <w:t>), the Plans, the form of Earn-Out RSU, the Registration Statement and the exhibits thereto and the Reoffer Prospectus, (b) certain</w:t>
      </w:r>
      <w:r>
        <w:rPr>
          <w:color w:val="000000"/>
        </w:rPr>
        <w:t xml:space="preserve"> </w:t>
      </w:r>
      <w:r>
        <w:rPr>
          <w:rFonts w:ascii="Times New Roman;sans-serif" w:hAnsi="Times New Roman;sans-serif"/>
          <w:b w:val="false"/>
          <w:color w:val="000000"/>
          <w:sz w:val="22"/>
        </w:rPr>
        <w:t>corporate proceedings</w:t>
      </w:r>
      <w:r>
        <w:rPr>
          <w:color w:val="000000"/>
        </w:rPr>
        <w:t xml:space="preserve"> </w:t>
      </w:r>
      <w:r>
        <w:rPr>
          <w:rFonts w:ascii="Times New Roman;sans-serif" w:hAnsi="Times New Roman;sans-serif"/>
          <w:b w:val="false"/>
          <w:color w:val="000000"/>
          <w:sz w:val="22"/>
        </w:rPr>
        <w:t>of the Company’s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xml:space="preserve">) and the Company’s stockholders relating to adoption or approval of the Company Charter Documents, the Plans, the Earn-Out RSUs, the reservation of the Shares for sale and issuance, the filing of the Registration Statement, the Reoffer Prospectus and the registration of the Shares under the Securities Act and documents regarding the Company’s outstanding and reserved capital stock and other securities, and (c) such other documents as we have deemed advisable, and we have examined such questions of law as we have considered necessary. </w:t>
      </w:r>
    </w:p>
    <w:p>
      <w:pPr>
        <w:pStyle w:val="TextBody"/>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when issued, will be executed by the Company and by officers of the Company duly authorized to do so. In rendering our opinion, we have also relied upon a certificate of good standing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pStyle w:val="TextBody"/>
        <w:spacing w:lineRule="auto" w:line="249" w:before="0" w:after="240"/>
        <w:ind w:left="0" w:right="0" w:firstLine="720"/>
        <w:jc w:val="both"/>
        <w:rPr/>
      </w:pPr>
      <w:r>
        <w:rPr>
          <w:rFonts w:ascii="Times New Roman;sans-serif" w:hAnsi="Times New Roman;sans-serif"/>
          <w:b w:val="false"/>
          <w:color w:val="000000"/>
          <w:sz w:val="22"/>
        </w:rPr>
        <w:t>We render this opinion only with respect to, and we express no opinion herein concerning the application or effect of the laws of any jurisdiction other than, the existing</w:t>
      </w:r>
      <w:r>
        <w:rPr>
          <w:color w:val="000000"/>
        </w:rPr>
        <w:t xml:space="preserve"> </w:t>
      </w:r>
      <w:r>
        <w:rPr>
          <w:rFonts w:ascii="Times New Roman;sans-serif" w:hAnsi="Times New Roman;sans-serif"/>
          <w:b w:val="false"/>
          <w:color w:val="000000"/>
          <w:sz w:val="22"/>
        </w:rPr>
        <w:t>Delaware General Corporation Law now in effect.</w:t>
      </w:r>
      <w:r>
        <w:rPr>
          <w:color w:val="000000"/>
        </w:rPr>
        <w:t xml:space="preserve"> </w:t>
      </w:r>
      <w:r>
        <w:rPr>
          <w:rFonts w:ascii="Times New Roman;sans-serif" w:hAnsi="Times New Roman;sans-serif"/>
          <w:b w:val="false"/>
          <w:color w:val="000000"/>
          <w:sz w:val="22"/>
        </w:rPr>
        <w:t xml:space="preserve">We express no opinion with respect to the securities or “blue sky” laws of any state. </w:t>
      </w:r>
    </w:p>
    <w:p>
      <w:pPr>
        <w:pStyle w:val="TextBody"/>
        <w:spacing w:lineRule="auto" w:line="288" w:before="0" w:after="240"/>
        <w:ind w:left="0" w:right="0" w:firstLine="720"/>
        <w:jc w:val="both"/>
        <w:rPr/>
      </w:pPr>
      <w:r>
        <w:rPr>
          <w:rFonts w:ascii="Times New Roman;sans-serif" w:hAnsi="Times New Roman;sans-serif"/>
          <w:b w:val="false"/>
          <w:color w:val="000000"/>
          <w:sz w:val="22"/>
        </w:rPr>
        <w:t xml:space="preserve">Based upon, and subject to, the foregoing, it is our opinion that the Shares have been duly authorized and, when the Shares that may be issued and sold (a) upon the exercise or settlement of awards to be granted under the 2021 Plan, (b) pursuant to purchase rights to acquire shares of Common Stock to be granted under the Purchase Plan, (c) upon the exercise of outstanding stock options under the 2017 Plan, and (d) </w:t>
      </w:r>
      <w:r>
        <w:rPr>
          <w:rFonts w:ascii="Times New Roman;sans-serif" w:hAnsi="Times New Roman;sans-serif"/>
          <w:b w:val="false"/>
          <w:color w:val="000000"/>
          <w:sz w:val="22"/>
          <w:highlight w:val="white"/>
        </w:rPr>
        <w:t>upon the vesting of Earn-Out RSUs to be granted pursuant to the Merger Agreement (including upon the vesting of Earn-Out RSUs to be granted to the Selling Stockholders pursuant to the Merger Agreement)</w:t>
      </w:r>
      <w:r>
        <w:rPr>
          <w:rFonts w:ascii="Times New Roman;sans-serif" w:hAnsi="Times New Roman;sans-serif"/>
          <w:b w:val="false"/>
          <w:color w:val="000000"/>
          <w:sz w:val="22"/>
        </w:rPr>
        <w:t xml:space="preserve">, have been issued and sold by the Company against the Company’s receipt of payment therefor (in an amount and type of consideration not less than the par value per Share) in accordance with the terms (including, without limitation, payment and authorization provisions) of the applicable Plan or Earn-Out RSU, and have been duly registered on the books of the transfer agent and registrar for the Shares in the name or on behalf of the holders thereof, such Shares will be validly issued, fully paid and non-assessable. </w:t>
      </w:r>
    </w:p>
    <w:p>
      <w:pPr>
        <w:pStyle w:val="TextBody"/>
        <w:spacing w:lineRule="auto" w:line="288" w:before="0" w:after="240"/>
        <w:ind w:left="0" w:right="0" w:firstLine="748"/>
        <w:jc w:val="both"/>
        <w:rPr/>
      </w:pPr>
      <w:r>
        <w:rPr>
          <w:rFonts w:ascii="Times New Roman;sans-serif" w:hAnsi="Times New Roman;sans-serif"/>
          <w:b w:val="false"/>
          <w:color w:val="000000"/>
          <w:sz w:val="22"/>
        </w:rPr>
        <w:t>We consent to the use of this opinion as an exhibit to the Registration Statement and further consent to all references to us, if any, in the Registration Statement, the Reoffer Prospectus and any amendments or supplements thereto. We do not thereby admit that we are within the category of persons whose consent is required under Section 7 of the Securities Act or the rules and regulations of the Commission thereunder</w:t>
      </w:r>
      <w:r>
        <w:rPr>
          <w:rFonts w:ascii="Times New Roman;sans-serif" w:hAnsi="Times New Roman;sans-serif"/>
          <w:b w:val="false"/>
          <w:color w:val="000000"/>
          <w:sz w:val="20"/>
        </w:rPr>
        <w:t xml:space="preserve">. </w:t>
      </w:r>
      <w:r>
        <w:rPr>
          <w:rFonts w:ascii="Times New Roman;sans-serif" w:hAnsi="Times New Roman;sans-serif"/>
          <w:b w:val="false"/>
          <w:color w:val="000000"/>
          <w:sz w:val="22"/>
        </w:rPr>
        <w:t>This opinion is intended solely for use in connection with the issuance, sale and resale of the Shares subject to the Registration Statement and the Reoffer Prospectus, and is not to be relied upon for any other purpose. In providing this letter, we are opining only as to the specific legal issues expressly set forth above, and no opinion shall be inferred as to any other matter or matters.</w:t>
      </w:r>
      <w:r>
        <w:rPr>
          <w:color w:val="000000"/>
        </w:rPr>
        <w:t xml:space="preserve"> </w:t>
      </w:r>
      <w:r>
        <w:rPr>
          <w:rFonts w:ascii="Times New Roman;sans-serif" w:hAnsi="Times New Roman;sans-serif"/>
          <w:b w:val="false"/>
          <w:color w:val="000000"/>
          <w:sz w:val="22"/>
        </w:rPr>
        <w:t>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tbl>
      <w:tblPr>
        <w:tblW w:w="2189" w:type="dxa"/>
        <w:jc w:val="right"/>
        <w:tblInd w:w="0" w:type="dxa"/>
        <w:tblCellMar>
          <w:top w:w="28" w:type="dxa"/>
          <w:left w:w="28" w:type="dxa"/>
          <w:bottom w:w="28" w:type="dxa"/>
          <w:right w:w="28" w:type="dxa"/>
        </w:tblCellMar>
      </w:tblPr>
      <w:tblGrid>
        <w:gridCol w:w="700"/>
        <w:gridCol w:w="614"/>
        <w:gridCol w:w="875"/>
      </w:tblGrid>
      <w:tr>
        <w:trPr/>
        <w:tc>
          <w:tcPr>
            <w:tcW w:w="70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Fenwick &amp; West LLP</w:t>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FENWICK &amp; WEST LLP</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88" w:before="0" w:after="480"/>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this Registration Statement on Form S-8 of our report dated May 4, 2021, relating to the financial statements of CM Life Sciences, Inc. We also consent to the reference to our Firm under the caption “Experts” in the Prospectus.</w:t>
      </w:r>
    </w:p>
    <w:tbl>
      <w:tblPr>
        <w:tblW w:w="2520" w:type="dxa"/>
        <w:jc w:val="left"/>
        <w:tblInd w:w="0" w:type="dxa"/>
        <w:tblCellMar>
          <w:top w:w="28" w:type="dxa"/>
          <w:left w:w="28" w:type="dxa"/>
          <w:bottom w:w="28" w:type="dxa"/>
          <w:right w:w="28" w:type="dxa"/>
        </w:tblCellMar>
      </w:tblPr>
      <w:tblGrid>
        <w:gridCol w:w="805"/>
        <w:gridCol w:w="708"/>
        <w:gridCol w:w="1007"/>
      </w:tblGrid>
      <w:tr>
        <w:trPr/>
        <w:tc>
          <w:tcPr>
            <w:tcW w:w="80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WithumSmith+Brown, PC</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23.2</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reference to our firm under the caption “Experts” in this Registration Statement (Form S-8) pertaining to the Sema4 Holdings Corp. 2021 Equity Incentive Plan, Sema4 Holdings Corp. 2021 Employee Stock Purchase Plan, Mount Sinai Genomics, Inc. d/b/a Sema4 2017 Equity Incentive Plan, and Sema4 Holdings Corp. Earn-out RSU awards and to the use and incorporation by reference therein of our report dated May 6, 2021, with respect to the financial statements of Mount Sinai Genomics, Inc. included in the Current Report on Form 8-K/A of Sema4 Holding Corp., filed with the Securities and Exchange Commission. </w:t>
      </w:r>
    </w:p>
    <w:p>
      <w:pPr>
        <w:pStyle w:val="TextBody"/>
        <w:spacing w:before="0" w:after="0"/>
        <w:rPr/>
      </w:pPr>
      <w:r>
        <w:rPr/>
      </w:r>
    </w:p>
    <w:tbl>
      <w:tblPr>
        <w:tblW w:w="2054" w:type="dxa"/>
        <w:jc w:val="left"/>
        <w:tblInd w:w="0" w:type="dxa"/>
        <w:tblCellMar>
          <w:top w:w="28" w:type="dxa"/>
          <w:left w:w="28" w:type="dxa"/>
          <w:bottom w:w="28" w:type="dxa"/>
          <w:right w:w="28" w:type="dxa"/>
        </w:tblCellMar>
      </w:tblPr>
      <w:tblGrid>
        <w:gridCol w:w="657"/>
        <w:gridCol w:w="576"/>
        <w:gridCol w:w="821"/>
      </w:tblGrid>
      <w:tr>
        <w:trPr/>
        <w:tc>
          <w:tcPr>
            <w:tcW w:w="657"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LLP </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27, 2021</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99.6</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MOUNT SINAI GENOMICS, INC.</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2017 STOCK INCENTIVE PLAN</w:t>
      </w:r>
    </w:p>
    <w:p>
      <w:pPr>
        <w:pStyle w:val="TextBody"/>
        <w:spacing w:lineRule="auto" w:line="288" w:before="0" w:after="240"/>
        <w:ind w:left="0" w:right="0" w:firstLine="720"/>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Purpose of the Plan</w:t>
      </w:r>
      <w:r>
        <w:rPr>
          <w:rFonts w:ascii="Times New Roman;sans-serif" w:hAnsi="Times New Roman;sans-serif"/>
          <w:b w:val="false"/>
          <w:color w:val="000000"/>
          <w:sz w:val="22"/>
        </w:rPr>
        <w:t>. The purpose of this Plan is to advance the interests of the Company and its stockholders by providing incentives to attract, retain and reward persons performing services for the Company as Employees, Non-MSHS Directors and Consultants (as each such term is defined herein) and thereby motivating such persons to contribute to the growth, profitability and success of the Company and its business and, through the Company’s coordination of research and innovation with the Company’s founder the Icahn School of Medicine at Mount Sinai (“ISMMS”), the advancement of the charitable mission of ISMMS. The Company intends that securities issued pursuant to the Plan be exempt from requirements of registration and qualification of such securities pursuant the exemptions afforded by Rule 701 promulgated under the Securities Act and any applicable exemptions under applicable state securities laws, and the Plan shall be so construed. Further, the Company intends that Awards granted pursuant to the Plan be exempt from or comply with Section 409A of the Code (including any amendments or replacements of such section), and the Plan shall be so construed.</w:t>
      </w:r>
    </w:p>
    <w:p>
      <w:pPr>
        <w:pStyle w:val="TextBody"/>
        <w:spacing w:lineRule="auto" w:line="288" w:before="0" w:after="240"/>
        <w:ind w:left="0" w:right="0" w:firstLine="720"/>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The following definitions shall apply as used herein and in the individual Award Agreements except as defined otherwise in an individual Award Agreement. In the event that a term is separately defined in an individual Award Agreement, such definition shall supersede the definition contained in this Section 2.</w:t>
      </w:r>
    </w:p>
    <w:p>
      <w:pPr>
        <w:pStyle w:val="TextBody"/>
        <w:spacing w:lineRule="auto" w:line="288" w:before="0" w:after="240"/>
        <w:ind w:left="0" w:right="0" w:firstLine="1440"/>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Administrator</w:t>
      </w:r>
      <w:r>
        <w:rPr>
          <w:color w:val="000000"/>
        </w:rPr>
        <w:t xml:space="preserve">” </w:t>
      </w:r>
      <w:r>
        <w:rPr>
          <w:rFonts w:ascii="Times New Roman;sans-serif" w:hAnsi="Times New Roman;sans-serif"/>
          <w:b w:val="false"/>
          <w:color w:val="000000"/>
          <w:sz w:val="22"/>
        </w:rPr>
        <w:t>means the Board or any of the Committees appointed to administer the Plan.</w:t>
      </w:r>
    </w:p>
    <w:p>
      <w:pPr>
        <w:pStyle w:val="TextBody"/>
        <w:spacing w:lineRule="auto" w:line="288" w:before="0" w:after="240"/>
        <w:ind w:left="0" w:right="0" w:firstLine="1440"/>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Applicable Laws</w:t>
      </w:r>
      <w:r>
        <w:rPr>
          <w:color w:val="000000"/>
        </w:rPr>
        <w:t xml:space="preserve">” </w:t>
      </w:r>
      <w:r>
        <w:rPr>
          <w:rFonts w:ascii="Times New Roman;sans-serif" w:hAnsi="Times New Roman;sans-serif"/>
          <w:b w:val="false"/>
          <w:color w:val="000000"/>
          <w:sz w:val="22"/>
        </w:rPr>
        <w:t>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pStyle w:val="TextBody"/>
        <w:spacing w:lineRule="auto" w:line="288" w:before="0" w:after="240"/>
        <w:ind w:left="0" w:right="0" w:firstLine="1440"/>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Assumed</w:t>
      </w:r>
      <w:r>
        <w:rPr>
          <w:color w:val="000000"/>
        </w:rPr>
        <w:t xml:space="preserve">” </w:t>
      </w:r>
      <w:r>
        <w:rPr>
          <w:rFonts w:ascii="Times New Roman;sans-serif" w:hAnsi="Times New Roman;sans-serif"/>
          <w:b w:val="false"/>
          <w:color w:val="000000"/>
          <w:sz w:val="22"/>
        </w:rPr>
        <w:t>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price, base amount or purchase price thereof that at least preserves the compensation element of the Award existing at the time of the Corporate Transaction as determined in accordance with the instruments evidencing the agreement to assume the Award.</w:t>
      </w:r>
    </w:p>
    <w:p>
      <w:pPr>
        <w:pStyle w:val="TextBody"/>
        <w:spacing w:lineRule="auto" w:line="288" w:before="0" w:after="240"/>
        <w:ind w:left="0" w:right="0" w:firstLine="1440"/>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Award</w:t>
      </w:r>
      <w:r>
        <w:rPr>
          <w:color w:val="000000"/>
        </w:rPr>
        <w:t xml:space="preserve">” </w:t>
      </w:r>
      <w:r>
        <w:rPr>
          <w:rFonts w:ascii="Times New Roman;sans-serif" w:hAnsi="Times New Roman;sans-serif"/>
          <w:b w:val="false"/>
          <w:color w:val="000000"/>
          <w:sz w:val="22"/>
        </w:rPr>
        <w:t>means the grant of an Option, SAR, Dividend Equivalent Right, Restricted Stock, Restricted Stock Unit or other right or benefit under the Plan.</w:t>
      </w:r>
    </w:p>
    <w:p>
      <w:pPr>
        <w:pStyle w:val="TextBody"/>
        <w:spacing w:lineRule="auto" w:line="288" w:before="0" w:after="240"/>
        <w:ind w:left="0" w:right="0" w:firstLine="1440"/>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Award Agreement</w:t>
      </w:r>
      <w:r>
        <w:rPr>
          <w:color w:val="000000"/>
        </w:rPr>
        <w:t xml:space="preserve">” </w:t>
      </w:r>
      <w:r>
        <w:rPr>
          <w:rFonts w:ascii="Times New Roman;sans-serif" w:hAnsi="Times New Roman;sans-serif"/>
          <w:b w:val="false"/>
          <w:color w:val="000000"/>
          <w:sz w:val="22"/>
        </w:rPr>
        <w:t>means the written agreement evidencing the grant of an Award executed by the Company and the Grantee, including any amendments thereto.</w:t>
      </w:r>
    </w:p>
    <w:p>
      <w:pPr>
        <w:pStyle w:val="TextBody"/>
        <w:spacing w:lineRule="auto" w:line="288" w:before="0" w:after="240"/>
        <w:ind w:left="0" w:right="0" w:firstLine="1440"/>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spacing w:lineRule="auto" w:line="288" w:before="0" w:after="240"/>
        <w:ind w:left="0" w:right="0" w:firstLine="1440"/>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Cause</w:t>
      </w:r>
      <w:r>
        <w:rPr>
          <w:color w:val="000000"/>
        </w:rPr>
        <w:t xml:space="preserve">” </w:t>
      </w:r>
      <w:r>
        <w:rPr>
          <w:rFonts w:ascii="Times New Roman;sans-serif" w:hAnsi="Times New Roman;sans-serif"/>
          <w:b w:val="false"/>
          <w:color w:val="000000"/>
          <w:sz w:val="22"/>
        </w:rPr>
        <w:t xml:space="preserve">means, with respect to the termination by the Company or a Related Entity of the Grantee’s Continuous Service, that such termination is for “Cause” as such term (or word of like import) is expressly defined in a then-effective written employment agreement between the Grantee </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and the Company or such Related Entity, or in the absence of such then-effective written employment agreement and definition, is based on, in the determination of the Administrator, the Grantee’s: (i) material failure to perform, for reasons other than a Disability, Grantee’s employment duties as reasonably assigned to Grantee by the Company or a Related Entity; failure to maintain any personal license or certification necessary for Grantee to perform such duties; or a breach of Grantee’s written employment agreement with the Company or a Related Entity; provided that, following specific written notice of such failure or breach from the Company or a Related Entity, Grantee has not corrected such failure or breach within a reasonable time period, but in no event less than fifteen (15) days following Grantee’s receipt of such notice; (ii) intentional misconduct or a material act of dishonesty in the performance of Grantee’s employment, or a breach by Grantee of a fiduciary duty owed to the Company or a Related Entity; or (iii) the conviction, indictment, or entrance of a plea of guilty or nolo contendere of: (A) a misdemeanor that, in the good faith judgment of the Company or a Related Entity, harms the business interests, reputation or goodwill of the Company or a Related Entity, (B) a crime of moral turpitude, or (C) a felony.</w:t>
      </w:r>
    </w:p>
    <w:p>
      <w:pPr>
        <w:pStyle w:val="TextBody"/>
        <w:spacing w:lineRule="auto" w:line="288" w:before="0" w:after="240"/>
        <w:ind w:left="0" w:right="0" w:firstLine="1440"/>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spacing w:lineRule="auto" w:line="288" w:before="0" w:after="240"/>
        <w:ind w:left="0" w:right="0" w:firstLine="1440"/>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Committee</w:t>
      </w:r>
      <w:r>
        <w:rPr>
          <w:color w:val="000000"/>
        </w:rPr>
        <w:t xml:space="preserve">” </w:t>
      </w:r>
      <w:r>
        <w:rPr>
          <w:rFonts w:ascii="Times New Roman;sans-serif" w:hAnsi="Times New Roman;sans-serif"/>
          <w:b w:val="false"/>
          <w:color w:val="000000"/>
          <w:sz w:val="22"/>
        </w:rPr>
        <w:t>means any committee composed of members of the Board appointed by the Board to administer the Plan.</w:t>
      </w:r>
    </w:p>
    <w:p>
      <w:pPr>
        <w:pStyle w:val="TextBody"/>
        <w:spacing w:lineRule="auto" w:line="288" w:before="0" w:after="240"/>
        <w:ind w:left="0" w:right="0" w:firstLine="1440"/>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Common Stock</w:t>
      </w:r>
      <w:r>
        <w:rPr>
          <w:color w:val="000000"/>
        </w:rPr>
        <w:t xml:space="preserve">” </w:t>
      </w:r>
      <w:r>
        <w:rPr>
          <w:rFonts w:ascii="Times New Roman;sans-serif" w:hAnsi="Times New Roman;sans-serif"/>
          <w:b w:val="false"/>
          <w:color w:val="000000"/>
          <w:sz w:val="22"/>
        </w:rPr>
        <w:t>means the common stock of the Company.</w:t>
      </w:r>
    </w:p>
    <w:p>
      <w:pPr>
        <w:pStyle w:val="TextBody"/>
        <w:spacing w:lineRule="auto" w:line="288" w:before="0" w:after="240"/>
        <w:ind w:left="0" w:right="0" w:firstLine="1440"/>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means Mount Sinai Genomics, Inc., a Delaware corporation, or any successor entity that adopts the Plan in connection with a Corporate Transaction.</w:t>
      </w:r>
    </w:p>
    <w:p>
      <w:pPr>
        <w:pStyle w:val="TextBody"/>
        <w:spacing w:lineRule="auto" w:line="288" w:before="0" w:after="240"/>
        <w:ind w:left="0" w:right="0" w:firstLine="1440"/>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Consultant</w:t>
      </w:r>
      <w:r>
        <w:rPr>
          <w:color w:val="000000"/>
        </w:rPr>
        <w:t xml:space="preserve">” </w:t>
      </w:r>
      <w:r>
        <w:rPr>
          <w:rFonts w:ascii="Times New Roman;sans-serif" w:hAnsi="Times New Roman;sans-serif"/>
          <w:b w:val="false"/>
          <w:color w:val="000000"/>
          <w:sz w:val="22"/>
        </w:rPr>
        <w:t>means any person (other than an Employee or a Director, solely with respect to rendering services in such person’s capacity as a Director) who is engaged by the Company or any Related Entity to render consulting or advisory services to the Company or such Related Entity,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pStyle w:val="TextBody"/>
        <w:spacing w:lineRule="auto" w:line="288" w:before="0" w:after="240"/>
        <w:ind w:left="0" w:right="0" w:firstLine="1440"/>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Continuous Service</w:t>
      </w:r>
      <w:r>
        <w:rPr>
          <w:color w:val="000000"/>
        </w:rPr>
        <w:t xml:space="preserve">” </w:t>
      </w:r>
      <w:r>
        <w:rPr>
          <w:rFonts w:ascii="Times New Roman;sans-serif" w:hAnsi="Times New Roman;sans-serif"/>
          <w:b w:val="false"/>
          <w:color w:val="000000"/>
          <w:sz w:val="22"/>
        </w:rPr>
        <w:t xml:space="preserve">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(in each case, except as otherwise provided in the Award Agreement). An approved leave of absence shall include sick leave, military leave, or any other authorized personal leave. For purposes of each Incentive Stock Option granted under the Plan, if such leave exceeds three (3) months, and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reemployment upon expiration of such leave is not guaranteed by statute or contract, then the Incentive Stock Option shall be treated as a Non-Qualified Stock Option on the day three (3) months and one (1) day following the expiration of such three (3) month period.</w:t>
      </w:r>
    </w:p>
    <w:p>
      <w:pPr>
        <w:pStyle w:val="TextBody"/>
        <w:spacing w:lineRule="auto" w:line="288" w:before="0" w:after="240"/>
        <w:ind w:left="0" w:right="0" w:firstLine="1440"/>
        <w:rPr/>
      </w:pPr>
      <w:r>
        <w:rPr>
          <w:rFonts w:ascii="Times New Roman;sans-serif" w:hAnsi="Times New Roman;sans-serif"/>
          <w:b w:val="false"/>
          <w:color w:val="000000"/>
          <w:sz w:val="22"/>
        </w:rPr>
        <w:t>(n)    “</w:t>
      </w:r>
      <w:r>
        <w:rPr>
          <w:rFonts w:ascii="Times New Roman;sans-serif" w:hAnsi="Times New Roman;sans-serif"/>
          <w:b w:val="false"/>
          <w:color w:val="000000"/>
          <w:sz w:val="22"/>
          <w:u w:val="single"/>
        </w:rPr>
        <w:t>Corporate Transaction</w:t>
      </w:r>
      <w:r>
        <w:rPr>
          <w:color w:val="000000"/>
        </w:rPr>
        <w:t xml:space="preserve">” </w:t>
      </w:r>
      <w:r>
        <w:rPr>
          <w:rFonts w:ascii="Times New Roman;sans-serif" w:hAnsi="Times New Roman;sans-serif"/>
          <w:b w:val="false"/>
          <w:color w:val="000000"/>
          <w:sz w:val="22"/>
        </w:rPr>
        <w:t>means any of the following transactions, provided, however, that the Administrator shall determine under parts (iv) and (v) whether multiple transactions are related, and its determination shall be final, binding and conclusive:</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    a merger or consolidation in which the Company is not the surviving entity, except for a transaction the principal purpose of which is to change the state in which the Company is incorporated;</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    the sale, transfer or other disposition of all or substantially all of the assets of the Company;</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(iii)    the complete liquidation or dissolution of the Company;</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(iv)    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pStyle w:val="TextBody"/>
        <w:spacing w:lineRule="auto" w:line="288" w:before="0" w:after="240"/>
        <w:ind w:left="0" w:right="0" w:firstLine="1440"/>
        <w:rPr/>
      </w:pPr>
      <w:r>
        <w:rPr>
          <w:rFonts w:ascii="Times New Roman;sans-serif" w:hAnsi="Times New Roman;sans-serif"/>
          <w:b w:val="false"/>
          <w:color w:val="000000"/>
          <w:sz w:val="22"/>
        </w:rPr>
        <w:t>(o)    “</w:t>
      </w:r>
      <w:r>
        <w:rPr>
          <w:rFonts w:ascii="Times New Roman;sans-serif" w:hAnsi="Times New Roman;sans-serif"/>
          <w:b w:val="false"/>
          <w:color w:val="000000"/>
          <w:sz w:val="22"/>
          <w:u w:val="single"/>
        </w:rPr>
        <w:t>Covered Employee</w:t>
      </w:r>
      <w:r>
        <w:rPr>
          <w:color w:val="000000"/>
        </w:rPr>
        <w:t xml:space="preserve">” </w:t>
      </w:r>
      <w:r>
        <w:rPr>
          <w:rFonts w:ascii="Times New Roman;sans-serif" w:hAnsi="Times New Roman;sans-serif"/>
          <w:b w:val="false"/>
          <w:color w:val="000000"/>
          <w:sz w:val="22"/>
        </w:rPr>
        <w:t>means an Employee who is a “covered employee” under Section 162(m)(3) of the Code.</w:t>
      </w:r>
    </w:p>
    <w:p>
      <w:pPr>
        <w:pStyle w:val="TextBody"/>
        <w:spacing w:lineRule="auto" w:line="288" w:before="0" w:after="240"/>
        <w:ind w:left="0" w:right="0" w:firstLine="1440"/>
        <w:rPr/>
      </w:pPr>
      <w:r>
        <w:rPr>
          <w:rFonts w:ascii="Times New Roman;sans-serif" w:hAnsi="Times New Roman;sans-serif"/>
          <w:b w:val="false"/>
          <w:color w:val="000000"/>
          <w:sz w:val="22"/>
        </w:rPr>
        <w:t>(p)    “</w:t>
      </w:r>
      <w:r>
        <w:rPr>
          <w:rFonts w:ascii="Times New Roman;sans-serif" w:hAnsi="Times New Roman;sans-serif"/>
          <w:b w:val="false"/>
          <w:color w:val="000000"/>
          <w:sz w:val="22"/>
          <w:u w:val="single"/>
        </w:rPr>
        <w:t>Director</w:t>
      </w:r>
      <w:r>
        <w:rPr>
          <w:color w:val="000000"/>
        </w:rPr>
        <w:t xml:space="preserve">” </w:t>
      </w:r>
      <w:r>
        <w:rPr>
          <w:rFonts w:ascii="Times New Roman;sans-serif" w:hAnsi="Times New Roman;sans-serif"/>
          <w:b w:val="false"/>
          <w:color w:val="000000"/>
          <w:sz w:val="22"/>
        </w:rPr>
        <w:t>means a duly elected and serving member of the Board.</w:t>
      </w:r>
    </w:p>
    <w:p>
      <w:pPr>
        <w:pStyle w:val="TextBody"/>
        <w:spacing w:lineRule="auto" w:line="288" w:before="0" w:after="240"/>
        <w:ind w:left="0" w:right="0" w:firstLine="1440"/>
        <w:rPr/>
      </w:pPr>
      <w:r>
        <w:rPr>
          <w:rFonts w:ascii="Times New Roman;sans-serif" w:hAnsi="Times New Roman;sans-serif"/>
          <w:b w:val="false"/>
          <w:color w:val="000000"/>
          <w:sz w:val="22"/>
        </w:rPr>
        <w:t>(q)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val="false"/>
          <w:color w:val="000000"/>
          <w:sz w:val="22"/>
        </w:rPr>
        <w:t>(r)    “</w:t>
      </w:r>
      <w:r>
        <w:rPr>
          <w:rFonts w:ascii="Times New Roman;sans-serif" w:hAnsi="Times New Roman;sans-serif"/>
          <w:b w:val="false"/>
          <w:color w:val="000000"/>
          <w:sz w:val="22"/>
          <w:u w:val="single"/>
        </w:rPr>
        <w:t>Dividend Equivalent Right</w:t>
      </w:r>
      <w:r>
        <w:rPr>
          <w:color w:val="000000"/>
        </w:rPr>
        <w:t xml:space="preserve">” </w:t>
      </w:r>
      <w:r>
        <w:rPr>
          <w:rFonts w:ascii="Times New Roman;sans-serif" w:hAnsi="Times New Roman;sans-serif"/>
          <w:b w:val="false"/>
          <w:color w:val="000000"/>
          <w:sz w:val="22"/>
        </w:rPr>
        <w:t>means a right entitling the Grantee to compensation measured by dividends paid with respect to Common Stock, provided that no such right may be granted with respect to Options or SARs.</w:t>
      </w:r>
    </w:p>
    <w:p>
      <w:pPr>
        <w:pStyle w:val="TextBody"/>
        <w:spacing w:lineRule="auto" w:line="288" w:before="0" w:after="240"/>
        <w:ind w:left="0" w:right="0" w:firstLine="1440"/>
        <w:rPr/>
      </w:pPr>
      <w:r>
        <w:rPr>
          <w:rFonts w:ascii="Times New Roman;sans-serif" w:hAnsi="Times New Roman;sans-serif"/>
          <w:b w:val="false"/>
          <w:color w:val="000000"/>
          <w:sz w:val="22"/>
        </w:rPr>
        <w:t>(s)    “</w:t>
      </w:r>
      <w:r>
        <w:rPr>
          <w:rFonts w:ascii="Times New Roman;sans-serif" w:hAnsi="Times New Roman;sans-serif"/>
          <w:b w:val="false"/>
          <w:color w:val="000000"/>
          <w:sz w:val="22"/>
          <w:u w:val="single"/>
        </w:rPr>
        <w:t>Employee</w:t>
      </w:r>
      <w:r>
        <w:rPr>
          <w:color w:val="000000"/>
        </w:rPr>
        <w:t xml:space="preserve">” </w:t>
      </w:r>
      <w:r>
        <w:rPr>
          <w:rFonts w:ascii="Times New Roman;sans-serif" w:hAnsi="Times New Roman;sans-serif"/>
          <w:b w:val="false"/>
          <w:color w:val="000000"/>
          <w:sz w:val="22"/>
        </w:rPr>
        <w:t>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pStyle w:val="TextBody"/>
        <w:spacing w:lineRule="auto" w:line="288" w:before="0" w:after="240"/>
        <w:ind w:left="0" w:right="0" w:firstLine="1440"/>
        <w:rPr/>
      </w:pPr>
      <w:r>
        <w:rPr>
          <w:rFonts w:ascii="Times New Roman;sans-serif" w:hAnsi="Times New Roman;sans-serif"/>
          <w:b w:val="false"/>
          <w:color w:val="000000"/>
          <w:sz w:val="22"/>
        </w:rPr>
        <w:t>(t)    “</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means the Securities Exchange Act of 1934, as amended.</w:t>
      </w:r>
    </w:p>
    <w:p>
      <w:pPr>
        <w:pStyle w:val="TextBody"/>
        <w:spacing w:lineRule="auto" w:line="288" w:before="0" w:after="240"/>
        <w:ind w:left="0" w:right="0" w:firstLine="1440"/>
        <w:rPr/>
      </w:pPr>
      <w:r>
        <w:rPr>
          <w:rFonts w:ascii="Times New Roman;sans-serif" w:hAnsi="Times New Roman;sans-serif"/>
          <w:b w:val="false"/>
          <w:color w:val="000000"/>
          <w:sz w:val="22"/>
        </w:rPr>
        <w:t>(u)    “</w:t>
      </w:r>
      <w:r>
        <w:rPr>
          <w:rFonts w:ascii="Times New Roman;sans-serif" w:hAnsi="Times New Roman;sans-serif"/>
          <w:b w:val="false"/>
          <w:color w:val="000000"/>
          <w:sz w:val="22"/>
          <w:u w:val="single"/>
        </w:rPr>
        <w:t>Fair Market Value</w:t>
      </w:r>
      <w:r>
        <w:rPr>
          <w:color w:val="000000"/>
        </w:rPr>
        <w:t xml:space="preserve">” </w:t>
      </w:r>
      <w:r>
        <w:rPr>
          <w:rFonts w:ascii="Times New Roman;sans-serif" w:hAnsi="Times New Roman;sans-serif"/>
          <w:b w:val="false"/>
          <w:color w:val="000000"/>
          <w:sz w:val="22"/>
        </w:rPr>
        <w:t>means, as of any date, the value of Common Stock determined as follows:</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    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    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(iii)    In the absence of an established market for the Common Stock of the type described in (i) and (ii), above, the Fair Market Value thereof shall be determined by the Administrator in good faith, and in a manner consistent with Applicable Laws.</w:t>
      </w:r>
    </w:p>
    <w:p>
      <w:pPr>
        <w:pStyle w:val="TextBody"/>
        <w:spacing w:lineRule="auto" w:line="288" w:before="0" w:after="240"/>
        <w:ind w:left="0" w:right="0" w:firstLine="1440"/>
        <w:rPr/>
      </w:pPr>
      <w:r>
        <w:rPr>
          <w:rFonts w:ascii="Times New Roman;sans-serif" w:hAnsi="Times New Roman;sans-serif"/>
          <w:b w:val="false"/>
          <w:color w:val="000000"/>
          <w:sz w:val="22"/>
        </w:rPr>
        <w:t>(v)    “</w:t>
      </w:r>
      <w:r>
        <w:rPr>
          <w:rFonts w:ascii="Times New Roman;sans-serif" w:hAnsi="Times New Roman;sans-serif"/>
          <w:b w:val="false"/>
          <w:color w:val="000000"/>
          <w:sz w:val="22"/>
          <w:u w:val="single"/>
        </w:rPr>
        <w:t>Grantee</w:t>
      </w:r>
      <w:r>
        <w:rPr>
          <w:color w:val="000000"/>
        </w:rPr>
        <w:t xml:space="preserve">” </w:t>
      </w:r>
      <w:r>
        <w:rPr>
          <w:rFonts w:ascii="Times New Roman;sans-serif" w:hAnsi="Times New Roman;sans-serif"/>
          <w:b w:val="false"/>
          <w:color w:val="000000"/>
          <w:sz w:val="22"/>
        </w:rPr>
        <w:t>means an Employee, Non-MSHS Director or Consultant who receives an Award under the Plan.</w:t>
      </w:r>
    </w:p>
    <w:p>
      <w:pPr>
        <w:pStyle w:val="TextBody"/>
        <w:spacing w:lineRule="auto" w:line="288" w:before="0" w:after="240"/>
        <w:ind w:left="0" w:right="0" w:firstLine="1440"/>
        <w:rPr/>
      </w:pPr>
      <w:r>
        <w:rPr>
          <w:rFonts w:ascii="Times New Roman;sans-serif" w:hAnsi="Times New Roman;sans-serif"/>
          <w:b w:val="false"/>
          <w:color w:val="000000"/>
          <w:sz w:val="22"/>
        </w:rPr>
        <w:t>(w)    “</w:t>
      </w:r>
      <w:r>
        <w:rPr>
          <w:rFonts w:ascii="Times New Roman;sans-serif" w:hAnsi="Times New Roman;sans-serif"/>
          <w:b w:val="false"/>
          <w:color w:val="000000"/>
          <w:sz w:val="22"/>
          <w:u w:val="single"/>
        </w:rPr>
        <w:t>Immediate Family</w:t>
      </w:r>
      <w:r>
        <w:rPr>
          <w:color w:val="000000"/>
        </w:rPr>
        <w:t xml:space="preserve">” </w:t>
      </w:r>
      <w:r>
        <w:rPr>
          <w:rFonts w:ascii="Times New Roman;sans-serif" w:hAnsi="Times New Roman;sans-serif"/>
          <w:b w:val="false"/>
          <w:color w:val="000000"/>
          <w:sz w:val="22"/>
        </w:rPr>
        <w:t>means any child, stepchild, grandchild, parent, stepparent, grandparent, spouse, former spouse, sibling, niece, nephew, mother-in-law, father-in- law, son-in law, daughter-in-law, brother-in-law, or sister-in-law, including adoptive relationships, any person sharing the Grantee’s household (other than a tenant or employee),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pStyle w:val="TextBody"/>
        <w:spacing w:lineRule="auto" w:line="288" w:before="0" w:after="240"/>
        <w:ind w:left="0" w:right="0" w:firstLine="1440"/>
        <w:rPr/>
      </w:pPr>
      <w:r>
        <w:rPr>
          <w:rFonts w:ascii="Times New Roman;sans-serif" w:hAnsi="Times New Roman;sans-serif"/>
          <w:b w:val="false"/>
          <w:color w:val="000000"/>
          <w:sz w:val="22"/>
        </w:rPr>
        <w:t>(x)    “</w:t>
      </w:r>
      <w:r>
        <w:rPr>
          <w:rFonts w:ascii="Times New Roman;sans-serif" w:hAnsi="Times New Roman;sans-serif"/>
          <w:b w:val="false"/>
          <w:color w:val="000000"/>
          <w:sz w:val="22"/>
          <w:u w:val="single"/>
        </w:rPr>
        <w:t>Incentive Stock Option</w:t>
      </w:r>
      <w:r>
        <w:rPr>
          <w:color w:val="000000"/>
        </w:rPr>
        <w:t xml:space="preserve">” </w:t>
      </w:r>
      <w:r>
        <w:rPr>
          <w:rFonts w:ascii="Times New Roman;sans-serif" w:hAnsi="Times New Roman;sans-serif"/>
          <w:b w:val="false"/>
          <w:color w:val="000000"/>
          <w:sz w:val="22"/>
        </w:rPr>
        <w:t>means an Option intended to qualify as an incentive stock option within the meaning of Section 422 of the Code.</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val="false"/>
          <w:color w:val="000000"/>
          <w:sz w:val="22"/>
        </w:rPr>
        <w:t>(y)    “</w:t>
      </w:r>
      <w:r>
        <w:rPr>
          <w:rFonts w:ascii="Times New Roman;sans-serif" w:hAnsi="Times New Roman;sans-serif"/>
          <w:b w:val="false"/>
          <w:color w:val="000000"/>
          <w:sz w:val="22"/>
          <w:u w:val="single"/>
        </w:rPr>
        <w:t>Non-MSHS Director</w:t>
      </w:r>
      <w:r>
        <w:rPr>
          <w:color w:val="000000"/>
        </w:rPr>
        <w:t xml:space="preserve">” </w:t>
      </w:r>
      <w:r>
        <w:rPr>
          <w:rFonts w:ascii="Times New Roman;sans-serif" w:hAnsi="Times New Roman;sans-serif"/>
          <w:b w:val="false"/>
          <w:color w:val="000000"/>
          <w:sz w:val="22"/>
        </w:rPr>
        <w:t>means a Director who does not hold any position as a director, trustee or officer of Mount Sinai Health System or any entity (other than the Company) of which Mount Sinai Health System is directly or indirectly a Parent.</w:t>
      </w:r>
    </w:p>
    <w:p>
      <w:pPr>
        <w:pStyle w:val="TextBody"/>
        <w:spacing w:lineRule="auto" w:line="288" w:before="0" w:after="240"/>
        <w:ind w:left="0" w:right="0" w:firstLine="1440"/>
        <w:rPr/>
      </w:pPr>
      <w:r>
        <w:rPr>
          <w:rFonts w:ascii="Times New Roman;sans-serif" w:hAnsi="Times New Roman;sans-serif"/>
          <w:b w:val="false"/>
          <w:color w:val="000000"/>
          <w:sz w:val="22"/>
        </w:rPr>
        <w:t>(z)    “</w:t>
      </w:r>
      <w:r>
        <w:rPr>
          <w:rFonts w:ascii="Times New Roman;sans-serif" w:hAnsi="Times New Roman;sans-serif"/>
          <w:b w:val="false"/>
          <w:color w:val="000000"/>
          <w:sz w:val="22"/>
          <w:u w:val="single"/>
        </w:rPr>
        <w:t>Non-Qualified Stock Option</w:t>
      </w:r>
      <w:r>
        <w:rPr>
          <w:color w:val="000000"/>
        </w:rPr>
        <w:t xml:space="preserve">” </w:t>
      </w:r>
      <w:r>
        <w:rPr>
          <w:rFonts w:ascii="Times New Roman;sans-serif" w:hAnsi="Times New Roman;sans-serif"/>
          <w:b w:val="false"/>
          <w:color w:val="000000"/>
          <w:sz w:val="22"/>
        </w:rPr>
        <w:t>means an Option not intended to qualify as an Incentive Stock Option.</w:t>
      </w:r>
    </w:p>
    <w:p>
      <w:pPr>
        <w:pStyle w:val="TextBody"/>
        <w:spacing w:lineRule="auto" w:line="288" w:before="0" w:after="240"/>
        <w:ind w:left="0" w:right="0" w:firstLine="1440"/>
        <w:rPr/>
      </w:pPr>
      <w:r>
        <w:rPr>
          <w:rFonts w:ascii="Times New Roman;sans-serif" w:hAnsi="Times New Roman;sans-serif"/>
          <w:b w:val="false"/>
          <w:color w:val="000000"/>
          <w:sz w:val="22"/>
        </w:rPr>
        <w:t>(aa)    “</w:t>
      </w:r>
      <w:r>
        <w:rPr>
          <w:rFonts w:ascii="Times New Roman;sans-serif" w:hAnsi="Times New Roman;sans-serif"/>
          <w:b w:val="false"/>
          <w:color w:val="000000"/>
          <w:sz w:val="22"/>
          <w:u w:val="single"/>
        </w:rPr>
        <w:t>Officer</w:t>
      </w:r>
      <w:r>
        <w:rPr>
          <w:color w:val="000000"/>
        </w:rPr>
        <w:t xml:space="preserve">” </w:t>
      </w:r>
      <w:r>
        <w:rPr>
          <w:rFonts w:ascii="Times New Roman;sans-serif" w:hAnsi="Times New Roman;sans-serif"/>
          <w:b w:val="false"/>
          <w:color w:val="000000"/>
          <w:sz w:val="22"/>
        </w:rPr>
        <w:t>means a person who is an officer of the Company or a Related Entity within the meaning of Section 16 of the Exchange Act and the rules and regulations promulgated thereunder.</w:t>
      </w:r>
    </w:p>
    <w:p>
      <w:pPr>
        <w:pStyle w:val="TextBody"/>
        <w:spacing w:lineRule="auto" w:line="288" w:before="0" w:after="240"/>
        <w:ind w:left="0" w:right="0" w:firstLine="1440"/>
        <w:rPr/>
      </w:pPr>
      <w:r>
        <w:rPr>
          <w:rFonts w:ascii="Times New Roman;sans-serif" w:hAnsi="Times New Roman;sans-serif"/>
          <w:b w:val="false"/>
          <w:color w:val="000000"/>
          <w:sz w:val="22"/>
        </w:rPr>
        <w:t>(bb)    “</w:t>
      </w:r>
      <w:r>
        <w:rPr>
          <w:rFonts w:ascii="Times New Roman;sans-serif" w:hAnsi="Times New Roman;sans-serif"/>
          <w:b w:val="false"/>
          <w:color w:val="000000"/>
          <w:sz w:val="22"/>
          <w:u w:val="single"/>
        </w:rPr>
        <w:t>Option</w:t>
      </w:r>
      <w:r>
        <w:rPr>
          <w:color w:val="000000"/>
        </w:rPr>
        <w:t xml:space="preserve">” </w:t>
      </w:r>
      <w:r>
        <w:rPr>
          <w:rFonts w:ascii="Times New Roman;sans-serif" w:hAnsi="Times New Roman;sans-serif"/>
          <w:b w:val="false"/>
          <w:color w:val="000000"/>
          <w:sz w:val="22"/>
        </w:rPr>
        <w:t>means an option to purchase Shares pursuant to an Award Agreement granted under the Plan.</w:t>
      </w:r>
    </w:p>
    <w:p>
      <w:pPr>
        <w:pStyle w:val="TextBody"/>
        <w:spacing w:lineRule="auto" w:line="288" w:before="0" w:after="240"/>
        <w:ind w:left="0" w:right="0" w:firstLine="1440"/>
        <w:rPr/>
      </w:pPr>
      <w:r>
        <w:rPr>
          <w:rFonts w:ascii="Times New Roman;sans-serif" w:hAnsi="Times New Roman;sans-serif"/>
          <w:b w:val="false"/>
          <w:color w:val="000000"/>
          <w:sz w:val="22"/>
        </w:rPr>
        <w:t>(cc)    “</w:t>
      </w:r>
      <w:r>
        <w:rPr>
          <w:rFonts w:ascii="Times New Roman;sans-serif" w:hAnsi="Times New Roman;sans-serif"/>
          <w:b w:val="false"/>
          <w:color w:val="000000"/>
          <w:sz w:val="22"/>
          <w:u w:val="single"/>
        </w:rPr>
        <w:t>Parent</w:t>
      </w:r>
      <w:r>
        <w:rPr>
          <w:color w:val="000000"/>
        </w:rPr>
        <w:t xml:space="preserve">” </w:t>
      </w:r>
      <w:r>
        <w:rPr>
          <w:rFonts w:ascii="Times New Roman;sans-serif" w:hAnsi="Times New Roman;sans-serif"/>
          <w:b w:val="false"/>
          <w:color w:val="000000"/>
          <w:sz w:val="22"/>
        </w:rPr>
        <w:t>means a “parent corporation”, whether now or hereafter existing, as defined in Section 424(e) of the Code.</w:t>
      </w:r>
    </w:p>
    <w:p>
      <w:pPr>
        <w:pStyle w:val="TextBody"/>
        <w:spacing w:lineRule="auto" w:line="288" w:before="0" w:after="240"/>
        <w:ind w:left="0" w:right="0" w:firstLine="1440"/>
        <w:rPr/>
      </w:pPr>
      <w:r>
        <w:rPr>
          <w:rFonts w:ascii="Times New Roman;sans-serif" w:hAnsi="Times New Roman;sans-serif"/>
          <w:b w:val="false"/>
          <w:color w:val="000000"/>
          <w:sz w:val="22"/>
        </w:rPr>
        <w:t>(dd)     “</w:t>
      </w:r>
      <w:r>
        <w:rPr>
          <w:rFonts w:ascii="Times New Roman;sans-serif" w:hAnsi="Times New Roman;sans-serif"/>
          <w:b w:val="false"/>
          <w:color w:val="000000"/>
          <w:sz w:val="22"/>
          <w:u w:val="single"/>
        </w:rPr>
        <w:t>Performance-Based Compensation</w:t>
      </w:r>
      <w:r>
        <w:rPr>
          <w:color w:val="000000"/>
        </w:rPr>
        <w:t xml:space="preserve">” </w:t>
      </w:r>
      <w:r>
        <w:rPr>
          <w:rFonts w:ascii="Times New Roman;sans-serif" w:hAnsi="Times New Roman;sans-serif"/>
          <w:b w:val="false"/>
          <w:color w:val="000000"/>
          <w:sz w:val="22"/>
        </w:rPr>
        <w:t>means compensation qualifying as “performance-based compensation” under Section 162(m) of the Code.</w:t>
      </w:r>
    </w:p>
    <w:p>
      <w:pPr>
        <w:pStyle w:val="TextBody"/>
        <w:spacing w:lineRule="auto" w:line="288" w:before="0" w:after="240"/>
        <w:ind w:left="0" w:right="0" w:firstLine="1440"/>
        <w:rPr/>
      </w:pPr>
      <w:r>
        <w:rPr>
          <w:rFonts w:ascii="Times New Roman;sans-serif" w:hAnsi="Times New Roman;sans-serif"/>
          <w:b w:val="false"/>
          <w:color w:val="000000"/>
          <w:sz w:val="22"/>
        </w:rPr>
        <w:t>(ee)     “</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this Mount Sinai Genomics, Inc. 2017 Stock Incentive Plan, as may be amended from time to time.</w:t>
      </w:r>
    </w:p>
    <w:p>
      <w:pPr>
        <w:pStyle w:val="TextBody"/>
        <w:spacing w:lineRule="auto" w:line="288" w:before="0" w:after="240"/>
        <w:ind w:left="0" w:right="0" w:firstLine="1440"/>
        <w:rPr/>
      </w:pPr>
      <w:r>
        <w:rPr>
          <w:rFonts w:ascii="Times New Roman;sans-serif" w:hAnsi="Times New Roman;sans-serif"/>
          <w:b w:val="false"/>
          <w:color w:val="000000"/>
          <w:sz w:val="22"/>
        </w:rPr>
        <w:t>(ff)     “</w:t>
      </w:r>
      <w:r>
        <w:rPr>
          <w:rFonts w:ascii="Times New Roman;sans-serif" w:hAnsi="Times New Roman;sans-serif"/>
          <w:b w:val="false"/>
          <w:color w:val="000000"/>
          <w:sz w:val="22"/>
          <w:u w:val="single"/>
        </w:rPr>
        <w:t>Post-Termination Exercise Period</w:t>
      </w:r>
      <w:r>
        <w:rPr>
          <w:color w:val="000000"/>
        </w:rPr>
        <w:t xml:space="preserve">” </w:t>
      </w:r>
      <w:r>
        <w:rPr>
          <w:rFonts w:ascii="Times New Roman;sans-serif" w:hAnsi="Times New Roman;sans-serif"/>
          <w:b w:val="false"/>
          <w:color w:val="000000"/>
          <w:sz w:val="22"/>
        </w:rPr>
        <w:t>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pStyle w:val="TextBody"/>
        <w:spacing w:lineRule="auto" w:line="288" w:before="0" w:after="240"/>
        <w:ind w:left="0" w:right="0" w:firstLine="1440"/>
        <w:rPr/>
      </w:pPr>
      <w:r>
        <w:rPr>
          <w:rFonts w:ascii="Times New Roman;sans-serif" w:hAnsi="Times New Roman;sans-serif"/>
          <w:b w:val="false"/>
          <w:color w:val="000000"/>
          <w:sz w:val="22"/>
        </w:rPr>
        <w:t>(gg)     “</w:t>
      </w:r>
      <w:r>
        <w:rPr>
          <w:rFonts w:ascii="Times New Roman;sans-serif" w:hAnsi="Times New Roman;sans-serif"/>
          <w:b w:val="false"/>
          <w:color w:val="000000"/>
          <w:sz w:val="22"/>
          <w:u w:val="single"/>
        </w:rPr>
        <w:t>Registration Date</w:t>
      </w:r>
      <w:r>
        <w:rPr>
          <w:color w:val="000000"/>
        </w:rPr>
        <w:t xml:space="preserve">” </w:t>
      </w:r>
      <w:r>
        <w:rPr>
          <w:rFonts w:ascii="Times New Roman;sans-serif" w:hAnsi="Times New Roman;sans-serif"/>
          <w:b w:val="false"/>
          <w:color w:val="000000"/>
          <w:sz w:val="22"/>
        </w:rPr>
        <w:t>means the first to occur of: (i) the closing of the first sale to the general public pursuant to a registration statement filed with and declared effective by the Securities and Exchange Commission under the Securities Act of (A) the Common Stock or (B) the same class of securities of a successor corporation (or its Parent) issued pursuant to a Corporate Transaction in exchange for or in substitution of the Common Stock; and (ii) in the event of a Corporate Transaction, the date of the consummation of the Corporate Transaction if the same class of securities of the successor corporation (or its Parent) issuable in such Corporate Transaction shall have been sold to the general public pursuant to a registration statement filed with and declared effective by the Securities and Exchange Commission under the Securities Act on or prior to the date of consummation of such Corporate Transaction.</w:t>
      </w:r>
    </w:p>
    <w:p>
      <w:pPr>
        <w:pStyle w:val="TextBody"/>
        <w:spacing w:lineRule="auto" w:line="288" w:before="0" w:after="240"/>
        <w:ind w:left="0" w:right="0" w:firstLine="1440"/>
        <w:rPr/>
      </w:pPr>
      <w:r>
        <w:rPr>
          <w:rFonts w:ascii="Times New Roman;sans-serif" w:hAnsi="Times New Roman;sans-serif"/>
          <w:b w:val="false"/>
          <w:color w:val="000000"/>
          <w:sz w:val="22"/>
        </w:rPr>
        <w:t>(hh)    “</w:t>
      </w:r>
      <w:r>
        <w:rPr>
          <w:rFonts w:ascii="Times New Roman;sans-serif" w:hAnsi="Times New Roman;sans-serif"/>
          <w:b w:val="false"/>
          <w:color w:val="000000"/>
          <w:sz w:val="22"/>
          <w:u w:val="single"/>
        </w:rPr>
        <w:t>Related Entity</w:t>
      </w:r>
      <w:r>
        <w:rPr>
          <w:color w:val="000000"/>
        </w:rPr>
        <w:t xml:space="preserve">” </w:t>
      </w:r>
      <w:r>
        <w:rPr>
          <w:rFonts w:ascii="Times New Roman;sans-serif" w:hAnsi="Times New Roman;sans-serif"/>
          <w:b w:val="false"/>
          <w:color w:val="000000"/>
          <w:sz w:val="22"/>
        </w:rPr>
        <w:t>means any Parent or Subsidiary of the Company.</w:t>
      </w:r>
    </w:p>
    <w:p>
      <w:pPr>
        <w:pStyle w:val="TextBody"/>
        <w:spacing w:lineRule="auto" w:line="288" w:before="0" w:after="240"/>
        <w:ind w:left="0" w:right="0" w:firstLine="1440"/>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Restricted Stock</w:t>
      </w:r>
      <w:r>
        <w:rPr>
          <w:color w:val="000000"/>
        </w:rPr>
        <w:t xml:space="preserve">” </w:t>
      </w:r>
      <w:r>
        <w:rPr>
          <w:rFonts w:ascii="Times New Roman;sans-serif" w:hAnsi="Times New Roman;sans-serif"/>
          <w:b w:val="false"/>
          <w:color w:val="000000"/>
          <w:sz w:val="22"/>
        </w:rPr>
        <w:t>means Shares issued under the Plan to the Grantee for such consideration, if any, and subject to such restrictions on transfer, rights of first refusal, repurchase provisions, forfeiture provisions, and other terms and conditions as established by the Administrator.</w:t>
      </w:r>
    </w:p>
    <w:p>
      <w:pPr>
        <w:pStyle w:val="TextBody"/>
        <w:spacing w:lineRule="auto" w:line="288" w:before="0" w:after="240"/>
        <w:ind w:left="0" w:right="0" w:firstLine="1440"/>
        <w:rPr/>
      </w:pPr>
      <w:r>
        <w:rPr>
          <w:rFonts w:ascii="Times New Roman;sans-serif" w:hAnsi="Times New Roman;sans-serif"/>
          <w:b w:val="false"/>
          <w:color w:val="000000"/>
          <w:sz w:val="22"/>
        </w:rPr>
        <w:t>(jj)    “</w:t>
      </w:r>
      <w:r>
        <w:rPr>
          <w:rFonts w:ascii="Times New Roman;sans-serif" w:hAnsi="Times New Roman;sans-serif"/>
          <w:b w:val="false"/>
          <w:color w:val="000000"/>
          <w:sz w:val="22"/>
          <w:u w:val="single"/>
        </w:rPr>
        <w:t>Restricted Stock Units</w:t>
      </w:r>
      <w:r>
        <w:rPr>
          <w:color w:val="000000"/>
        </w:rPr>
        <w:t xml:space="preserve">” </w:t>
      </w:r>
      <w:r>
        <w:rPr>
          <w:rFonts w:ascii="Times New Roman;sans-serif" w:hAnsi="Times New Roman;sans-serif"/>
          <w:b w:val="false"/>
          <w:color w:val="000000"/>
          <w:sz w:val="22"/>
        </w:rPr>
        <w:t>means an Award that may be earned in whole or in part upon the passage of time or the attainment of performance criteria established by the Administrator and that may be settled for cash, Shares or other securities or a combination of cash, Shares or other securities as established by the Administrator.</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val="false"/>
          <w:color w:val="000000"/>
          <w:sz w:val="22"/>
        </w:rPr>
        <w:t>(kk)    “</w:t>
      </w:r>
      <w:r>
        <w:rPr>
          <w:rFonts w:ascii="Times New Roman;sans-serif" w:hAnsi="Times New Roman;sans-serif"/>
          <w:b w:val="false"/>
          <w:color w:val="000000"/>
          <w:sz w:val="22"/>
          <w:u w:val="single"/>
        </w:rPr>
        <w:t>Rule 16b-3</w:t>
      </w:r>
      <w:r>
        <w:rPr>
          <w:color w:val="000000"/>
        </w:rPr>
        <w:t xml:space="preserve">” </w:t>
      </w:r>
      <w:r>
        <w:rPr>
          <w:rFonts w:ascii="Times New Roman;sans-serif" w:hAnsi="Times New Roman;sans-serif"/>
          <w:b w:val="false"/>
          <w:color w:val="000000"/>
          <w:sz w:val="22"/>
        </w:rPr>
        <w:t>means Rule 16b-3 promulgated under the Exchange Act or any successor thereto.</w:t>
      </w:r>
    </w:p>
    <w:p>
      <w:pPr>
        <w:pStyle w:val="TextBody"/>
        <w:spacing w:lineRule="auto" w:line="288" w:before="0" w:after="240"/>
        <w:ind w:left="0" w:right="0" w:firstLine="1440"/>
        <w:rPr/>
      </w:pPr>
      <w:r>
        <w:rPr>
          <w:rFonts w:ascii="Times New Roman;sans-serif" w:hAnsi="Times New Roman;sans-serif"/>
          <w:b w:val="false"/>
          <w:color w:val="000000"/>
          <w:sz w:val="22"/>
        </w:rPr>
        <w:t>(ll)    “</w:t>
      </w:r>
      <w:r>
        <w:rPr>
          <w:rFonts w:ascii="Times New Roman;sans-serif" w:hAnsi="Times New Roman;sans-serif"/>
          <w:b w:val="false"/>
          <w:color w:val="000000"/>
          <w:sz w:val="22"/>
          <w:u w:val="single"/>
        </w:rPr>
        <w:t>SAR</w:t>
      </w:r>
      <w:r>
        <w:rPr>
          <w:color w:val="000000"/>
        </w:rPr>
        <w:t xml:space="preserve">” </w:t>
      </w:r>
      <w:r>
        <w:rPr>
          <w:rFonts w:ascii="Times New Roman;sans-serif" w:hAnsi="Times New Roman;sans-serif"/>
          <w:b w:val="false"/>
          <w:color w:val="000000"/>
          <w:sz w:val="22"/>
        </w:rPr>
        <w:t>means a stock appreciation right entitling the Grantee to Shares or cash compensation, as established by the Administrator, measured by appreciation in the value of Common Stock.</w:t>
      </w:r>
    </w:p>
    <w:p>
      <w:pPr>
        <w:pStyle w:val="TextBody"/>
        <w:spacing w:lineRule="auto" w:line="288" w:before="0" w:after="240"/>
        <w:ind w:left="0" w:right="0" w:firstLine="1440"/>
        <w:rPr/>
      </w:pPr>
      <w:r>
        <w:rPr>
          <w:rFonts w:ascii="Times New Roman;sans-serif" w:hAnsi="Times New Roman;sans-serif"/>
          <w:b w:val="false"/>
          <w:color w:val="000000"/>
          <w:sz w:val="22"/>
        </w:rPr>
        <w:t>(mm)    “</w:t>
      </w:r>
      <w:r>
        <w:rPr>
          <w:rFonts w:ascii="Times New Roman;sans-serif" w:hAnsi="Times New Roman;sans-serif"/>
          <w:b w:val="false"/>
          <w:color w:val="000000"/>
          <w:sz w:val="22"/>
          <w:u w:val="single"/>
        </w:rPr>
        <w:t>Securities Act</w:t>
      </w:r>
      <w:r>
        <w:rPr>
          <w:color w:val="000000"/>
        </w:rPr>
        <w:t xml:space="preserve">” </w:t>
      </w:r>
      <w:r>
        <w:rPr>
          <w:rFonts w:ascii="Times New Roman;sans-serif" w:hAnsi="Times New Roman;sans-serif"/>
          <w:b w:val="false"/>
          <w:color w:val="000000"/>
          <w:sz w:val="22"/>
        </w:rPr>
        <w:t xml:space="preserve">means the Securities Act of 1933, as amended. </w:t>
      </w:r>
    </w:p>
    <w:p>
      <w:pPr>
        <w:pStyle w:val="TextBody"/>
        <w:spacing w:lineRule="auto" w:line="288" w:before="0" w:after="240"/>
        <w:ind w:left="0" w:right="0" w:firstLine="1440"/>
        <w:rPr/>
      </w:pPr>
      <w:r>
        <w:rPr>
          <w:rFonts w:ascii="Times New Roman;sans-serif" w:hAnsi="Times New Roman;sans-serif"/>
          <w:b w:val="false"/>
          <w:color w:val="000000"/>
          <w:sz w:val="22"/>
        </w:rPr>
        <w:t>(nn)    “</w:t>
      </w:r>
      <w:r>
        <w:rPr>
          <w:rFonts w:ascii="Times New Roman;sans-serif" w:hAnsi="Times New Roman;sans-serif"/>
          <w:b w:val="false"/>
          <w:color w:val="000000"/>
          <w:sz w:val="22"/>
          <w:u w:val="single"/>
        </w:rPr>
        <w:t>Share</w:t>
      </w:r>
      <w:r>
        <w:rPr>
          <w:color w:val="000000"/>
        </w:rPr>
        <w:t xml:space="preserve">” </w:t>
      </w:r>
      <w:r>
        <w:rPr>
          <w:rFonts w:ascii="Times New Roman;sans-serif" w:hAnsi="Times New Roman;sans-serif"/>
          <w:b w:val="false"/>
          <w:color w:val="000000"/>
          <w:sz w:val="22"/>
        </w:rPr>
        <w:t>means a share of the Common Stock.</w:t>
      </w:r>
    </w:p>
    <w:p>
      <w:pPr>
        <w:pStyle w:val="TextBody"/>
        <w:spacing w:lineRule="auto" w:line="288" w:before="0" w:after="240"/>
        <w:ind w:left="0" w:right="0" w:firstLine="1440"/>
        <w:rPr/>
      </w:pPr>
      <w:r>
        <w:rPr>
          <w:rFonts w:ascii="Times New Roman;sans-serif" w:hAnsi="Times New Roman;sans-serif"/>
          <w:b w:val="false"/>
          <w:color w:val="000000"/>
          <w:sz w:val="22"/>
        </w:rPr>
        <w:t>(oo)    “</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a “subsidiary corporation”, whether now or hereafter existing, as defined in Section 424(f) of the Code.</w:t>
      </w:r>
    </w:p>
    <w:p>
      <w:pPr>
        <w:pStyle w:val="TextBody"/>
        <w:spacing w:lineRule="auto" w:line="288" w:before="0" w:after="240"/>
        <w:ind w:left="0" w:right="0" w:firstLine="720"/>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Stock Subject to the Plan</w:t>
      </w:r>
      <w:r>
        <w:rPr>
          <w:rFonts w:ascii="Times New Roman;sans-serif" w:hAnsi="Times New Roman;sans-serif"/>
          <w:b w:val="false"/>
          <w:color w:val="000000"/>
          <w:sz w:val="22"/>
        </w:rPr>
        <w:t>.</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Subject to the provisions of Section 10 below, the maximum aggregate number of Shares that may be issued pursuant to all Awards (including Incentive Stock Options) is two hundred thousand (200,000) Shares. Subject to the provisions of Section 10 below, any increase to the maximum aggregate number of Shares that may be issued pursuant to all Awards shall be subject to stockholder approval. The Shares may be authorized, but unissued, or reacquired Common Stock. In addition, Dividend Equivalent Rights shall be payable solely in cash and therefore the issuance of Dividend Equivalent Rights shall not be deemed to reduce the maximum aggregate number of Shares that may be issued under the Plan.</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Any Shares covered by an Award (or portion of an Award) that is forfeited, canceled or expires (whether voluntarily or involuntarily) shall be deemed not to have been issued for purposes of determining the maximum aggregate number of Shares that may be issued under the Plan. Shares that actually have been issued under the Plan pursuant to an Award shall not be returned to the Plan and shall not become available for future issuance under the Plan, except that if unvested Shares are forfeited or repurchased by the Company, such Shares shall become available for future grant under the Plan. To the extent not prohibited by the listing requirements of The NASDAQ Stock Market LLC (or other established stock exchange or national market system on which the Common Stock is traded) and Applicable Law, any Shares covered by an Award that are surrendered: (i) in payment of the Award exercise or purchase price (including pursuant to the “net exercise” of an option pursuant to Section 7(b)(vi)) or (ii) in satisfaction of tax withholding obligations incident to the exercise of an Award shall be deemed not to have been issued for purposes of determining the maximum number of Shares that may be issued pursuant to all Awards under the Plan, unless otherwise determined by the Administrator.</w:t>
      </w:r>
    </w:p>
    <w:p>
      <w:pPr>
        <w:pStyle w:val="TextBody"/>
        <w:spacing w:lineRule="auto" w:line="288" w:before="0" w:after="240"/>
        <w:ind w:left="0" w:right="0" w:firstLine="720"/>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Administration of the Plan</w:t>
      </w:r>
      <w:r>
        <w:rPr>
          <w:rFonts w:ascii="Times New Roman;sans-serif" w:hAnsi="Times New Roman;sans-serif"/>
          <w:b w:val="false"/>
          <w:color w:val="000000"/>
          <w:sz w:val="22"/>
        </w:rPr>
        <w:t>.</w:t>
      </w:r>
    </w:p>
    <w:p>
      <w:pPr>
        <w:pStyle w:val="TextBody"/>
        <w:spacing w:lineRule="auto" w:line="288" w:before="0" w:after="240"/>
        <w:ind w:left="0" w:right="0" w:firstLine="1440"/>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Plan Administrator</w:t>
      </w:r>
      <w:r>
        <w:rPr>
          <w:rFonts w:ascii="Times New Roman;sans-serif" w:hAnsi="Times New Roman;sans-serif"/>
          <w:b w:val="false"/>
          <w:color w:val="000000"/>
          <w:sz w:val="22"/>
        </w:rPr>
        <w:t>.</w:t>
      </w:r>
    </w:p>
    <w:p>
      <w:pPr>
        <w:pStyle w:val="TextBody"/>
        <w:spacing w:lineRule="auto" w:line="288" w:before="0" w:after="240"/>
        <w:ind w:left="0" w:right="0" w:firstLine="2160"/>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Administration with Respect to Directors and Officers</w:t>
      </w:r>
      <w:r>
        <w:rPr>
          <w:rFonts w:ascii="Times New Roman;sans-serif" w:hAnsi="Times New Roman;sans-serif"/>
          <w:b w:val="false"/>
          <w:color w:val="000000"/>
          <w:sz w:val="22"/>
        </w:rPr>
        <w:t xml:space="preserve">. Prior to the Registration Date, with respect to grants of Awards to Non-MSHS Directors or Employees who are also Officers or Directors of the Company, the Plan shall be administered by: (A) the Board or (B) a Committee designated by the Board, which Committee shall be constituted in such a manner as to satisfy the Applicable Laws. On or after the Registration Date, with respect to grants of Awards to Non-MSHS Directors or Employees who are also Officers or Directors of the Company, the Plan shall be administered by: (X) the Board or (Y) a Committee designated by the Board, which Committee shall be </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pStyle w:val="TextBody"/>
        <w:spacing w:lineRule="auto" w:line="288" w:before="0" w:after="240"/>
        <w:ind w:left="0" w:right="0" w:firstLine="2160"/>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Administration With Respect to Consultants and Other Employees</w:t>
      </w:r>
      <w:r>
        <w:rPr>
          <w:rFonts w:ascii="Times New Roman;sans-serif" w:hAnsi="Times New Roman;sans-serif"/>
          <w:b w:val="false"/>
          <w:color w:val="000000"/>
          <w:sz w:val="22"/>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w:t>
      </w:r>
    </w:p>
    <w:p>
      <w:pPr>
        <w:pStyle w:val="TextBody"/>
        <w:spacing w:lineRule="auto" w:line="288" w:before="0" w:after="240"/>
        <w:ind w:left="0" w:right="0" w:firstLine="2160"/>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Administration With Respect to Covered Employees</w:t>
      </w:r>
      <w:r>
        <w:rPr>
          <w:rFonts w:ascii="Times New Roman;sans-serif" w:hAnsi="Times New Roman;sans-serif"/>
          <w:b w:val="false"/>
          <w:color w:val="000000"/>
          <w:sz w:val="22"/>
        </w:rPr>
        <w:t>. Notwithstanding the foregoing, as of and after the date that the exemption for the Plan under Section 162(m) of the Code expires, as set forth in Section 19 below, grants of Awards to any Covered Employee intended to qualify as Performance-Based Compensation shall be made only by a Committee (or subcommittee of a Committee) that is comprised solely of two or more Directors eligible to serve on a committee making Awards qualifying as Performance-Based Compensation. In the case of such Awards granted to Covered Employees, references to the “Administrator” or to a “Committee” shall be deemed to be references to such Committee or subcommittee.</w:t>
      </w:r>
    </w:p>
    <w:p>
      <w:pPr>
        <w:pStyle w:val="TextBody"/>
        <w:spacing w:lineRule="auto" w:line="288" w:before="0" w:after="240"/>
        <w:ind w:left="0" w:right="0" w:firstLine="1440"/>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Officer Authorization to Grant Awards</w:t>
      </w:r>
      <w:r>
        <w:rPr>
          <w:rFonts w:ascii="Times New Roman;sans-serif" w:hAnsi="Times New Roman;sans-serif"/>
          <w:b w:val="false"/>
          <w:color w:val="000000"/>
          <w:sz w:val="22"/>
        </w:rPr>
        <w:t>. The Board may authorize one or more Officers to grant Awards subject to such limitations as the Board determines from time to time.</w:t>
      </w:r>
    </w:p>
    <w:p>
      <w:pPr>
        <w:pStyle w:val="TextBody"/>
        <w:spacing w:lineRule="auto" w:line="288" w:before="0" w:after="240"/>
        <w:ind w:left="0" w:right="0" w:firstLine="1440"/>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Multiple Administrative Bodies</w:t>
      </w:r>
      <w:r>
        <w:rPr>
          <w:rFonts w:ascii="Times New Roman;sans-serif" w:hAnsi="Times New Roman;sans-serif"/>
          <w:b w:val="false"/>
          <w:color w:val="000000"/>
          <w:sz w:val="22"/>
        </w:rPr>
        <w:t>. The Plan may be administered by different bodies with respect to Directors, Officers, Consultants, and Employees who are neither Directors nor Officers.</w:t>
      </w:r>
    </w:p>
    <w:p>
      <w:pPr>
        <w:pStyle w:val="TextBody"/>
        <w:spacing w:lineRule="auto" w:line="288" w:before="0" w:after="240"/>
        <w:ind w:left="0" w:right="0" w:firstLine="1440"/>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Powers of the Administrator</w:t>
      </w:r>
      <w:r>
        <w:rPr>
          <w:rFonts w:ascii="Times New Roman;sans-serif" w:hAnsi="Times New Roman;sans-serif"/>
          <w:b w:val="false"/>
          <w:color w:val="000000"/>
          <w:sz w:val="22"/>
        </w:rPr>
        <w:t>. Subject to Applicable Laws and the provisions of the Plan (including any other powers given to the Administrator hereunder), and except as otherwise provided by the Board, the Administrator shall have the authority, in its discretion:</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    to select the Employees, Non-MSHS Directors and Consultants to whom Awards may be granted from time to time hereunder;</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    to determine whether and to what extent Awards are granted hereunder;</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(iii)    to determine the number of Shares or the amount of other consideration to be covered by each Award granted hereunder;</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(iv)    to approve forms of Award Agreements for use under the Plan;</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    to determine the terms and conditions of any Award granted hereunder;</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(vi)    to establish additional terms, conditions, rules or procedures to accommodate the rules or laws of applicable non-U.S. jurisdictions and to afford Grantees favorable treatment under such rules or laws; provided, however, that no Award shall be granted under any such additional terms, conditions, rules or procedures with terms or conditions that are inconsistent with the provisions of the Plan;</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(vii)    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 Qualified Stock Option shall not be treated as adversely affecting the rights of the Grantee. Notwithstanding the foregoing, (A) the reduction or increase of the exercise price of any Option awarded under the Plan and the base appreciation amount of any SAR awarded under the Plan and (B) canceling an Option or SAR at a time when its exercise price or base appreciation amount (as applicable) exceeds the Fair Market Value of the underlying Shares, in exchange for another Option, SAR, Restricted Stock, or other Award or for cash, in each case, shall not be subject to stockholder approval;</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(viii)    to construe and interpret the terms of the Plan and Awards, including without limitation, any notice of award or Award Agreement, granted pursuant to the Plan; and</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(ix)    to take such other action, not inconsistent with the terms of the Plan, as the Administrator deems appropriate.</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pStyle w:val="TextBody"/>
        <w:spacing w:lineRule="auto" w:line="288" w:before="0" w:after="240"/>
        <w:ind w:left="0" w:right="0" w:firstLine="1440"/>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pStyle w:val="TextBody"/>
        <w:spacing w:lineRule="auto" w:line="288" w:before="0" w:after="240"/>
        <w:ind w:left="0" w:right="0" w:firstLine="720"/>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Eligibility</w:t>
      </w:r>
      <w:r>
        <w:rPr>
          <w:rFonts w:ascii="Times New Roman;sans-serif" w:hAnsi="Times New Roman;sans-serif"/>
          <w:b w:val="false"/>
          <w:color w:val="000000"/>
          <w:sz w:val="22"/>
        </w:rPr>
        <w:t>. Awards other than Incentive Stock Options may be granted to Employees, Non-MSHS Directors and Consultants. Incentive Stock Options may be granted only to Employees of the Company or a Parent or a Subsidiary of the Company. An Employee, Non-MSHS Director or Consultant who has been granted an Award may, if otherwise eligible, be granted additional Awards. Awards may be granted to such Employees, Non-MSHS Directors or Consultants who are residing in non-U.S. jurisdictions as the Administrator may determine from time to time.</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88" w:before="0" w:after="240"/>
        <w:ind w:left="0" w:right="0" w:firstLine="720"/>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Terms and Conditions of Awards</w:t>
      </w:r>
      <w:r>
        <w:rPr>
          <w:rFonts w:ascii="Times New Roman;sans-serif" w:hAnsi="Times New Roman;sans-serif"/>
          <w:b w:val="false"/>
          <w:color w:val="000000"/>
          <w:sz w:val="22"/>
        </w:rPr>
        <w:t>.</w:t>
      </w:r>
    </w:p>
    <w:p>
      <w:pPr>
        <w:pStyle w:val="TextBody"/>
        <w:spacing w:lineRule="auto" w:line="288" w:before="0" w:after="240"/>
        <w:ind w:left="0" w:right="0" w:firstLine="1440"/>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Types of Awards</w:t>
      </w:r>
      <w:r>
        <w:rPr>
          <w:rFonts w:ascii="Times New Roman;sans-serif" w:hAnsi="Times New Roman;sans-serif"/>
          <w:b w:val="false"/>
          <w:color w:val="000000"/>
          <w:sz w:val="22"/>
        </w:rPr>
        <w:t>. The Administrator is authorized under the Plan to award any type of arrangement to an Employee, Non-MSHS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pStyle w:val="TextBody"/>
        <w:spacing w:lineRule="auto" w:line="288" w:before="0" w:after="240"/>
        <w:ind w:left="0" w:right="0" w:firstLine="1440"/>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Designation of Award</w:t>
      </w:r>
      <w:r>
        <w:rPr>
          <w:rFonts w:ascii="Times New Roman;sans-serif" w:hAnsi="Times New Roman;sans-serif"/>
          <w:b w:val="false"/>
          <w:color w:val="000000"/>
          <w:sz w:val="22"/>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that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pStyle w:val="TextBody"/>
        <w:spacing w:lineRule="auto" w:line="288" w:before="0" w:after="240"/>
        <w:ind w:left="0" w:right="0" w:firstLine="1440"/>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Conditions of Award</w:t>
      </w:r>
      <w:r>
        <w:rPr>
          <w:rFonts w:ascii="Times New Roman;sans-serif" w:hAnsi="Times New Roman;sans-serif"/>
          <w:b w:val="false"/>
          <w:color w:val="000000"/>
          <w:sz w:val="22"/>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provisions related to registration rights, and satisfaction of any performance criteria. The performance criteria established by the Administrator may be based on any one of, or combination of, increase in share price, earnings per share, total stockholder return, return on equity, return on assets, return on investment, net operating income, cash flow, revenue, economic value added, personal management objectives, or other measure of performance selected by the Administrator.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pStyle w:val="TextBody"/>
        <w:spacing w:lineRule="auto" w:line="288" w:before="0" w:after="240"/>
        <w:ind w:left="0" w:right="0" w:firstLine="1440"/>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Acquisitions and Other Transactions</w:t>
      </w:r>
      <w:r>
        <w:rPr>
          <w:rFonts w:ascii="Times New Roman;sans-serif" w:hAnsi="Times New Roman;sans-serif"/>
          <w:b w:val="false"/>
          <w:color w:val="000000"/>
          <w:sz w:val="22"/>
        </w:rPr>
        <w:t xml:space="preserve">. The Administrator may issue Awards under the Plan in settlement, assumption or substitution for, outstanding awards or obligations to grant future awards in connection with the Company or a Related Entity acquiring another entity, an interest in </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another entity or an additional interest in a Related Entity whether by merger, stock purchase, asset purchase or other form of transaction.</w:t>
      </w:r>
    </w:p>
    <w:p>
      <w:pPr>
        <w:pStyle w:val="TextBody"/>
        <w:spacing w:lineRule="auto" w:line="288" w:before="0" w:after="240"/>
        <w:ind w:left="0" w:right="0" w:firstLine="1440"/>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Deferral of Award Payment</w:t>
      </w:r>
      <w:r>
        <w:rPr>
          <w:rFonts w:ascii="Times New Roman;sans-serif" w:hAnsi="Times New Roman;sans-serif"/>
          <w:b w:val="false"/>
          <w:color w:val="000000"/>
          <w:sz w:val="22"/>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pStyle w:val="TextBody"/>
        <w:spacing w:lineRule="auto" w:line="288" w:before="0" w:after="240"/>
        <w:ind w:left="0" w:right="0" w:firstLine="1440"/>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Separate Programs</w:t>
      </w:r>
      <w:r>
        <w:rPr>
          <w:rFonts w:ascii="Times New Roman;sans-serif" w:hAnsi="Times New Roman;sans-serif"/>
          <w:b w:val="false"/>
          <w:color w:val="000000"/>
          <w:sz w:val="22"/>
        </w:rPr>
        <w:t>. The Administrator may establish one or more separate programs under the Plan for the purpose of issuing particular forms of Awards to one or more classes of Grantees on such terms and conditions as determined by the Administrator from time to time.</w:t>
      </w:r>
    </w:p>
    <w:p>
      <w:pPr>
        <w:pStyle w:val="TextBody"/>
        <w:spacing w:lineRule="auto" w:line="288" w:before="0" w:after="240"/>
        <w:ind w:left="0" w:right="0" w:firstLine="1440"/>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Individual Limitations on Awards</w:t>
      </w:r>
      <w:r>
        <w:rPr>
          <w:rFonts w:ascii="Times New Roman;sans-serif" w:hAnsi="Times New Roman;sans-serif"/>
          <w:b w:val="false"/>
          <w:color w:val="000000"/>
          <w:sz w:val="22"/>
        </w:rPr>
        <w:t>.</w:t>
      </w:r>
    </w:p>
    <w:p>
      <w:pPr>
        <w:pStyle w:val="TextBody"/>
        <w:spacing w:lineRule="auto" w:line="288" w:before="0" w:after="240"/>
        <w:ind w:left="0" w:right="0" w:firstLine="2160"/>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Individual Option and SAR Limit</w:t>
      </w:r>
      <w:r>
        <w:rPr>
          <w:rFonts w:ascii="Times New Roman;sans-serif" w:hAnsi="Times New Roman;sans-serif"/>
          <w:b w:val="false"/>
          <w:color w:val="000000"/>
          <w:sz w:val="22"/>
        </w:rPr>
        <w:t>. Following the date that the exemption from application of Section 162(m) of the Code described in Section 19 (or any exemption having similar effect) ceases to apply to Awards, the maximum number of Shares with respect to which Options and SARs may be granted to any Grantee in any calendar year shall be one hundred thousand (100,000) Shares. In connection with a Grantee’s commencement of Continuous Service, a Grantee may be granted Options and SARs for up to an additional one hundred thousand (100,000) Shares, which shall not count against the limit set forth in the previous sentence. The foregoing limitations shall be adjusted proportionately in connection with any change in the Company’s capitalization pursuant to Section 10, below. 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pStyle w:val="TextBody"/>
        <w:spacing w:lineRule="auto" w:line="288" w:before="0" w:after="240"/>
        <w:ind w:left="0" w:right="0" w:firstLine="2160"/>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Individual Limit for Restricted Stock and Restricted Stock Units</w:t>
      </w:r>
      <w:r>
        <w:rPr>
          <w:rFonts w:ascii="Times New Roman;sans-serif" w:hAnsi="Times New Roman;sans-serif"/>
          <w:b w:val="false"/>
          <w:color w:val="000000"/>
          <w:sz w:val="22"/>
        </w:rPr>
        <w:t>. Following the date that the exemption from application of Section 162(m) of the Code described in Section 19 (or any exemption having similar effect) ceases to apply to Awards, for awards of Restricted Stock and Restricted Stock Units that are intended to be Performance-Based Compensation, the maximum number of Shares with respect to which such Awards may be granted to any Grantee in any calendar year shall be one hundred thousand (100,000) Shares. The foregoing limitation shall be adjusted proportionately in connection with any change in the Company’s capitalization pursuant to Section 10, below.</w:t>
      </w:r>
    </w:p>
    <w:p>
      <w:pPr>
        <w:pStyle w:val="TextBody"/>
        <w:spacing w:lineRule="auto" w:line="288" w:before="0" w:after="240"/>
        <w:ind w:left="0" w:right="0" w:firstLine="1440"/>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Early Exercise</w:t>
      </w:r>
      <w:r>
        <w:rPr>
          <w:rFonts w:ascii="Times New Roman;sans-serif" w:hAnsi="Times New Roman;sans-serif"/>
          <w:b w:val="false"/>
          <w:color w:val="000000"/>
          <w:sz w:val="22"/>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Term of Award</w:t>
      </w:r>
      <w:r>
        <w:rPr>
          <w:rFonts w:ascii="Times New Roman;sans-serif" w:hAnsi="Times New Roman;sans-serif"/>
          <w:b w:val="false"/>
          <w:color w:val="000000"/>
          <w:sz w:val="22"/>
        </w:rPr>
        <w:t>. The term of each Award shall be the term stated in the Award Agreement, provided, however, that the term of an Award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pStyle w:val="TextBody"/>
        <w:spacing w:lineRule="auto" w:line="288" w:before="0" w:after="240"/>
        <w:ind w:left="0" w:right="0" w:firstLine="1440"/>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Transferability of Awards</w:t>
      </w:r>
      <w:r>
        <w:rPr>
          <w:rFonts w:ascii="Times New Roman;sans-serif" w:hAnsi="Times New Roman;sans-serif"/>
          <w:b w:val="false"/>
          <w:color w:val="000000"/>
          <w:sz w:val="22"/>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or by the laws of descent and distribution and (ii) during the lifetime of the Grantee, to the extent and in the manner authorized by the Administrator by gift or pursuant to a domestic relations order to members of the Grantee’s Immediate Family. Notwithstanding the foregoing, the Grantee may designate one or more beneficiaries of the Grantee’s Award in the event of the Grantee’s death on a beneficiary designation form provided by the Administrator.</w:t>
      </w:r>
    </w:p>
    <w:p>
      <w:pPr>
        <w:pStyle w:val="TextBody"/>
        <w:spacing w:lineRule="auto" w:line="288" w:before="0" w:after="240"/>
        <w:ind w:left="0" w:right="0" w:firstLine="1440"/>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Time of Granting Awards</w:t>
      </w:r>
      <w:r>
        <w:rPr>
          <w:rFonts w:ascii="Times New Roman;sans-serif" w:hAnsi="Times New Roman;sans-serif"/>
          <w:b w:val="false"/>
          <w:color w:val="000000"/>
          <w:sz w:val="22"/>
        </w:rPr>
        <w:t>. The date of grant of an Award shall for all purposes be the date on which the Administrator makes the determination to grant such Award, or such other later date as is determined by the Administrator.</w:t>
      </w:r>
    </w:p>
    <w:p>
      <w:pPr>
        <w:pStyle w:val="TextBody"/>
        <w:spacing w:lineRule="auto" w:line="288" w:before="0" w:after="240"/>
        <w:ind w:left="0" w:right="0" w:firstLine="1440"/>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Award Exchange Programs</w:t>
      </w:r>
      <w:r>
        <w:rPr>
          <w:rFonts w:ascii="Times New Roman;sans-serif" w:hAnsi="Times New Roman;sans-serif"/>
          <w:b w:val="false"/>
          <w:color w:val="000000"/>
          <w:sz w:val="22"/>
        </w:rPr>
        <w:t>. The Administrator may establish one or more programs under the Plan to permit selected Grantees to exchange an Award under the Plan for one or more other types of Awards under the Plan on such terms and conditions as determined by the Administrator from time to time.</w:t>
      </w:r>
    </w:p>
    <w:p>
      <w:pPr>
        <w:pStyle w:val="TextBody"/>
        <w:spacing w:lineRule="auto" w:line="288" w:before="0" w:after="240"/>
        <w:ind w:left="0" w:right="0" w:firstLine="720"/>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Award Exercise Price, Base Amount or Purchase Price, Consideration and Taxes</w:t>
      </w:r>
      <w:r>
        <w:rPr>
          <w:rFonts w:ascii="Times New Roman;sans-serif" w:hAnsi="Times New Roman;sans-serif"/>
          <w:b w:val="false"/>
          <w:color w:val="000000"/>
          <w:sz w:val="22"/>
        </w:rPr>
        <w:t>.</w:t>
      </w:r>
    </w:p>
    <w:p>
      <w:pPr>
        <w:pStyle w:val="TextBody"/>
        <w:spacing w:lineRule="auto" w:line="288" w:before="0" w:after="240"/>
        <w:ind w:left="0" w:right="0" w:firstLine="1440"/>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Exercise or Purchase Price</w:t>
      </w:r>
      <w:r>
        <w:rPr>
          <w:rFonts w:ascii="Times New Roman;sans-serif" w:hAnsi="Times New Roman;sans-serif"/>
          <w:b w:val="false"/>
          <w:color w:val="000000"/>
          <w:sz w:val="22"/>
        </w:rPr>
        <w:t>. The exercise price, base amount or purchase price, if any, for an Award shall be as follows:</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    In the case of an Incentive Stock Option:</w:t>
      </w:r>
    </w:p>
    <w:p>
      <w:pPr>
        <w:pStyle w:val="TextBody"/>
        <w:spacing w:lineRule="auto" w:line="288" w:before="0" w:after="240"/>
        <w:ind w:left="0" w:right="0" w:firstLine="2880"/>
        <w:rPr>
          <w:rFonts w:ascii="Times New Roman;sans-serif" w:hAnsi="Times New Roman;sans-serif"/>
          <w:b w:val="false"/>
          <w:color w:val="000000"/>
          <w:sz w:val="22"/>
        </w:rPr>
      </w:pPr>
      <w:r>
        <w:rPr>
          <w:rFonts w:ascii="Times New Roman;sans-serif" w:hAnsi="Times New Roman;sans-serif"/>
          <w:b w:val="false"/>
          <w:color w:val="000000"/>
          <w:sz w:val="22"/>
        </w:rPr>
        <w:t>(A)    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pStyle w:val="TextBody"/>
        <w:spacing w:lineRule="auto" w:line="288" w:before="0" w:after="240"/>
        <w:ind w:left="0" w:right="0" w:firstLine="2880"/>
        <w:rPr>
          <w:rFonts w:ascii="Times New Roman;sans-serif" w:hAnsi="Times New Roman;sans-serif"/>
          <w:b w:val="false"/>
          <w:color w:val="000000"/>
          <w:sz w:val="22"/>
        </w:rPr>
      </w:pPr>
      <w:r>
        <w:rPr>
          <w:rFonts w:ascii="Times New Roman;sans-serif" w:hAnsi="Times New Roman;sans-serif"/>
          <w:b w:val="false"/>
          <w:color w:val="000000"/>
          <w:sz w:val="22"/>
        </w:rPr>
        <w:t>(B)    granted to any Employee other than an Employee described in the preceding paragraph, the per Share exercise price shall be not less than one hundred percent (100%) of the Fair Market Value per Share on the date of grant.</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    In the case of a Non-Qualified Stock Option, the per Share exercise price shall be not less than one hundred percent (100%) of the Fair Market Value per Share on the date of grant.</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(iii)    In the case of SARs, the base appreciation amount shall not be less than one hundred percent (100%) of the Fair Market Value per Share on the date of grant.</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(iv)    In the case of other Awards, such price as is determined by the Administrator.</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    Notwithstanding the foregoing provisions of this Section 7(a), in the case of an Award issued pursuant to Section 6(d), above, the exercise price, base amount or purchase price for the Award shall be determined in accordance with the provisions of the relevant instrument evidencing the agreement to issue such Award.</w:t>
      </w:r>
    </w:p>
    <w:p>
      <w:pPr>
        <w:pStyle w:val="TextBody"/>
        <w:spacing w:lineRule="auto" w:line="288" w:before="0" w:after="240"/>
        <w:ind w:left="0" w:right="0" w:firstLine="1440"/>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 consideration equal to the par value of the Shares must be paid in cash or other legal consideration permitted by the Delaware General Corporation Law:</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    cash;</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    check;</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(iii)    delivery of Grantee’s promissory note with such recourse, interest, security, and redemption provisions as the Administrator determines as appropriate (but only to the extent that the acceptance or terms of the promissory note would not violate an Applicable Law);</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(iv)    surrender of Shares held for the requisite period, if any, necessary to avoid a charge to the Company’s earnings for financial reporting purposes, or delivery of a properly executed form of attestation of ownership of Shares as the Administrator may require that have a Fair Market Value on the date of surrender or attestation equal to the aggregate exercise price of the Shares as to which said Award shall be exercised;</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    with respect to Options, if the exercise occurs on or after the Registration Date,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(vi)    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(vii)    any combination of the foregoing methods of payment.</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Administrator may at any time or from time to time, by adoption of or by amendment to the standard forms of Award Agreement described in Section 4(d)(iv), or by other means, grant Awards that do not </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permit all of the foregoing forms of consideration to be used in payment for the Shares or that otherwise restrict one or more forms of consideration.</w:t>
      </w:r>
    </w:p>
    <w:p>
      <w:pPr>
        <w:pStyle w:val="TextBody"/>
        <w:spacing w:lineRule="auto" w:line="288" w:before="0" w:after="240"/>
        <w:ind w:left="0" w:right="0" w:firstLine="1440"/>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applicable tax withholding obligations incident to the exercise or vesting of an Award (reduced to the next lower whole number of Shares if such number of Shares withheld would result in withholding a fractional Share with any remaining tax withholding settled in cash). In the case that Shares covered by the Award are surrendered to satisfy tax withholding, the Shares applied to such tax withholding shall have a Fair Market Value (determined as of the date taxes are required to be withheld) that is no greater than the amount of tax that would be payable by the Grantee with respect to the Award based on the maximum statutory federal, state and local tax rates that could apply to the Award in the jurisdictions applicable to the Grantee on the date that the amount of tax to be withheld is to be determined, or such other limitation as may be required by then applicable accounting rules and regulations to maintain favorable equity accounting treatment for the Award.</w:t>
      </w:r>
    </w:p>
    <w:p>
      <w:pPr>
        <w:pStyle w:val="TextBody"/>
        <w:spacing w:lineRule="auto" w:line="288" w:before="0" w:after="240"/>
        <w:ind w:left="0" w:right="0" w:firstLine="720"/>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Exercise of Award</w:t>
      </w:r>
      <w:r>
        <w:rPr>
          <w:rFonts w:ascii="Times New Roman;sans-serif" w:hAnsi="Times New Roman;sans-serif"/>
          <w:b w:val="false"/>
          <w:color w:val="000000"/>
          <w:sz w:val="22"/>
        </w:rPr>
        <w:t>.</w:t>
      </w:r>
    </w:p>
    <w:p>
      <w:pPr>
        <w:pStyle w:val="TextBody"/>
        <w:spacing w:lineRule="auto" w:line="288" w:before="0" w:after="240"/>
        <w:ind w:left="0" w:right="0" w:firstLine="1440"/>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Procedure for Exercise; Rights as a Stockholder</w:t>
      </w:r>
      <w:r>
        <w:rPr>
          <w:rFonts w:ascii="Times New Roman;sans-serif" w:hAnsi="Times New Roman;sans-serif"/>
          <w:b w:val="false"/>
          <w:color w:val="000000"/>
          <w:sz w:val="22"/>
        </w:rPr>
        <w:t>.</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    Any Award granted hereunder shall be exercisable at such times and under such conditions as determined by the Administrator under the terms of the Plan and specified in the Award Agreement.</w:t>
      </w:r>
    </w:p>
    <w:p>
      <w:pPr>
        <w:pStyle w:val="TextBody"/>
        <w:spacing w:lineRule="auto" w:line="288" w:before="0" w:after="24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(ii)    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7(b)(v).</w:t>
      </w:r>
    </w:p>
    <w:p>
      <w:pPr>
        <w:pStyle w:val="TextBody"/>
        <w:spacing w:lineRule="auto" w:line="288" w:before="0" w:after="240"/>
        <w:ind w:left="0" w:right="0" w:firstLine="1440"/>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Exercise of Award Following Termination of Continuous Service</w:t>
      </w:r>
      <w:r>
        <w:rPr>
          <w:rFonts w:ascii="Times New Roman;sans-serif" w:hAnsi="Times New Roman;sans-serif"/>
          <w:b w:val="false"/>
          <w:color w:val="000000"/>
          <w:sz w:val="22"/>
        </w:rPr>
        <w:t>. In the event of termination of a Grantee’s Continuous Service for any reason other than Disability or death (but not in the event of a Grantee’s change of status from Employee to Consultant or from Consultant to Employee),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The Grantee’s Award Agreement may provide that upon the termination of the Grantee’s Continuous Service for Cause, the Grantee’s right to exercise the Award shall terminate concurrently with the termination of Grantee’s Continuous Service. In the event of a Grantee’s change of status from Employee to Consultant, an Employee’s Incentive Stock Option shall convert automatically to a Non-Qualified Stock Option on the day three (3) months and one (1) day following such change of status. To the extent that the Grantee’s Award was unvested at the date of termination, or if the Grantee does not exercise the vested portion of the Grantee’s Award within the Post-Termination Exercise Period, the Award shall terminate.</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Disability of Grantee</w:t>
      </w:r>
      <w:r>
        <w:rPr>
          <w:rFonts w:ascii="Times New Roman;sans-serif" w:hAnsi="Times New Roman;sans-serif"/>
          <w:b w:val="false"/>
          <w:color w:val="000000"/>
          <w:sz w:val="22"/>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provided, however, that if such Disability is not a “disability” as such term is defined in Section 22(e)(3) of the Code, in the case of an Incentive Stock Option such Incentive Stock Option shall automatically convert to a Non-Qualified Stock Option on the day three (3) months and one (1) day following such termination. To the extent that the Grantee’s Award was unvested at the date of termination, or if Grantee does not exercise the vested portion of the Grantee’s Award within the time specified herein, the Award shall terminate.</w:t>
      </w:r>
    </w:p>
    <w:p>
      <w:pPr>
        <w:pStyle w:val="TextBody"/>
        <w:spacing w:lineRule="auto" w:line="288" w:before="0" w:after="240"/>
        <w:ind w:left="0" w:right="0" w:firstLine="1440"/>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Death of Grantee</w:t>
      </w:r>
      <w:r>
        <w:rPr>
          <w:rFonts w:ascii="Times New Roman;sans-serif" w:hAnsi="Times New Roman;sans-serif"/>
          <w:b w:val="false"/>
          <w:color w:val="000000"/>
          <w:sz w:val="22"/>
        </w:rPr>
        <w:t>. In the event of a termination of the Grantee’s Continuous Service as a result of his or her death, or in the event of the death of the Grantee during the Post- 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pStyle w:val="TextBody"/>
        <w:spacing w:lineRule="auto" w:line="288" w:before="0" w:after="240"/>
        <w:ind w:left="0" w:right="0" w:firstLine="1440"/>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Extension if Exercise Prevented by Law</w:t>
      </w:r>
      <w:r>
        <w:rPr>
          <w:rFonts w:ascii="Times New Roman;sans-serif" w:hAnsi="Times New Roman;sans-serif"/>
          <w:b w:val="false"/>
          <w:color w:val="000000"/>
          <w:sz w:val="22"/>
        </w:rPr>
        <w:t>. Notwithstanding the foregoing, if the exercise of an Award within the applicable time periods set forth in this Section 8 is prevented by the provisions of Section 9 below, the Award shall remain exercisable until one (1) month after the date the Grantee is notified by the Company that the Award is exercisable, but in any event no later than the expiration of the term of such Award as set forth in the Award Agreement and only in a manner and to the extent permitted under Code Section 409A.</w:t>
      </w:r>
    </w:p>
    <w:p>
      <w:pPr>
        <w:pStyle w:val="TextBody"/>
        <w:spacing w:lineRule="auto" w:line="288" w:before="0" w:after="240"/>
        <w:ind w:left="0" w:right="0" w:firstLine="720"/>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Conditions Upon Issuance of Shares</w:t>
      </w:r>
      <w:r>
        <w:rPr>
          <w:rFonts w:ascii="Times New Roman;sans-serif" w:hAnsi="Times New Roman;sans-serif"/>
          <w:b w:val="false"/>
          <w:color w:val="000000"/>
          <w:sz w:val="22"/>
        </w:rPr>
        <w:t>.</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pStyle w:val="TextBody"/>
        <w:spacing w:lineRule="auto" w:line="288" w:before="0" w:after="240"/>
        <w:ind w:left="0" w:right="0" w:firstLine="720"/>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Adjustments Upon Changes in Capitalization</w:t>
      </w:r>
      <w:r>
        <w:rPr>
          <w:rFonts w:ascii="Times New Roman;sans-serif" w:hAnsi="Times New Roman;sans-serif"/>
          <w:b w:val="false"/>
          <w:color w:val="000000"/>
          <w:sz w:val="22"/>
        </w:rPr>
        <w:t xml:space="preserve">. Subject to any required action by the stockholders of the Company and Section 11 hereof, the number of Shares covered by each outstanding Award, and the number of Shares that have been authorized for issuance under the Plan but as to which no Awards have yet been granted or that have been returned to the Plan, the exercise price, base amount or purchase price of each such outstanding Award, the maximum number of Shares with respect to which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recapitalization,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pStyle w:val="TextBody"/>
        <w:spacing w:lineRule="auto" w:line="288" w:before="0" w:after="240"/>
        <w:ind w:left="0" w:right="0" w:firstLine="720"/>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Corporate Transactions</w:t>
      </w:r>
      <w:r>
        <w:rPr>
          <w:rFonts w:ascii="Times New Roman;sans-serif" w:hAnsi="Times New Roman;sans-serif"/>
          <w:b w:val="false"/>
          <w:color w:val="000000"/>
          <w:sz w:val="22"/>
        </w:rPr>
        <w:t>.</w:t>
      </w:r>
    </w:p>
    <w:p>
      <w:pPr>
        <w:pStyle w:val="TextBody"/>
        <w:spacing w:lineRule="auto" w:line="288" w:before="0" w:after="240"/>
        <w:ind w:left="0" w:right="0" w:firstLine="1440"/>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Termination of Award to Extent Not Assumed in Corporate Transaction</w:t>
      </w:r>
      <w:r>
        <w:rPr>
          <w:rFonts w:ascii="Times New Roman;sans-serif" w:hAnsi="Times New Roman;sans-serif"/>
          <w:b w:val="false"/>
          <w:color w:val="000000"/>
          <w:sz w:val="22"/>
        </w:rPr>
        <w:t>. Effective upon the consummation of a Corporate Transaction, all outstanding Awards under the Plan shall terminate. However, all such Awards shall not terminate to the extent they are Assumed in connection with the Corporate Transaction.</w:t>
      </w:r>
    </w:p>
    <w:p>
      <w:pPr>
        <w:pStyle w:val="TextBody"/>
        <w:spacing w:lineRule="auto" w:line="288" w:before="0" w:after="240"/>
        <w:ind w:left="0" w:right="0" w:firstLine="1440"/>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Acceleration of Award Upon Corporate Transaction</w:t>
      </w:r>
      <w:r>
        <w:rPr>
          <w:rFonts w:ascii="Times New Roman;sans-serif" w:hAnsi="Times New Roman;sans-serif"/>
          <w:b w:val="false"/>
          <w:color w:val="000000"/>
          <w:sz w:val="22"/>
        </w:rPr>
        <w:t>. The Administrator shall have the authority, exercisable either in advance of any actual or anticipated Corporate Transaction or at the time of an actual Corporate Transaction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w:t>
      </w:r>
    </w:p>
    <w:p>
      <w:pPr>
        <w:pStyle w:val="TextBody"/>
        <w:spacing w:lineRule="auto" w:line="288" w:before="0" w:after="240"/>
        <w:ind w:left="0" w:right="0" w:firstLine="1440"/>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Effect of Acceleration on Incentive Stock Options</w:t>
      </w:r>
      <w:r>
        <w:rPr>
          <w:rFonts w:ascii="Times New Roman;sans-serif" w:hAnsi="Times New Roman;sans-serif"/>
          <w:b w:val="false"/>
          <w:color w:val="000000"/>
          <w:sz w:val="22"/>
        </w:rPr>
        <w:t>. Any Incentive Stock Option accelerated under this Section 11 in connection with a Corporate Transaction shall remain exercisable as an Incentive Stock Option under the Code only to the extent the $100,000 dollar limitation of Section 422(d) of the Code is not exceeded.</w:t>
      </w:r>
    </w:p>
    <w:p>
      <w:pPr>
        <w:pStyle w:val="TextBody"/>
        <w:spacing w:lineRule="auto" w:line="288" w:before="0" w:after="240"/>
        <w:ind w:left="0" w:right="0" w:firstLine="720"/>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Effective Date and Term of Plan</w:t>
      </w:r>
      <w:r>
        <w:rPr>
          <w:rFonts w:ascii="Times New Roman;sans-serif" w:hAnsi="Times New Roman;sans-serif"/>
          <w:b w:val="false"/>
          <w:color w:val="000000"/>
          <w:sz w:val="22"/>
        </w:rPr>
        <w:t>. The Plan shall become effective upon the earlier to occur of its adoption by the Board or its approval by the stockholders of the Company. The Plan shall continue in effect for a term of ten (10) years unless sooner terminated. Subject to Section 17 below, and Applicable Laws, Awards may be granted under the Plan upon its becoming effective.</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lineRule="auto" w:line="288" w:before="0" w:after="240"/>
        <w:ind w:left="0" w:right="0" w:firstLine="720"/>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Amendment, Suspension or Termination of the Plan</w:t>
      </w:r>
      <w:r>
        <w:rPr>
          <w:rFonts w:ascii="Times New Roman;sans-serif" w:hAnsi="Times New Roman;sans-serif"/>
          <w:b w:val="false"/>
          <w:color w:val="000000"/>
          <w:sz w:val="22"/>
        </w:rPr>
        <w:t>.</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Board may at any time amend, suspend or terminate the Plan. To the extent necessary to comply with Applicable Laws, the Company shall obtain stockholder approval of any Plan amendment in such a manner and to such a degree as required.</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No Award may be granted during any suspension of the Plan or after termination of the Plan.</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    No suspension or termination of the Plan (including termination of the Plan under Section 12, above) shall adversely affect any rights under Awards already granted to a Grantee.</w:t>
      </w:r>
    </w:p>
    <w:p>
      <w:pPr>
        <w:pStyle w:val="TextBody"/>
        <w:spacing w:lineRule="auto" w:line="288" w:before="0" w:after="240"/>
        <w:ind w:left="0" w:right="0" w:firstLine="720"/>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Reservation of Shares</w:t>
      </w:r>
      <w:r>
        <w:rPr>
          <w:rFonts w:ascii="Times New Roman;sans-serif" w:hAnsi="Times New Roman;sans-serif"/>
          <w:b w:val="false"/>
          <w:color w:val="000000"/>
          <w:sz w:val="22"/>
        </w:rPr>
        <w:t>.</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(a)    The Company, during the term of the Plan, will at all times reserve and keep available such number of Shares as shall be sufficient to satisfy the requirements of the Plan.</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spacing w:lineRule="auto" w:line="288" w:before="0" w:after="240"/>
        <w:ind w:left="0" w:right="0" w:firstLine="720"/>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No Effect on Terms of Employment/Consulting Relationship</w:t>
      </w:r>
      <w:r>
        <w:rPr>
          <w:rFonts w:ascii="Times New Roman;sans-serif" w:hAnsi="Times New Roman;sans-serif"/>
          <w:b w:val="false"/>
          <w:color w:val="000000"/>
          <w:sz w:val="22"/>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and with or without notice.</w:t>
      </w:r>
    </w:p>
    <w:p>
      <w:pPr>
        <w:pStyle w:val="TextBody"/>
        <w:spacing w:lineRule="auto" w:line="288" w:before="0" w:after="240"/>
        <w:ind w:left="0" w:right="0" w:firstLine="720"/>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 Effect on Retirement and Other Benefit Plans</w:t>
      </w:r>
      <w:r>
        <w:rPr>
          <w:rFonts w:ascii="Times New Roman;sans-serif" w:hAnsi="Times New Roman;sans-serif"/>
          <w:b w:val="false"/>
          <w:color w:val="000000"/>
          <w:sz w:val="22"/>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benefit plan” or “welfare benefit plan” under the Employee Retirement Income Security Act of 1974, as amended.</w:t>
      </w:r>
    </w:p>
    <w:p>
      <w:pPr>
        <w:pStyle w:val="TextBody"/>
        <w:spacing w:lineRule="auto" w:line="288" w:before="0" w:after="240"/>
        <w:ind w:left="0" w:right="0" w:firstLine="720"/>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Stockholder Approval</w:t>
      </w:r>
      <w:r>
        <w:rPr>
          <w:rFonts w:ascii="Times New Roman;sans-serif" w:hAnsi="Times New Roman;sans-serif"/>
          <w:b w:val="false"/>
          <w:color w:val="000000"/>
          <w:sz w:val="22"/>
        </w:rPr>
        <w:t>. Continuance of the Plan shall be subject to approval by the stockholders of the Company within twelve (12) months before or after the date the Plan is adopted. Such stockholder approval shall be obtained in the degree and manner required under Applicable Laws. Any Award exercised before stockholder approval is obtained shall be rescinded if stockholder approval is not obtained within the time prescribed, and Shares issued on the exercise of any such Award shall not be counted in determining whether stockholder approval is obtained.</w:t>
      </w:r>
    </w:p>
    <w:p>
      <w:pPr>
        <w:pStyle w:val="TextBody"/>
        <w:spacing w:lineRule="auto" w:line="288" w:before="0" w:after="240"/>
        <w:ind w:left="0" w:right="0" w:firstLine="720"/>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Information to Grantees</w:t>
      </w:r>
      <w:r>
        <w:rPr>
          <w:rFonts w:ascii="Times New Roman;sans-serif" w:hAnsi="Times New Roman;sans-serif"/>
          <w:b w:val="false"/>
          <w:color w:val="000000"/>
          <w:sz w:val="22"/>
        </w:rPr>
        <w:t>. To the extent required by Applicable Laws, the Company shall provide to each Grantee, during the period for which such Grantee has one or more Awards outstanding, copies of financial statements at least annually. The Company shall not be required to provide such information to persons whose duties in connection with the Company assure them access to equivalent information.</w:t>
      </w:r>
    </w:p>
    <w:p>
      <w:pPr>
        <w:pStyle w:val="TextBody"/>
        <w:spacing w:lineRule="auto" w:line="288" w:before="0" w:after="240"/>
        <w:ind w:left="0" w:right="0" w:firstLine="720"/>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Effect of Section 162(m) of the Code</w:t>
      </w:r>
      <w:r>
        <w:rPr>
          <w:rFonts w:ascii="Times New Roman;sans-serif" w:hAnsi="Times New Roman;sans-serif"/>
          <w:b w:val="false"/>
          <w:color w:val="000000"/>
          <w:sz w:val="22"/>
        </w:rPr>
        <w:t xml:space="preserve">. Section 162(m) of the Code does not apply to the Plan prior to the Registration Date or such earlier time that the Company first becomes subject to the </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reporting obligations of Section 12 of the Exchange Act. Following the Registration Date or such earlier time that the Company first becomes subject to the reporting obligations of Section 12 of the Exchange Act, the Plan, and all Awards (except Awards of Restricted Stock that vest over time) issued thereunder, are intended to be exempt from the application of Section 162(m) of the Code, which restricts under certain circumstances the Federal income tax deduction for compensation paid by a public company to named executives in excess of One Million Dollars ($1,000,000.00) per year. The exemption is based on Treasury Regulation Section 1.162-27(f), in the form existing on the effective date of the Plan, with the understanding that such regulation generally exempts from the application of Section 162(m) of the Code compensation paid pursuant to a plan that existed before a company becomes publicly held. Under such Treasury Regulation, this exemption is available to the Plan for the duration of the period that lasts until the earliest of: (i) the expiration of the Plan, (ii) the material modification of the Plan, (iii) the exhaustion of the: maximum number of shares of Common Stock available for Awards under the Plan, as set forth in Section 3(a), (iv) the first meeting of stockholders at which directors are to be elected that occurs after the close of the third calendar year following the calendar year in which the Company first becomes subject to the reporting obligations of Section 12 of the Exchange Act, or (v) such other date required by Section 162(m) of the Code and the rules and regulations promulgated thereunder. To the extent that the Administrator determines as of the date of grant of an Award that: (x) the Award is intended to qualify as Performance-Based Compensation and (y) the exemption described above is no longer available with respect to such Award, such Award shall not be effective until any stockholder approval required under Section 162(m) of the Code has been obtained.</w:t>
      </w:r>
    </w:p>
    <w:p>
      <w:pPr>
        <w:pStyle w:val="TextBody"/>
        <w:spacing w:lineRule="auto" w:line="288" w:before="0" w:after="240"/>
        <w:ind w:left="0" w:right="0" w:firstLine="720"/>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Unfunded Obligation</w:t>
      </w:r>
      <w:r>
        <w:rPr>
          <w:rFonts w:ascii="Times New Roman;sans-serif" w:hAnsi="Times New Roman;sans-serif"/>
          <w:b w:val="false"/>
          <w:color w:val="000000"/>
          <w:sz w:val="22"/>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pStyle w:val="TextBody"/>
        <w:spacing w:lineRule="auto" w:line="288" w:before="0" w:after="240"/>
        <w:ind w:left="0" w:right="0" w:firstLine="720"/>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Construction</w:t>
      </w:r>
      <w:r>
        <w:rPr>
          <w:rFonts w:ascii="Times New Roman;sans-serif" w:hAnsi="Times New Roman;sans-serif"/>
          <w:b w:val="false"/>
          <w:color w:val="000000"/>
          <w:sz w:val="22"/>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spacing w:lineRule="auto" w:line="288" w:before="0" w:after="240"/>
        <w:ind w:left="0" w:right="0" w:firstLine="720"/>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Non-exclusivity of the Plan</w:t>
      </w:r>
      <w:r>
        <w:rPr>
          <w:rFonts w:ascii="Times New Roman;sans-serif" w:hAnsi="Times New Roman;sans-serif"/>
          <w:b w:val="false"/>
          <w:color w:val="000000"/>
          <w:sz w:val="22"/>
        </w:rPr>
        <w:t>. Neither the adoption of the Plan by the Board, the submission of the Plan to the stockholders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pStyle w:val="TextBody"/>
        <w:spacing w:lineRule="auto" w:line="288" w:before="0" w:after="240"/>
        <w:ind w:left="0" w:right="0" w:firstLine="720"/>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xml:space="preserve">. Except as otherwise stated in an Award Agreement, Awards will be governed by the internal laws of the State of New York without giving effect to any choice of law rule </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that would cause the application of the laws of any jurisdiction other than the internal laws of the State of New York to the rights and duties of the parties.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AMENDMENT TO</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MOUNT SINAI GENOMICS, INC.</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2017 STOCK INCENTIVE PLAN</w:t>
      </w:r>
    </w:p>
    <w:p>
      <w:pPr>
        <w:pStyle w:val="TextBody"/>
        <w:spacing w:lineRule="auto" w:line="288" w:before="0" w:after="240"/>
        <w:ind w:left="0" w:right="0" w:firstLine="489"/>
        <w:jc w:val="both"/>
        <w:rPr/>
      </w:pPr>
      <w:r>
        <w:rPr>
          <w:rFonts w:ascii="Times New Roman;sans-serif" w:hAnsi="Times New Roman;sans-serif"/>
          <w:b/>
          <w:color w:val="000000"/>
          <w:sz w:val="22"/>
        </w:rPr>
        <w:t xml:space="preserve">THIS AMENDMENT </w:t>
      </w:r>
      <w:r>
        <w:rPr>
          <w:rFonts w:ascii="Times New Roman;sans-serif" w:hAnsi="Times New Roman;sans-serif"/>
          <w:b w:val="false"/>
          <w:color w:val="000000"/>
          <w:sz w:val="22"/>
        </w:rPr>
        <w:t>(this “Amendment”) to the Mount Sinai Genomics, Inc. 2017 Stock Incentive Plan (the “Plan”), is adopted by Mount Sinai Genomics, Inc., a Delaware corporation (the “Company”)</w:t>
      </w:r>
      <w:r>
        <w:rPr>
          <w:rFonts w:ascii="Times New Roman;sans-serif" w:hAnsi="Times New Roman;sans-serif"/>
          <w:b/>
          <w:color w:val="000000"/>
          <w:sz w:val="22"/>
        </w:rPr>
        <w:t xml:space="preserve">, </w:t>
      </w:r>
      <w:r>
        <w:rPr>
          <w:rFonts w:ascii="Times New Roman;sans-serif" w:hAnsi="Times New Roman;sans-serif"/>
          <w:b w:val="false"/>
          <w:color w:val="000000"/>
          <w:sz w:val="22"/>
        </w:rPr>
        <w:t>effective as of February 28, 2018. All capitalized terms in this Amendment shall have the same meaning as in the Plan.</w:t>
      </w:r>
    </w:p>
    <w:p>
      <w:pPr>
        <w:pStyle w:val="TextBody"/>
        <w:spacing w:lineRule="auto" w:line="288" w:before="0" w:after="240"/>
        <w:ind w:left="0" w:right="0" w:firstLine="489"/>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Section 13(a) of the Plan, the Board may amend the Plan, in some cases subject to approval of the Company’s stockholders;</w:t>
      </w:r>
    </w:p>
    <w:p>
      <w:pPr>
        <w:pStyle w:val="TextBody"/>
        <w:spacing w:lineRule="auto" w:line="288" w:before="0" w:after="240"/>
        <w:ind w:left="0" w:right="0" w:firstLine="489"/>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Company’s Certificate of Incorporation has been amended to provide for two classes of common stock, Class A common stock and Class B common stock, and the Board of Directors with the approval of the Company’s stockholders has deemed it to be in the best interests of the Company to amend the Plan to provide for the grant of Awards in either or both Class A common stock or Class B common stock;</w:t>
      </w:r>
    </w:p>
    <w:p>
      <w:pPr>
        <w:pStyle w:val="TextBody"/>
        <w:spacing w:lineRule="auto" w:line="288" w:before="0" w:after="240"/>
        <w:ind w:left="0" w:right="0" w:firstLine="489"/>
        <w:jc w:val="both"/>
        <w:rPr/>
      </w:pPr>
      <w:r>
        <w:rPr>
          <w:rFonts w:ascii="Times New Roman;sans-serif" w:hAnsi="Times New Roman;sans-serif"/>
          <w:b/>
          <w:color w:val="000000"/>
          <w:sz w:val="22"/>
        </w:rPr>
        <w:t xml:space="preserve">NOW, THEREFORE, </w:t>
      </w:r>
      <w:r>
        <w:rPr>
          <w:rFonts w:ascii="Times New Roman;sans-serif" w:hAnsi="Times New Roman;sans-serif"/>
          <w:b w:val="false"/>
          <w:color w:val="000000"/>
          <w:sz w:val="22"/>
        </w:rPr>
        <w:t>the Company, by action of the Board and the approval of its stockholders, has adopted the amendments to the Plan set forth below:</w:t>
      </w:r>
    </w:p>
    <w:p>
      <w:pPr>
        <w:pStyle w:val="TextBody"/>
        <w:spacing w:lineRule="auto" w:line="288" w:before="0" w:after="240"/>
        <w:ind w:left="0" w:right="0" w:hanging="360"/>
        <w:rPr/>
      </w:pPr>
      <w:r>
        <w:rPr>
          <w:rFonts w:ascii="Times New Roman;sans-serif" w:hAnsi="Times New Roman;sans-serif"/>
          <w:b w:val="false"/>
          <w:color w:val="000000"/>
          <w:sz w:val="24"/>
        </w:rPr>
        <w:t>1.    </w:t>
      </w:r>
      <w:r>
        <w:rPr>
          <w:rFonts w:ascii="Times New Roman;sans-serif" w:hAnsi="Times New Roman;sans-serif"/>
          <w:b w:val="false"/>
          <w:color w:val="000000"/>
          <w:sz w:val="22"/>
        </w:rPr>
        <w:t>Section 2(j) of the Plan is amended in its entirety to read as follows:</w:t>
      </w:r>
    </w:p>
    <w:p>
      <w:pPr>
        <w:pStyle w:val="TextBody"/>
        <w:spacing w:lineRule="auto" w:line="288" w:before="0" w:after="24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(j)    “Common Stock” means the Class A common stock of the Company, par value $0.00001, and the Class B common stock of the Company, par value $0.00001. Unless otherwise expressly stated herein, references in the Plan to “Common Stock” shall refer to either Class A common stock or Class B common stock or to both Class A common stock and Class B common stock, as the context requires. Each Award Agreement shall state expressly whether it relates to Shares of Class A common stock or to Shares of Class B common stock. References to “Common Stock” in any Award Agreement granted prior to February 28, 2018, shall mean Class A common stock.</w:t>
      </w:r>
    </w:p>
    <w:p>
      <w:pPr>
        <w:pStyle w:val="TextBody"/>
        <w:spacing w:lineRule="auto" w:line="288" w:before="0" w:after="240"/>
        <w:ind w:left="0" w:right="0" w:hanging="361"/>
        <w:rPr/>
      </w:pPr>
      <w:r>
        <w:rPr>
          <w:rFonts w:ascii="Times New Roman;sans-serif" w:hAnsi="Times New Roman;sans-serif"/>
          <w:b w:val="false"/>
          <w:color w:val="000000"/>
          <w:sz w:val="24"/>
        </w:rPr>
        <w:t>2.    </w:t>
      </w:r>
      <w:r>
        <w:rPr>
          <w:rFonts w:ascii="Times New Roman;sans-serif" w:hAnsi="Times New Roman;sans-serif"/>
          <w:b w:val="false"/>
          <w:color w:val="000000"/>
          <w:sz w:val="22"/>
        </w:rPr>
        <w:t>Section 3(a) of the Plan is amended in its entirety to read as follows:</w:t>
      </w:r>
    </w:p>
    <w:p>
      <w:pPr>
        <w:pStyle w:val="TextBody"/>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Subject to the provisions of Section 10 below, the maximum aggregate numbers of Shares that may be issued pursuant to all Awards (which maximum aggregate numbers include all Incentive Stock Options and are the maximum aggregate numbers of Shares that may be issued as Incentive Stock Options) are one hundred forty-two thousand five hundred (142,500) Shares of Class A common stock and five million seven hundred fifty thousand (5,750,000) Shares of Class B common stock. Subject to the provisions of Section 10 below, any increase to the maximum aggregate number of Shares of each class that may be issued pursuant to all Awards shall be subject to stockholder approval. The Shares may be authorized, but unissued, or reacquired Common Stock. In addition, Dividend Equivalent Rights shall be payable solely in cash and therefore the issuance of Dividend Equivalent Rights shall not be deemed to reduce the maximum aggregate number of Shares that may be issued under the Plan.</w:t>
      </w:r>
    </w:p>
    <w:p>
      <w:pPr>
        <w:pStyle w:val="TextBody"/>
        <w:spacing w:lineRule="auto" w:line="288" w:before="0" w:after="240"/>
        <w:ind w:left="0" w:right="0" w:hanging="360"/>
        <w:rPr/>
      </w:pPr>
      <w:r>
        <w:rPr>
          <w:rFonts w:ascii="Times New Roman;sans-serif" w:hAnsi="Times New Roman;sans-serif"/>
          <w:b w:val="false"/>
          <w:color w:val="000000"/>
          <w:sz w:val="24"/>
        </w:rPr>
        <w:t>3.    </w:t>
      </w:r>
      <w:r>
        <w:rPr>
          <w:rFonts w:ascii="Times New Roman;sans-serif" w:hAnsi="Times New Roman;sans-serif"/>
          <w:b w:val="false"/>
          <w:color w:val="000000"/>
          <w:sz w:val="22"/>
        </w:rPr>
        <w:t>Except as modified hereby, all of the provisions of the Plan remain in full force and effect.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SECOND AMENDMENT TO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MOUNT SINAI GENOMICS, INC. </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2017 STOCK INCENTIVE PLAN</w:t>
      </w:r>
    </w:p>
    <w:p>
      <w:pPr>
        <w:pStyle w:val="TextBody"/>
        <w:spacing w:lineRule="auto" w:line="288" w:before="0" w:after="240"/>
        <w:ind w:left="0" w:right="0" w:firstLine="720"/>
        <w:jc w:val="both"/>
        <w:rPr/>
      </w:pPr>
      <w:r>
        <w:rPr>
          <w:rFonts w:ascii="Times New Roman;sans-serif" w:hAnsi="Times New Roman;sans-serif"/>
          <w:b/>
          <w:color w:val="000000"/>
          <w:sz w:val="22"/>
        </w:rPr>
        <w:t xml:space="preserve">THIS SECOND AMENDMENT </w:t>
      </w:r>
      <w:r>
        <w:rPr>
          <w:rFonts w:ascii="Times New Roman;sans-serif" w:hAnsi="Times New Roman;sans-serif"/>
          <w:b w:val="false"/>
          <w:color w:val="000000"/>
          <w:sz w:val="22"/>
        </w:rPr>
        <w:t>(this “Amendment”) to the Mount Sinai Genomics, Inc. 2017 Stock Incentive Plan, as amended by that certain Amendment, effective as of February 28, 2018 (the “Plan”), is adopted by Mount Sinai Genomics, Inc., a Delaware corporation (the “Company”)</w:t>
      </w:r>
      <w:r>
        <w:rPr>
          <w:rFonts w:ascii="Times New Roman;sans-serif" w:hAnsi="Times New Roman;sans-serif"/>
          <w:b/>
          <w:color w:val="000000"/>
          <w:sz w:val="22"/>
        </w:rPr>
        <w:t xml:space="preserve">, </w:t>
      </w:r>
      <w:r>
        <w:rPr>
          <w:rFonts w:ascii="Times New Roman;sans-serif" w:hAnsi="Times New Roman;sans-serif"/>
          <w:b w:val="false"/>
          <w:color w:val="000000"/>
          <w:sz w:val="22"/>
        </w:rPr>
        <w:t>effective as of August 2, 2019. All capitalized terms in this Amendment shall have the same meaning as in the Plan.</w:t>
      </w:r>
    </w:p>
    <w:p>
      <w:pPr>
        <w:pStyle w:val="TextBody"/>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Section 13(a) of the Plan, the Board may amend the Plan, in some cases subject to approval of the Company’s stockholders;</w:t>
      </w:r>
    </w:p>
    <w:p>
      <w:pPr>
        <w:pStyle w:val="TextBody"/>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Board of Directors with the approval of the Company’s stockholders has deemed it to be in the best interests of the Company and its stockholders to increase the number of shares of the Company’s Common Stock reserved for issuance under the Plan, contingent and effective upon the occurrence of the Closing (as defined in the certain Stock Purchase Agreement, by and among the Company and the Purchasers listed on Exhibit A attached thereto);</w:t>
      </w:r>
    </w:p>
    <w:p>
      <w:pPr>
        <w:pStyle w:val="TextBody"/>
        <w:spacing w:lineRule="auto" w:line="288" w:before="0" w:after="240"/>
        <w:ind w:left="0" w:right="0" w:firstLine="720"/>
        <w:jc w:val="both"/>
        <w:rPr/>
      </w:pPr>
      <w:r>
        <w:rPr>
          <w:rFonts w:ascii="Times New Roman;sans-serif" w:hAnsi="Times New Roman;sans-serif"/>
          <w:b/>
          <w:color w:val="000000"/>
          <w:sz w:val="22"/>
        </w:rPr>
        <w:t xml:space="preserve">NOW, THEREFORE, </w:t>
      </w:r>
      <w:r>
        <w:rPr>
          <w:rFonts w:ascii="Times New Roman;sans-serif" w:hAnsi="Times New Roman;sans-serif"/>
          <w:b w:val="false"/>
          <w:color w:val="000000"/>
          <w:sz w:val="22"/>
        </w:rPr>
        <w:t>the Company, by action of the Board and the approval of its stockholders, has adopted the amendments to the Plan set forth below:</w:t>
      </w:r>
    </w:p>
    <w:p>
      <w:pPr>
        <w:pStyle w:val="TextBody"/>
        <w:spacing w:lineRule="auto" w:line="288" w:before="0" w:after="240"/>
        <w:ind w:left="0" w:right="0" w:hanging="721"/>
        <w:rPr/>
      </w:pPr>
      <w:r>
        <w:rPr>
          <w:rFonts w:ascii="Times New Roman;sans-serif" w:hAnsi="Times New Roman;sans-serif"/>
          <w:b w:val="false"/>
          <w:color w:val="000000"/>
          <w:sz w:val="24"/>
        </w:rPr>
        <w:t>1.    </w:t>
      </w:r>
      <w:r>
        <w:rPr>
          <w:rFonts w:ascii="Times New Roman;sans-serif" w:hAnsi="Times New Roman;sans-serif"/>
          <w:b w:val="false"/>
          <w:color w:val="000000"/>
          <w:sz w:val="22"/>
        </w:rPr>
        <w:t>Section 3(a) of the Plan is amended in its entirety to read as follows:</w:t>
      </w:r>
    </w:p>
    <w:p>
      <w:pPr>
        <w:pStyle w:val="TextBody"/>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Subject to the provisions of Section 10 below, the maximum aggregate numbers of Shares that may be issued pursuant to all Awards (which maximum aggregate numbers include all Incentive Stock Options and are the maximum aggregate numbers of Shares that may be issued as Incentive Stock Options) are one hundred forty-two thousand five hundred (142,500) Shares of Class A common stock and thirteen million six hundred sixty-nine thousand two hundred (13,669,200) Shares of Class B common stock. Subject to the provisions of Section 10 below, any increase to the maximum aggregate number of Shares of each class that may be issued pursuant to all Awards shall be subject to stockholder approval. The Shares may be authorized, but unissued, or reacquired Common Stock. In addition, Dividend Equivalent Rights shall be payable solely in cash and therefore the issuance of Dividend Equivalent Rights shall not be deemed to reduce the maximum aggregate number of Shares that may be issued under the Plan.</w:t>
      </w:r>
    </w:p>
    <w:p>
      <w:pPr>
        <w:pStyle w:val="TextBody"/>
        <w:spacing w:lineRule="auto" w:line="288" w:before="0" w:after="240"/>
        <w:ind w:left="0" w:right="0" w:hanging="720"/>
        <w:rPr/>
      </w:pPr>
      <w:r>
        <w:rPr>
          <w:rFonts w:ascii="Times New Roman;sans-serif" w:hAnsi="Times New Roman;sans-serif"/>
          <w:b w:val="false"/>
          <w:color w:val="000000"/>
          <w:sz w:val="24"/>
        </w:rPr>
        <w:t>2.    </w:t>
      </w:r>
      <w:r>
        <w:rPr>
          <w:rFonts w:ascii="Times New Roman;sans-serif" w:hAnsi="Times New Roman;sans-serif"/>
          <w:b w:val="false"/>
          <w:color w:val="000000"/>
          <w:sz w:val="22"/>
        </w:rPr>
        <w:t>Except as modified hereby, all of the provisions of the Plan remain in full force and effect.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w:t>
      </w:r>
      <w:r>
        <w:rPr>
          <w:rFonts w:ascii="Times New Roman;sans-serif" w:hAnsi="Times New Roman;sans-serif"/>
          <w:b w:val="false"/>
          <w:color w:val="000000"/>
          <w:sz w:val="24"/>
        </w:rPr>
        <w:t>ward Number: [__]</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0.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MOUNT SINAI GENOMICS, INC.</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2017 STOCK INCENTIVE PLAN</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 xml:space="preserve">STOCK OPTION AWARD AGREEMENT </w:t>
      </w:r>
    </w:p>
    <w:p>
      <w:pPr>
        <w:pStyle w:val="TextBody"/>
        <w:spacing w:lineRule="auto" w:line="288" w:before="0" w:after="240"/>
        <w:ind w:left="0" w:right="0" w:firstLine="720"/>
        <w:rPr/>
      </w:pPr>
      <w:r>
        <w:rPr>
          <w:rFonts w:ascii="Times New Roman;sans-serif" w:hAnsi="Times New Roman;sans-serif"/>
          <w:b w:val="false"/>
          <w:color w:val="010000"/>
          <w:sz w:val="24"/>
        </w:rPr>
        <w:t>1.    </w:t>
      </w:r>
      <w:r>
        <w:rPr>
          <w:rFonts w:ascii="Times New Roman;sans-serif" w:hAnsi="Times New Roman;sans-serif"/>
          <w:b w:val="false"/>
          <w:color w:val="000000"/>
          <w:sz w:val="24"/>
          <w:u w:val="single"/>
        </w:rPr>
        <w:t>Grant of Option</w:t>
      </w:r>
      <w:r>
        <w:rPr>
          <w:rFonts w:ascii="Times New Roman;sans-serif" w:hAnsi="Times New Roman;sans-serif"/>
          <w:b w:val="false"/>
          <w:color w:val="000000"/>
          <w:sz w:val="24"/>
        </w:rPr>
        <w:t>.</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rPr>
        <w:t>Mount Sinai Genomics,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grants to the grantee (the “</w:t>
      </w:r>
      <w:r>
        <w:rPr>
          <w:rFonts w:ascii="Times New Roman;sans-serif" w:hAnsi="Times New Roman;sans-serif"/>
          <w:b/>
          <w:i/>
          <w:color w:val="000000"/>
          <w:sz w:val="24"/>
        </w:rPr>
        <w:t>Grantee</w:t>
      </w:r>
      <w:r>
        <w:rPr>
          <w:color w:val="000000"/>
        </w:rPr>
        <w:t>”</w:t>
      </w:r>
      <w:r>
        <w:rPr>
          <w:rFonts w:ascii="Times New Roman;sans-serif" w:hAnsi="Times New Roman;sans-serif"/>
          <w:b w:val="false"/>
          <w:color w:val="000000"/>
          <w:sz w:val="24"/>
        </w:rPr>
        <w:t>) named in the Notice of Stock Option Award (the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an option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to purchase the Total Number of Shares of Class B</w:t>
      </w:r>
      <w:r>
        <w:rPr>
          <w:color w:val="FF0000"/>
        </w:rPr>
        <w:t xml:space="preserve"> </w:t>
      </w:r>
      <w:r>
        <w:rPr>
          <w:rFonts w:ascii="Times New Roman;sans-serif" w:hAnsi="Times New Roman;sans-serif"/>
          <w:b w:val="false"/>
          <w:color w:val="000000"/>
          <w:sz w:val="24"/>
        </w:rPr>
        <w:t>Common Stock subject to the Option (the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set forth in the Notice, at the Exercise Price per Share set forth in the Notice (the “</w:t>
      </w:r>
      <w:r>
        <w:rPr>
          <w:rFonts w:ascii="Times New Roman;sans-serif" w:hAnsi="Times New Roman;sans-serif"/>
          <w:b/>
          <w:i/>
          <w:color w:val="000000"/>
          <w:sz w:val="24"/>
        </w:rPr>
        <w:t>Exercise Price</w:t>
      </w:r>
      <w:r>
        <w:rPr>
          <w:color w:val="000000"/>
        </w:rPr>
        <w:t>”</w:t>
      </w:r>
      <w:r>
        <w:rPr>
          <w:rFonts w:ascii="Times New Roman;sans-serif" w:hAnsi="Times New Roman;sans-serif"/>
          <w:b w:val="false"/>
          <w:color w:val="000000"/>
          <w:sz w:val="24"/>
        </w:rPr>
        <w:t>) subject to the terms and provisions of the Notice, this Stock Option Award Agreement (the “</w:t>
      </w:r>
      <w:r>
        <w:rPr>
          <w:rFonts w:ascii="Times New Roman;sans-serif" w:hAnsi="Times New Roman;sans-serif"/>
          <w:b/>
          <w:i/>
          <w:color w:val="000000"/>
          <w:sz w:val="24"/>
        </w:rPr>
        <w:t>Option Agreement</w:t>
      </w:r>
      <w:r>
        <w:rPr>
          <w:color w:val="000000"/>
        </w:rPr>
        <w:t>”</w:t>
      </w:r>
      <w:r>
        <w:rPr>
          <w:rFonts w:ascii="Times New Roman;sans-serif" w:hAnsi="Times New Roman;sans-serif"/>
          <w:b w:val="false"/>
          <w:color w:val="000000"/>
          <w:sz w:val="24"/>
        </w:rPr>
        <w:t>) and the Company’s 2017 Stock Incentive Plan, as amended from time to time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which are incorporated herein by reference. Unless otherwise defined herein, the terms defined in the Plan shall have the same defined meanings in this Option Agreement.</w: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rPr>
        <w:t>If designated in the Notice as an Incentive Stock Option, the Option is intended to qualify as an Incentive Stock Option as defined in Section 422 of the Code. However, notwithstanding such designation, the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that become exercisable for the first time by the Grantee during any calendar year (under all plans of the Company or any Parent or Subsidiary of the Company). For purposes of this calculation, Incentive Stock Options shall be taken into account in the order in which they were granted, and the Fair Market Value of the shares subject to such options shall be determined as of the grant date of the relevant option.</w:t>
      </w:r>
    </w:p>
    <w:p>
      <w:pPr>
        <w:pStyle w:val="TextBody"/>
        <w:spacing w:lineRule="auto" w:line="288" w:before="0" w:after="240"/>
        <w:ind w:left="0" w:right="0" w:firstLine="720"/>
        <w:rPr/>
      </w:pPr>
      <w:r>
        <w:rPr>
          <w:rFonts w:ascii="Times New Roman;sans-serif" w:hAnsi="Times New Roman;sans-serif"/>
          <w:b w:val="false"/>
          <w:color w:val="010000"/>
          <w:sz w:val="24"/>
        </w:rPr>
        <w:t>2.    </w:t>
      </w:r>
      <w:r>
        <w:rPr>
          <w:rFonts w:ascii="Times New Roman;sans-serif" w:hAnsi="Times New Roman;sans-serif"/>
          <w:b w:val="false"/>
          <w:color w:val="000000"/>
          <w:sz w:val="24"/>
          <w:u w:val="single"/>
        </w:rPr>
        <w:t>Exercise of Option</w:t>
      </w:r>
      <w:r>
        <w:rPr>
          <w:rFonts w:ascii="Times New Roman;sans-serif" w:hAnsi="Times New Roman;sans-serif"/>
          <w:b w:val="false"/>
          <w:color w:val="000000"/>
          <w:sz w:val="24"/>
        </w:rPr>
        <w:t>.</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Right to Exercise</w:t>
      </w:r>
      <w:r>
        <w:rPr>
          <w:rFonts w:ascii="Times New Roman;sans-serif" w:hAnsi="Times New Roman;sans-serif"/>
          <w:b w:val="false"/>
          <w:color w:val="000000"/>
          <w:sz w:val="24"/>
        </w:rPr>
        <w:t>. The Option shall vest and become exercisable during its term in accordance with the Vesting Schedule set out in the Notice and with the applicable provisions of the Plan and this Option Agreement. The Option shall be subject to the provisions of Section 11 of the Plan and the terms of the Notice relating to the exercisability or termination of the Option in the event of a Corporate Transaction. The Grantee shall be subject to reasonable limitations on the number of requested exercises during any monthly or weekly period as determined by the Administrator. In no event shall the Company issue fractional Shares.</w: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xml:space="preserve">. The Option shall be exercisable by delivery of an exercise notice (a form of which is attached as Exhibit A) or by such other procedure as specified from time to time by the Administrator, which shall state the election to exercise the Option, the whole number of Shares in respect of which the Option is being exercised, and such other provisions as may be required by the Administrator. The exercise notice shall be delivered in person, by certified mail, or by such other method (including electronic transmission) as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color w:val="000000"/>
                        </w:rPr>
                      </w:pPr>
                      <w:r>
                        <w:rPr>
                          <w:color w:val="000000"/>
                        </w:rPr>
                        <w:t>    </w:t>
                      </w:r>
                    </w:p>
                  </w:txbxContent>
                </v:textbox>
              </v:rect>
            </w:pict>
          </mc:Fallback>
        </mc:AlternateConten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determined from time to time by the Administrator to the Company accompanied by payment of the Exercise Price and all applicable income and employment taxes required to be withheld. The Option shall be deemed to be exercised upon receipt by the Company of such notice accompanied by the Exercise Price and all applicable withholding taxes, which, to the extent selected, shall be deemed to be satisfied by use of the broker-dealer sale and remittance procedure to pay the Exercise Price provided in Section 4(d) below to the extent such procedure is available to the Grantee at the time of exercise and such an exercise would not violate any Applicable Law.</w:t>
      </w:r>
    </w:p>
    <w:p>
      <w:pPr>
        <w:pStyle w:val="TextBody"/>
        <w:spacing w:lineRule="auto" w:line="288" w:before="0" w:after="240"/>
        <w:ind w:left="0" w:right="0" w:firstLine="1440"/>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No Shares will be delivered to the Grantee or other person pursuant to the exercise of the Option until the Grantee or other person has made arrangements acceptable to the Administrator for the satisfaction of applicable income tax and employment tax withholding obligations, including, without limitation, such other tax obligations of the Grantee incident to the receipt of Shares. Upon exercise of the Option, the Company or the Grantee’s employer may offset or withhold (from any amount owed by the Company or the Grantee’s employer to the Grantee) or collect from the Grantee or other person an amount sufficient to satisfy such tax withholding obligations. Furthermore, in the event of any determination that the Company has failed to withhold a sum sufficient to pay all withholding taxes due in connection with the Option, the Grantee agrees to pay the Company the amount of such deficiency in cash within five (5) days after receiving a written demand from the Company to do so, whether or not the Grantee is an employee of the Company at that time.</w:t>
      </w:r>
    </w:p>
    <w:p>
      <w:pPr>
        <w:pStyle w:val="TextBody"/>
        <w:spacing w:lineRule="auto" w:line="288" w:before="0" w:after="240"/>
        <w:ind w:left="0" w:right="0" w:firstLine="720"/>
        <w:rPr/>
      </w:pPr>
      <w:r>
        <w:rPr>
          <w:rFonts w:ascii="Times New Roman;sans-serif" w:hAnsi="Times New Roman;sans-serif"/>
          <w:b w:val="false"/>
          <w:color w:val="010000"/>
          <w:sz w:val="24"/>
        </w:rPr>
        <w:t>3.    </w:t>
      </w:r>
      <w:r>
        <w:rPr>
          <w:rFonts w:ascii="Times New Roman;sans-serif" w:hAnsi="Times New Roman;sans-serif"/>
          <w:b w:val="false"/>
          <w:color w:val="000000"/>
          <w:sz w:val="24"/>
          <w:u w:val="single"/>
        </w:rPr>
        <w:t>Grantee’s Representations</w:t>
      </w:r>
      <w:r>
        <w:rPr>
          <w:rFonts w:ascii="Times New Roman;sans-serif" w:hAnsi="Times New Roman;sans-serif"/>
          <w:b w:val="false"/>
          <w:color w:val="000000"/>
          <w:sz w:val="24"/>
        </w:rPr>
        <w:t>. The Grantee understands that neither the Option nor the Shares exercisable pursuant to the Option have been registered under the Securities Act of 1933, as amended or any United States securities laws. In the event the Shares purchasable pursuant to the exercise of the Option have not been registered under the Securities Act of 1933, as amended, at the time the Option is exercised, the Grantee shall, if requested by the Company, concurrently with the exercise of all or any portion of the Option, deliver to the Company his or her Investment Representation Statement in the form attached hereto as Exhibit B.</w:t>
      </w:r>
    </w:p>
    <w:p>
      <w:pPr>
        <w:pStyle w:val="TextBody"/>
        <w:spacing w:lineRule="auto" w:line="288" w:before="0" w:after="240"/>
        <w:ind w:left="0" w:right="0" w:firstLine="720"/>
        <w:rPr/>
      </w:pPr>
      <w:r>
        <w:rPr>
          <w:rFonts w:ascii="Times New Roman;sans-serif" w:hAnsi="Times New Roman;sans-serif"/>
          <w:b w:val="false"/>
          <w:color w:val="010000"/>
          <w:sz w:val="24"/>
        </w:rPr>
        <w:t>4.    </w:t>
      </w:r>
      <w:r>
        <w:rPr>
          <w:rFonts w:ascii="Times New Roman;sans-serif" w:hAnsi="Times New Roman;sans-serif"/>
          <w:b w:val="false"/>
          <w:color w:val="000000"/>
          <w:sz w:val="24"/>
          <w:u w:val="single"/>
        </w:rPr>
        <w:t>Method of Payment</w:t>
      </w:r>
      <w:r>
        <w:rPr>
          <w:rFonts w:ascii="Times New Roman;sans-serif" w:hAnsi="Times New Roman;sans-serif"/>
          <w:b w:val="false"/>
          <w:color w:val="000000"/>
          <w:sz w:val="24"/>
        </w:rPr>
        <w:t>. Payment of the Exercise Price shall be made by any of the following, or a combination thereof, at the election of the Grantee (in the case of clause (4(e), to the extent implemented by the Administrator in connection with the Plan); provided, however, that such exercise method does not then violate any Applicable Law and, provided further, that the portion of the Exercise Price equal to the par value of the Shares must be paid in cash or other legal consideration permitted by the Delaware General Corporation Law:</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rPr>
        <w:t>cash;</w: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rPr>
        <w:t>check;</w:t>
      </w:r>
    </w:p>
    <w:p>
      <w:pPr>
        <w:pStyle w:val="TextBody"/>
        <w:spacing w:lineRule="auto" w:line="288" w:before="0" w:after="240"/>
        <w:ind w:left="0" w:right="0" w:firstLine="1440"/>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if the exercise occurs on or after the Registration Date, surrender of Shares held for the requisite period, if any, necessary to avoid a charge to the Company’s earnings for financial reporting purposes, or delivery of a properly executed form of attestation of ownership of Shares as the Administrator may require that have a Fair Market Value on the date of </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surrender or attestation equal to the aggregate Exercise Price of the Shares as to which the Option is being exercised;</w:t>
      </w:r>
    </w:p>
    <w:p>
      <w:pPr>
        <w:pStyle w:val="TextBody"/>
        <w:spacing w:lineRule="auto" w:line="288" w:before="0" w:after="240"/>
        <w:ind w:left="0" w:right="0" w:firstLine="1440"/>
        <w:rPr/>
      </w:pPr>
      <w:r>
        <w:rPr>
          <w:rFonts w:ascii="Times New Roman;sans-serif" w:hAnsi="Times New Roman;sans-serif"/>
          <w:b w:val="false"/>
          <w:color w:val="010000"/>
          <w:sz w:val="24"/>
        </w:rPr>
        <w:t>(d)    </w:t>
      </w:r>
      <w:r>
        <w:rPr>
          <w:rFonts w:ascii="Times New Roman;sans-serif" w:hAnsi="Times New Roman;sans-serif"/>
          <w:b w:val="false"/>
          <w:color w:val="000000"/>
          <w:sz w:val="24"/>
        </w:rPr>
        <w:t>if the exercise occurs on or after the Registration Date, payment through a broker-dealer sale and remittance procedure pursuant to which the Grantee (i) shall provide written instructions to a Company-designated brokerage firm to effect the immediate sale of some or all of the purchased Shares and remit to the Company sufficient funds to cover the aggregate exercise price payable for the purchased Shares and (ii) shall provide written directives to the Company to deliver the certificates for the purchased Shares directly to such brokerage firm in order to complete the sale transaction;</w:t>
      </w:r>
    </w:p>
    <w:p>
      <w:pPr>
        <w:pStyle w:val="TextBody"/>
        <w:spacing w:lineRule="auto" w:line="288" w:before="0" w:after="240"/>
        <w:ind w:left="0" w:right="0" w:firstLine="1440"/>
        <w:rPr/>
      </w:pPr>
      <w:r>
        <w:rPr>
          <w:rFonts w:ascii="Times New Roman;sans-serif" w:hAnsi="Times New Roman;sans-serif"/>
          <w:b w:val="false"/>
          <w:color w:val="010000"/>
          <w:sz w:val="24"/>
        </w:rPr>
        <w:t>(e)    </w:t>
      </w:r>
      <w:r>
        <w:rPr>
          <w:rFonts w:ascii="Times New Roman;sans-serif" w:hAnsi="Times New Roman;sans-serif"/>
          <w:b w:val="false"/>
          <w:color w:val="000000"/>
          <w:sz w:val="24"/>
        </w:rPr>
        <w:t>if implemented by the Administrator in connection with the Plan, by participating in a “net exercise” program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pStyle w:val="TextBody"/>
        <w:spacing w:lineRule="auto" w:line="288" w:before="0" w:after="240"/>
        <w:ind w:left="0" w:right="0" w:firstLine="1440"/>
        <w:rPr/>
      </w:pPr>
      <w:r>
        <w:rPr>
          <w:rFonts w:ascii="Times New Roman;sans-serif" w:hAnsi="Times New Roman;sans-serif"/>
          <w:b w:val="false"/>
          <w:color w:val="010000"/>
          <w:sz w:val="24"/>
        </w:rPr>
        <w:t>(f)    </w:t>
      </w:r>
      <w:r>
        <w:rPr>
          <w:rFonts w:ascii="Times New Roman;sans-serif" w:hAnsi="Times New Roman;sans-serif"/>
          <w:b w:val="false"/>
          <w:color w:val="000000"/>
          <w:sz w:val="24"/>
        </w:rPr>
        <w:t>any combination of the foregoing methods of payment.</w:t>
      </w:r>
    </w:p>
    <w:p>
      <w:pPr>
        <w:pStyle w:val="TextBody"/>
        <w:spacing w:lineRule="auto" w:line="288" w:before="0" w:after="240"/>
        <w:ind w:left="0" w:right="0" w:firstLine="720"/>
        <w:rPr/>
      </w:pPr>
      <w:r>
        <w:rPr>
          <w:rFonts w:ascii="Times New Roman;sans-serif" w:hAnsi="Times New Roman;sans-serif"/>
          <w:b w:val="false"/>
          <w:color w:val="010000"/>
          <w:sz w:val="24"/>
        </w:rPr>
        <w:t>5.    </w:t>
      </w:r>
      <w:r>
        <w:rPr>
          <w:rFonts w:ascii="Times New Roman;sans-serif" w:hAnsi="Times New Roman;sans-serif"/>
          <w:b w:val="false"/>
          <w:color w:val="000000"/>
          <w:sz w:val="24"/>
          <w:u w:val="single"/>
        </w:rPr>
        <w:t>Restrictions on Exercise</w:t>
      </w:r>
      <w:r>
        <w:rPr>
          <w:rFonts w:ascii="Times New Roman;sans-serif" w:hAnsi="Times New Roman;sans-serif"/>
          <w:b w:val="false"/>
          <w:color w:val="000000"/>
          <w:sz w:val="24"/>
        </w:rPr>
        <w:t>. The Option may not be exercised if the issuance of the Shares subject to the Option upon such exercise would constitute a violation of any Applicable Laws. If the exercise of the Option within the applicable time periods set forth in Section 6, 7 and 8 of this Option Agreement is prevented by the provisions of this Section 5, the Option shall remain exercisable until one (1) month after the date the Grantee is notified by the Company that the Option is exercisable, but in any event no later than the Expiration Date set forth in the Notice.</w:t>
      </w:r>
    </w:p>
    <w:p>
      <w:pPr>
        <w:pStyle w:val="TextBody"/>
        <w:spacing w:lineRule="auto" w:line="288" w:before="0" w:after="240"/>
        <w:ind w:left="0" w:right="0" w:firstLine="720"/>
        <w:rPr/>
      </w:pPr>
      <w:r>
        <w:rPr>
          <w:rFonts w:ascii="Times New Roman;sans-serif" w:hAnsi="Times New Roman;sans-serif"/>
          <w:b w:val="false"/>
          <w:color w:val="010000"/>
          <w:sz w:val="24"/>
        </w:rPr>
        <w:t>6.    </w:t>
      </w:r>
      <w:r>
        <w:rPr>
          <w:rFonts w:ascii="Times New Roman;sans-serif" w:hAnsi="Times New Roman;sans-serif"/>
          <w:b w:val="false"/>
          <w:color w:val="000000"/>
          <w:sz w:val="24"/>
          <w:u w:val="single"/>
        </w:rPr>
        <w:t>Termination or Change of Continuous Service</w:t>
      </w:r>
      <w:r>
        <w:rPr>
          <w:rFonts w:ascii="Times New Roman;sans-serif" w:hAnsi="Times New Roman;sans-serif"/>
          <w:b w:val="false"/>
          <w:color w:val="000000"/>
          <w:sz w:val="24"/>
        </w:rPr>
        <w:t>.</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rPr>
        <w:t>In the event the Grantee’s Continuous Service terminates, for any reason other than the Grantee’s death or Disability or termination by the Company for Cause, the Grantee may exercise the Option with respect to all Shares that are vested as of the termination of the Grantee’s Continuous Service (the “</w:t>
      </w:r>
      <w:r>
        <w:rPr>
          <w:rFonts w:ascii="Times New Roman;sans-serif" w:hAnsi="Times New Roman;sans-serif"/>
          <w:b/>
          <w:i/>
          <w:color w:val="000000"/>
          <w:sz w:val="24"/>
        </w:rPr>
        <w:t>Termination Date</w:t>
      </w:r>
      <w:r>
        <w:rPr>
          <w:color w:val="000000"/>
        </w:rPr>
        <w:t>”</w:t>
      </w:r>
      <w:r>
        <w:rPr>
          <w:rFonts w:ascii="Times New Roman;sans-serif" w:hAnsi="Times New Roman;sans-serif"/>
          <w:b w:val="false"/>
          <w:color w:val="000000"/>
          <w:sz w:val="24"/>
        </w:rPr>
        <w:t>) within three (3) months of the Termination Date (but in no event later than the Expiration Date). If not so exercised the Option with respect to the vested Shares shall be forfeited.</w: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rPr>
        <w:t>In the event of termination of the Grantee’s Continuous Service for Cause, the Grantee’s right to exercise the Option shall, except as otherwise determined by the Administrator, terminate concurrently with the Termination Date.</w:t>
      </w:r>
    </w:p>
    <w:p>
      <w:pPr>
        <w:pStyle w:val="TextBody"/>
        <w:spacing w:lineRule="auto" w:line="288" w:before="0" w:after="240"/>
        <w:ind w:left="0" w:right="0" w:firstLine="1440"/>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In the event of the Grantee’s change in status from Employee, Director or Consultant to any other status of Employee, Director or Consultant, the Option shall remain in effect and the Option shall continue to vest in accordance with the Vesting Schedule set forth in </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the Notice to the extent determined by the Administrator; provided, however, with respect to any Incentive Stock Option that remains in effect after such change in status from Employee to Director or Consultant, such Incentive Stock Option shall cease to be treated as an Incentive Stock Option and shall be treated as a Non-Qualified Stock Option on the day three (3) months and one (1) day following such change in status.</w:t>
      </w:r>
    </w:p>
    <w:p>
      <w:pPr>
        <w:pStyle w:val="TextBody"/>
        <w:spacing w:lineRule="auto" w:line="288" w:before="0" w:after="240"/>
        <w:ind w:left="0" w:right="0" w:firstLine="1440"/>
        <w:rPr/>
      </w:pPr>
      <w:r>
        <w:rPr>
          <w:rFonts w:ascii="Times New Roman;sans-serif" w:hAnsi="Times New Roman;sans-serif"/>
          <w:b w:val="false"/>
          <w:color w:val="010000"/>
          <w:sz w:val="24"/>
        </w:rPr>
        <w:t>(d)    </w:t>
      </w:r>
      <w:r>
        <w:rPr>
          <w:rFonts w:ascii="Times New Roman;sans-serif" w:hAnsi="Times New Roman;sans-serif"/>
          <w:b w:val="false"/>
          <w:color w:val="000000"/>
          <w:sz w:val="24"/>
        </w:rPr>
        <w:t>To the extent that the Option was unvested on the Termination Date, the Option shall terminate.</w:t>
      </w:r>
    </w:p>
    <w:p>
      <w:pPr>
        <w:pStyle w:val="TextBody"/>
        <w:spacing w:lineRule="auto" w:line="288" w:before="0" w:after="240"/>
        <w:ind w:left="0" w:right="0" w:firstLine="720"/>
        <w:rPr/>
      </w:pPr>
      <w:r>
        <w:rPr>
          <w:rFonts w:ascii="Times New Roman;sans-serif" w:hAnsi="Times New Roman;sans-serif"/>
          <w:b w:val="false"/>
          <w:color w:val="010000"/>
          <w:sz w:val="24"/>
        </w:rPr>
        <w:t>7.    </w:t>
      </w:r>
      <w:r>
        <w:rPr>
          <w:rFonts w:ascii="Times New Roman;sans-serif" w:hAnsi="Times New Roman;sans-serif"/>
          <w:b w:val="false"/>
          <w:color w:val="000000"/>
          <w:sz w:val="24"/>
          <w:u w:val="single"/>
        </w:rPr>
        <w:t>Disability of Grantee</w:t>
      </w:r>
      <w:r>
        <w:rPr>
          <w:rFonts w:ascii="Times New Roman;sans-serif" w:hAnsi="Times New Roman;sans-serif"/>
          <w:b w:val="false"/>
          <w:color w:val="000000"/>
          <w:sz w:val="24"/>
        </w:rPr>
        <w:t>. In the event the Grantee’s Continuous Service terminates as a result of his or her Disability, the Grantee may exercise the Option with respect to all Shares that are vested as of the Termination Date only as set forth in Section 8(c) of the Plan. To the extent that the Option was unvested on the Termination Date, or if the Grantee does not exercise the vested portion of the Option within the time specified herein, the Option shall terminate.</w:t>
      </w:r>
    </w:p>
    <w:p>
      <w:pPr>
        <w:pStyle w:val="TextBody"/>
        <w:spacing w:lineRule="auto" w:line="288" w:before="0" w:after="240"/>
        <w:ind w:left="0" w:right="0" w:firstLine="720"/>
        <w:rPr/>
      </w:pPr>
      <w:r>
        <w:rPr>
          <w:rFonts w:ascii="Times New Roman;sans-serif" w:hAnsi="Times New Roman;sans-serif"/>
          <w:b w:val="false"/>
          <w:color w:val="010000"/>
          <w:sz w:val="24"/>
        </w:rPr>
        <w:t>8.    </w:t>
      </w:r>
      <w:r>
        <w:rPr>
          <w:rFonts w:ascii="Times New Roman;sans-serif" w:hAnsi="Times New Roman;sans-serif"/>
          <w:b w:val="false"/>
          <w:color w:val="000000"/>
          <w:sz w:val="24"/>
          <w:u w:val="single"/>
        </w:rPr>
        <w:t>Death of Grantee</w:t>
      </w:r>
      <w:r>
        <w:rPr>
          <w:rFonts w:ascii="Times New Roman;sans-serif" w:hAnsi="Times New Roman;sans-serif"/>
          <w:b w:val="false"/>
          <w:color w:val="000000"/>
          <w:sz w:val="24"/>
        </w:rPr>
        <w:t>. In the event of the termination of the Grantee’s Continuous Service as a result of his or her death, or in the event of the Grantee’s death during the Post- Termination Exercise Period or during the twelve (12) month period following the Grantee’s termination of Continuous Service as a result of his or her Disability, the person who acquired the right to exercise the Option pursuant to Section 9 may exercise the portion of the Option that was vested at the date of termination only as set forth in Section 8(d) of the Plan. To the extent that the Option was unvested on the date of death, or if the vested portion of the Option is not exercised within the time specified herein, the Option shall terminate.</w:t>
      </w:r>
    </w:p>
    <w:p>
      <w:pPr>
        <w:pStyle w:val="TextBody"/>
        <w:spacing w:lineRule="auto" w:line="288" w:before="0" w:after="240"/>
        <w:ind w:left="0" w:right="0" w:firstLine="720"/>
        <w:rPr/>
      </w:pPr>
      <w:r>
        <w:rPr>
          <w:rFonts w:ascii="Times New Roman;sans-serif" w:hAnsi="Times New Roman;sans-serif"/>
          <w:b w:val="false"/>
          <w:color w:val="010000"/>
          <w:sz w:val="24"/>
        </w:rPr>
        <w:t>9.    </w:t>
      </w:r>
      <w:r>
        <w:rPr>
          <w:rFonts w:ascii="Times New Roman;sans-serif" w:hAnsi="Times New Roman;sans-serif"/>
          <w:b w:val="false"/>
          <w:color w:val="000000"/>
          <w:sz w:val="24"/>
          <w:u w:val="single"/>
        </w:rPr>
        <w:t>Transferability of Option</w:t>
      </w:r>
      <w:r>
        <w:rPr>
          <w:rFonts w:ascii="Times New Roman;sans-serif" w:hAnsi="Times New Roman;sans-serif"/>
          <w:b w:val="false"/>
          <w:color w:val="000000"/>
          <w:sz w:val="24"/>
        </w:rPr>
        <w:t>. The Option, if an Incentive Stock Option, may not be transferred in any manner other than by will or by the laws of descent and distribution and may be exercised during the lifetime of the Grantee only by the Grantee. The Option, if a Non- Qualified Stock Option, may not be transferred in any manner other than by will or by the laws of descent and distribution; provided, however, that a Non-Qualified Stock Option may be transferred during the lifetime of the Grantee by gift or pursuant to a domestic relations order to members of the Grantee’s Immediate Family to the extent and in the manner determined by the Administrator. Notwithstanding the foregoing, the Grantee may designate one or more beneficiaries of the Grantee’s Incentive Stock Option or Non-Qualified Stock Option in the event of the Grantee’s death on a beneficiary designation form provided by the Administrator. Following the death of the Grantee, the Option, to the extent provided in Section 8, may be exercised (a) by the person or persons designated under the deceased Grantee’s beneficiary designation or (b) in the absence of an effectively designated beneficiary, by the Grantee’s legal representative or by any person empowered to do so under the deceased Grantee’s will or under the then applicable laws of descent and distribution. The terms of the Option shall be binding upon the executors, administrators, heirs, successors and transferees of the Grantee.</w:t>
      </w:r>
    </w:p>
    <w:p>
      <w:pPr>
        <w:pStyle w:val="TextBody"/>
        <w:spacing w:lineRule="auto" w:line="288" w:before="0" w:after="240"/>
        <w:ind w:left="0" w:right="0" w:firstLine="720"/>
        <w:rPr/>
      </w:pPr>
      <w:r>
        <w:rPr>
          <w:rFonts w:ascii="Times New Roman;sans-serif" w:hAnsi="Times New Roman;sans-serif"/>
          <w:b w:val="false"/>
          <w:color w:val="010000"/>
          <w:sz w:val="24"/>
        </w:rPr>
        <w:t>10.    </w:t>
      </w:r>
      <w:r>
        <w:rPr>
          <w:rFonts w:ascii="Times New Roman;sans-serif" w:hAnsi="Times New Roman;sans-serif"/>
          <w:b w:val="false"/>
          <w:color w:val="000000"/>
          <w:sz w:val="24"/>
          <w:u w:val="single"/>
        </w:rPr>
        <w:t>Term of Option</w:t>
      </w:r>
      <w:r>
        <w:rPr>
          <w:rFonts w:ascii="Times New Roman;sans-serif" w:hAnsi="Times New Roman;sans-serif"/>
          <w:b w:val="false"/>
          <w:color w:val="000000"/>
          <w:sz w:val="24"/>
        </w:rPr>
        <w:t>.</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rPr>
        <w:t>The Option must be exercised no later than the Expiration Date set forth in the Notice or such earlier date as is otherwise provided herein. After the Expiration Date or such earlier date, the Option shall be of no further force or effect and may not be exercised.</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rPr>
        <w:t>The Company shall have no obligation to provide the Grantee with any prior notice of the Expiration Date, and the Grantee acknowledges that the Expiration Date shall not be extended and the Company shall have no liability for any failure to provide such notice.</w:t>
      </w:r>
    </w:p>
    <w:p>
      <w:pPr>
        <w:pStyle w:val="TextBody"/>
        <w:spacing w:lineRule="auto" w:line="288" w:before="0" w:after="240"/>
        <w:ind w:left="0" w:right="0" w:firstLine="720"/>
        <w:rPr/>
      </w:pPr>
      <w:r>
        <w:rPr>
          <w:rFonts w:ascii="Times New Roman;sans-serif" w:hAnsi="Times New Roman;sans-serif"/>
          <w:b w:val="false"/>
          <w:color w:val="010000"/>
          <w:sz w:val="24"/>
        </w:rPr>
        <w:t>11.    </w:t>
      </w:r>
      <w:r>
        <w:rPr>
          <w:rFonts w:ascii="Times New Roman;sans-serif" w:hAnsi="Times New Roman;sans-serif"/>
          <w:b w:val="false"/>
          <w:color w:val="000000"/>
          <w:sz w:val="24"/>
          <w:u w:val="single"/>
        </w:rPr>
        <w:t>Company’s Right of First Refusal</w:t>
      </w:r>
      <w:r>
        <w:rPr>
          <w:rFonts w:ascii="Times New Roman;sans-serif" w:hAnsi="Times New Roman;sans-serif"/>
          <w:b w:val="false"/>
          <w:color w:val="000000"/>
          <w:sz w:val="24"/>
        </w:rPr>
        <w:t>.</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rPr>
        <w:t>Transfer Notice. Neither the Grantee nor a transferee (either being sometimes referred to herein as the “</w:t>
      </w:r>
      <w:r>
        <w:rPr>
          <w:rFonts w:ascii="Times New Roman;sans-serif" w:hAnsi="Times New Roman;sans-serif"/>
          <w:b/>
          <w:i/>
          <w:color w:val="000000"/>
          <w:sz w:val="24"/>
        </w:rPr>
        <w:t>Holder</w:t>
      </w:r>
      <w:r>
        <w:rPr>
          <w:color w:val="000000"/>
        </w:rPr>
        <w:t>”</w:t>
      </w:r>
      <w:r>
        <w:rPr>
          <w:rFonts w:ascii="Times New Roman;sans-serif" w:hAnsi="Times New Roman;sans-serif"/>
          <w:b w:val="false"/>
          <w:color w:val="000000"/>
          <w:sz w:val="24"/>
        </w:rPr>
        <w:t>) shall sell, hypothecate, encumber or otherwise transfer any Shares or any right or interest therein without first complying with the provisions of this Section 11 or obtaining the prior written consent of the Company and provided further that such Shares are “</w:t>
      </w:r>
      <w:r>
        <w:rPr>
          <w:rFonts w:ascii="Times New Roman;sans-serif" w:hAnsi="Times New Roman;sans-serif"/>
          <w:b/>
          <w:i/>
          <w:color w:val="000000"/>
          <w:sz w:val="24"/>
        </w:rPr>
        <w:t>Mature Shares</w:t>
      </w:r>
      <w:r>
        <w:rPr>
          <w:color w:val="000000"/>
        </w:rPr>
        <w:t xml:space="preserve">” </w:t>
      </w:r>
      <w:r>
        <w:rPr>
          <w:rFonts w:ascii="Times New Roman;sans-serif" w:hAnsi="Times New Roman;sans-serif"/>
          <w:b w:val="false"/>
          <w:color w:val="000000"/>
          <w:sz w:val="24"/>
        </w:rPr>
        <w:t>(which means that the Shares have been held by the Holder (and any successor Holder) for the requisite period, if any, necessary to avoid a charge to the Company’s earnings for financial reporting purposes). In the event the Holder desires to accept a bona fide third-party offer for any or all of the Shares, the Holder shall provide the Company with written notice (the “</w:t>
      </w:r>
      <w:r>
        <w:rPr>
          <w:rFonts w:ascii="Times New Roman;sans-serif" w:hAnsi="Times New Roman;sans-serif"/>
          <w:b/>
          <w:i/>
          <w:color w:val="000000"/>
          <w:sz w:val="24"/>
        </w:rPr>
        <w:t>Transfer Notice</w:t>
      </w:r>
      <w:r>
        <w:rPr>
          <w:color w:val="000000"/>
        </w:rPr>
        <w:t>”</w:t>
      </w:r>
      <w:r>
        <w:rPr>
          <w:rFonts w:ascii="Times New Roman;sans-serif" w:hAnsi="Times New Roman;sans-serif"/>
          <w:b w:val="false"/>
          <w:color w:val="000000"/>
          <w:sz w:val="24"/>
        </w:rPr>
        <w:t>) of:</w:t>
      </w:r>
    </w:p>
    <w:p>
      <w:pPr>
        <w:pStyle w:val="TextBody"/>
        <w:spacing w:lineRule="auto" w:line="288" w:before="0" w:after="240"/>
        <w:ind w:left="0" w:right="0" w:firstLine="2160"/>
        <w:rPr/>
      </w:pPr>
      <w:r>
        <w:rPr>
          <w:rFonts w:ascii="Times New Roman;sans-serif" w:hAnsi="Times New Roman;sans-serif"/>
          <w:b w:val="false"/>
          <w:color w:val="010000"/>
          <w:sz w:val="24"/>
        </w:rPr>
        <w:t>(i)    </w:t>
      </w:r>
      <w:r>
        <w:rPr>
          <w:rFonts w:ascii="Times New Roman;sans-serif" w:hAnsi="Times New Roman;sans-serif"/>
          <w:b w:val="false"/>
          <w:color w:val="000000"/>
          <w:sz w:val="24"/>
        </w:rPr>
        <w:t>The Holder’s intention to transfer;</w:t>
      </w:r>
    </w:p>
    <w:p>
      <w:pPr>
        <w:pStyle w:val="TextBody"/>
        <w:spacing w:lineRule="auto" w:line="288" w:before="0" w:after="240"/>
        <w:ind w:left="0" w:right="0" w:firstLine="2160"/>
        <w:rPr/>
      </w:pPr>
      <w:r>
        <w:rPr>
          <w:rFonts w:ascii="Times New Roman;sans-serif" w:hAnsi="Times New Roman;sans-serif"/>
          <w:b w:val="false"/>
          <w:color w:val="010000"/>
          <w:sz w:val="24"/>
        </w:rPr>
        <w:t>(ii)    </w:t>
      </w:r>
      <w:r>
        <w:rPr>
          <w:rFonts w:ascii="Times New Roman;sans-serif" w:hAnsi="Times New Roman;sans-serif"/>
          <w:b w:val="false"/>
          <w:color w:val="000000"/>
          <w:sz w:val="24"/>
        </w:rPr>
        <w:t>The name of the proposed transferee;</w:t>
      </w:r>
    </w:p>
    <w:p>
      <w:pPr>
        <w:pStyle w:val="TextBody"/>
        <w:spacing w:lineRule="auto" w:line="288" w:before="0" w:after="240"/>
        <w:ind w:left="0" w:right="0" w:firstLine="2160"/>
        <w:rPr/>
      </w:pPr>
      <w:r>
        <w:rPr>
          <w:rFonts w:ascii="Times New Roman;sans-serif" w:hAnsi="Times New Roman;sans-serif"/>
          <w:b w:val="false"/>
          <w:color w:val="010000"/>
          <w:sz w:val="24"/>
        </w:rPr>
        <w:t>(iii)    </w:t>
      </w:r>
      <w:r>
        <w:rPr>
          <w:rFonts w:ascii="Times New Roman;sans-serif" w:hAnsi="Times New Roman;sans-serif"/>
          <w:b w:val="false"/>
          <w:color w:val="000000"/>
          <w:sz w:val="24"/>
        </w:rPr>
        <w:t>The number of Shares to be transferred; and</w:t>
      </w:r>
    </w:p>
    <w:p>
      <w:pPr>
        <w:pStyle w:val="TextBody"/>
        <w:spacing w:lineRule="auto" w:line="288" w:before="0" w:after="240"/>
        <w:ind w:left="0" w:right="0" w:firstLine="2160"/>
        <w:rPr/>
      </w:pPr>
      <w:r>
        <w:rPr>
          <w:rFonts w:ascii="Times New Roman;sans-serif" w:hAnsi="Times New Roman;sans-serif"/>
          <w:b w:val="false"/>
          <w:color w:val="010000"/>
          <w:sz w:val="24"/>
        </w:rPr>
        <w:t>(iv)    </w:t>
      </w:r>
      <w:r>
        <w:rPr>
          <w:rFonts w:ascii="Times New Roman;sans-serif" w:hAnsi="Times New Roman;sans-serif"/>
          <w:b w:val="false"/>
          <w:color w:val="000000"/>
          <w:sz w:val="24"/>
        </w:rPr>
        <w:t>The proposed transfer price or value and terms thereof.</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If the Holder proposes to transfer any Shares to more than one transferee, the Holder shall provide a separate Transfer Notice for the proposed transfer to each transferee. The Transfer Notice shall be signed by both the Holder and the proposed transferee and must constitute a binding commitment of the Holder and the proposed transferee for the transfer of the Shares to the proposed transferee subject to the terms and conditions of this Option Agreement.</w: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Bona Fide Transfer</w:t>
      </w:r>
      <w:r>
        <w:rPr>
          <w:rFonts w:ascii="Times New Roman;sans-serif" w:hAnsi="Times New Roman;sans-serif"/>
          <w:b w:val="false"/>
          <w:color w:val="000000"/>
          <w:sz w:val="24"/>
        </w:rPr>
        <w:t>. If the Company determines that the information provided by the Holder in the Transfer Notice is insufficient to establish the bona fide nature of a proposed voluntary transfer, the Company shall give the Holder written notice of the Holder’s failure to comply with the procedure described in this Section 11, and the Holder shall have no right to transfer the Shares without first complying with the procedure described in this Section 11. The Holder shall not be permitted to transfer the Shares if the proposed transfer is not bona fide.</w:t>
      </w:r>
    </w:p>
    <w:p>
      <w:pPr>
        <w:pStyle w:val="TextBody"/>
        <w:spacing w:lineRule="auto" w:line="288" w:before="0" w:after="240"/>
        <w:ind w:left="0" w:right="0" w:firstLine="1440"/>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First Refusal Exercise Notice</w:t>
      </w:r>
      <w:r>
        <w:rPr>
          <w:rFonts w:ascii="Times New Roman;sans-serif" w:hAnsi="Times New Roman;sans-serif"/>
          <w:b w:val="false"/>
          <w:color w:val="000000"/>
          <w:sz w:val="24"/>
        </w:rPr>
        <w:t>. The Company shall have the right to purchase (the “</w:t>
      </w:r>
      <w:r>
        <w:rPr>
          <w:rFonts w:ascii="Times New Roman;sans-serif" w:hAnsi="Times New Roman;sans-serif"/>
          <w:b/>
          <w:i/>
          <w:color w:val="000000"/>
          <w:sz w:val="24"/>
        </w:rPr>
        <w:t>Right of First Refusal</w:t>
      </w:r>
      <w:r>
        <w:rPr>
          <w:color w:val="000000"/>
        </w:rPr>
        <w:t>”</w:t>
      </w:r>
      <w:r>
        <w:rPr>
          <w:rFonts w:ascii="Times New Roman;sans-serif" w:hAnsi="Times New Roman;sans-serif"/>
          <w:b w:val="false"/>
          <w:color w:val="000000"/>
          <w:sz w:val="24"/>
        </w:rPr>
        <w:t>) all but not less than all, of the Shares that are described in the Transfer Notice (the “</w:t>
      </w:r>
      <w:r>
        <w:rPr>
          <w:rFonts w:ascii="Times New Roman;sans-serif" w:hAnsi="Times New Roman;sans-serif"/>
          <w:b/>
          <w:i/>
          <w:color w:val="000000"/>
          <w:sz w:val="24"/>
        </w:rPr>
        <w:t>Offered Shares</w:t>
      </w:r>
      <w:r>
        <w:rPr>
          <w:color w:val="000000"/>
        </w:rPr>
        <w:t>”</w:t>
      </w:r>
      <w:r>
        <w:rPr>
          <w:rFonts w:ascii="Times New Roman;sans-serif" w:hAnsi="Times New Roman;sans-serif"/>
          <w:b w:val="false"/>
          <w:color w:val="000000"/>
          <w:sz w:val="24"/>
        </w:rPr>
        <w:t>). The Offered Shares shall be repurchased at: (i) the per share price or value and in accordance with the terms stated in the Transfer Notice (subject to Section 11(d) below) or (ii) the Fair Market Value of the Shares on the date on which the purchase is to be effected if no consideration is paid pursuant to the terms stated in the Transfer Notice, which Right of First Refusal shall be exercised by written notice (the “</w:t>
      </w:r>
      <w:r>
        <w:rPr>
          <w:rFonts w:ascii="Times New Roman;sans-serif" w:hAnsi="Times New Roman;sans-serif"/>
          <w:b/>
          <w:i/>
          <w:color w:val="000000"/>
          <w:sz w:val="24"/>
        </w:rPr>
        <w:t xml:space="preserve">First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pPr>
      <w:r>
        <w:rPr>
          <w:rFonts w:ascii="Times New Roman;sans-serif" w:hAnsi="Times New Roman;sans-serif"/>
          <w:b/>
          <w:i/>
          <w:color w:val="000000"/>
          <w:sz w:val="24"/>
        </w:rPr>
        <w:t>Refusal Exercise Notice</w:t>
      </w:r>
      <w:r>
        <w:rPr>
          <w:color w:val="000000"/>
        </w:rPr>
        <w:t>”</w:t>
      </w:r>
      <w:r>
        <w:rPr>
          <w:rFonts w:ascii="Times New Roman;sans-serif" w:hAnsi="Times New Roman;sans-serif"/>
          <w:b w:val="false"/>
          <w:color w:val="000000"/>
          <w:sz w:val="24"/>
        </w:rPr>
        <w:t>) to the Holder at any time within thirty (30) days after receipt of the Transfer Notice (the “</w:t>
      </w:r>
      <w:r>
        <w:rPr>
          <w:rFonts w:ascii="Times New Roman;sans-serif" w:hAnsi="Times New Roman;sans-serif"/>
          <w:b/>
          <w:i/>
          <w:color w:val="000000"/>
          <w:sz w:val="24"/>
        </w:rPr>
        <w:t>Option Period</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1440"/>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Payment Terms</w:t>
      </w:r>
      <w:r>
        <w:rPr>
          <w:rFonts w:ascii="Times New Roman;sans-serif" w:hAnsi="Times New Roman;sans-serif"/>
          <w:b w:val="false"/>
          <w:color w:val="000000"/>
          <w:sz w:val="24"/>
        </w:rPr>
        <w:t>. The Company shall consummate the purchase of the Offered Shares on the terms set forth in the Transfer Notice within sixty (60) days after delivery of the First Refusal Exercise Notice; provided, however, that in the event the Transfer Notice provides for the payment for the Offered Shares other than in cash, the Company and/or its assigns shall have the right to pay for the Offered Shares by the cash equivalent of the consideration described in the Transfer Notice as reasonably determined by the Administrator. Upon payment for the Offered Shares to the Holder or into escrow for the benefit of the Holder, the Company or its assigns shall become the legal and beneficial owner of the Offered Shares and all rights and interest therein or related thereto, and the Company shall have the right to transfer the Offered Shares to its own name or its assigns without further action by the Holder.</w:t>
      </w:r>
    </w:p>
    <w:p>
      <w:pPr>
        <w:pStyle w:val="TextBody"/>
        <w:spacing w:lineRule="auto" w:line="288" w:before="0" w:after="240"/>
        <w:ind w:left="0" w:right="0" w:firstLine="1440"/>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Whenever the Company shall have the right to purchase Shares under this Right of First Refusal, the Company may designate and assign one or more employees, officers, directors or stockholders of the Company or other persons or organizations, to exercise all or a part of the Company’s Right of First Refusal.</w:t>
      </w:r>
    </w:p>
    <w:p>
      <w:pPr>
        <w:pStyle w:val="TextBody"/>
        <w:spacing w:lineRule="auto" w:line="288" w:before="0" w:after="240"/>
        <w:ind w:left="0" w:right="0" w:firstLine="1440"/>
        <w:rPr/>
      </w:pPr>
      <w:r>
        <w:rPr>
          <w:rFonts w:ascii="Times New Roman;sans-serif" w:hAnsi="Times New Roman;sans-serif"/>
          <w:b w:val="false"/>
          <w:color w:val="010000"/>
          <w:sz w:val="24"/>
        </w:rPr>
        <w:t>(f)    </w:t>
      </w:r>
      <w:r>
        <w:rPr>
          <w:rFonts w:ascii="Times New Roman;sans-serif" w:hAnsi="Times New Roman;sans-serif"/>
          <w:b w:val="false"/>
          <w:color w:val="000000"/>
          <w:sz w:val="24"/>
          <w:u w:val="single"/>
        </w:rPr>
        <w:t>Non-Exercise</w:t>
      </w:r>
      <w:r>
        <w:rPr>
          <w:rFonts w:ascii="Times New Roman;sans-serif" w:hAnsi="Times New Roman;sans-serif"/>
          <w:b w:val="false"/>
          <w:color w:val="000000"/>
          <w:sz w:val="24"/>
        </w:rPr>
        <w:t>. If the Company and/or its assigns do not collectively elect to exercise the Right of First Refusal within the Option Period or such earlier time if the Company and/or its assigns notifies the Holder that it will not exercise the Right of First Refusal, then the Holder may transfer the Shares upon the terms and conditions stated in the Transfer Notice, provided that:</w:t>
      </w:r>
    </w:p>
    <w:p>
      <w:pPr>
        <w:pStyle w:val="TextBody"/>
        <w:spacing w:lineRule="auto" w:line="288" w:before="0" w:after="240"/>
        <w:ind w:left="0" w:right="0" w:firstLine="2160"/>
        <w:rPr/>
      </w:pPr>
      <w:r>
        <w:rPr>
          <w:rFonts w:ascii="Times New Roman;sans-serif" w:hAnsi="Times New Roman;sans-serif"/>
          <w:b w:val="false"/>
          <w:color w:val="010000"/>
          <w:sz w:val="24"/>
        </w:rPr>
        <w:t>(i)    </w:t>
      </w:r>
      <w:r>
        <w:rPr>
          <w:rFonts w:ascii="Times New Roman;sans-serif" w:hAnsi="Times New Roman;sans-serif"/>
          <w:b w:val="false"/>
          <w:color w:val="000000"/>
          <w:sz w:val="24"/>
        </w:rPr>
        <w:t>The transfer is made within forty-five (45) days of the earlier of (A) the date the Company and/or its assigns notify the Holder that the Right of First Refusal will not be exercised or (B) the expiration of the Option Period; and</w:t>
      </w:r>
    </w:p>
    <w:p>
      <w:pPr>
        <w:pStyle w:val="TextBody"/>
        <w:spacing w:lineRule="auto" w:line="288" w:before="0" w:after="240"/>
        <w:ind w:left="0" w:right="0" w:firstLine="2160"/>
        <w:rPr/>
      </w:pPr>
      <w:r>
        <w:rPr>
          <w:rFonts w:ascii="Times New Roman;sans-serif" w:hAnsi="Times New Roman;sans-serif"/>
          <w:b w:val="false"/>
          <w:color w:val="010000"/>
          <w:sz w:val="24"/>
        </w:rPr>
        <w:t>(ii)    </w:t>
      </w:r>
      <w:r>
        <w:rPr>
          <w:rFonts w:ascii="Times New Roman;sans-serif" w:hAnsi="Times New Roman;sans-serif"/>
          <w:b w:val="false"/>
          <w:color w:val="000000"/>
          <w:sz w:val="24"/>
        </w:rPr>
        <w:t>The transferee agrees in writing that such Shares shall be held subject to the provisions of this Option Agreement.</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The Company shall have the right to demand further assurances from the Holder and the transferee (in a form satisfactory to the Company) that the transfer of the Offered Shares was actually carried out on the terms and conditions described in the Transfer Notice. No Offered Shares shall be transferred on the books of the Company until the Company has received such assurances, if so demanded, and has approved the proposed transfer as bona fide.</w:t>
      </w:r>
    </w:p>
    <w:p>
      <w:pPr>
        <w:pStyle w:val="TextBody"/>
        <w:spacing w:lineRule="auto" w:line="288" w:before="0" w:after="240"/>
        <w:ind w:left="0" w:right="0" w:firstLine="1440"/>
        <w:rPr/>
      </w:pPr>
      <w:r>
        <w:rPr>
          <w:rFonts w:ascii="Times New Roman;sans-serif" w:hAnsi="Times New Roman;sans-serif"/>
          <w:b w:val="false"/>
          <w:color w:val="010000"/>
          <w:sz w:val="24"/>
        </w:rPr>
        <w:t>(g)    </w:t>
      </w:r>
      <w:r>
        <w:rPr>
          <w:rFonts w:ascii="Times New Roman;sans-serif" w:hAnsi="Times New Roman;sans-serif"/>
          <w:b w:val="false"/>
          <w:color w:val="000000"/>
          <w:sz w:val="24"/>
          <w:u w:val="single"/>
        </w:rPr>
        <w:t>Expiration of Transfer Period</w:t>
      </w:r>
      <w:r>
        <w:rPr>
          <w:rFonts w:ascii="Times New Roman;sans-serif" w:hAnsi="Times New Roman;sans-serif"/>
          <w:b w:val="false"/>
          <w:color w:val="000000"/>
          <w:sz w:val="24"/>
        </w:rPr>
        <w:t>. Following such 45-day period, no transfer of the Offered Shares and no change in the terms of the transfer as stated in the Transfer Notice (including the name of the proposed transferee) shall be permitted without a new written Transfer Notice prepared and submitted in accordance with the requirements of this Right of First Refusal.</w:t>
      </w:r>
    </w:p>
    <w:p>
      <w:pPr>
        <w:pStyle w:val="TextBody"/>
        <w:spacing w:lineRule="auto" w:line="288" w:before="0" w:after="240"/>
        <w:ind w:left="0" w:right="0" w:firstLine="1440"/>
        <w:rPr/>
      </w:pPr>
      <w:r>
        <w:rPr>
          <w:rFonts w:ascii="Times New Roman;sans-serif" w:hAnsi="Times New Roman;sans-serif"/>
          <w:b w:val="false"/>
          <w:color w:val="010000"/>
          <w:sz w:val="24"/>
        </w:rPr>
        <w:t>(h)    </w:t>
      </w:r>
      <w:r>
        <w:rPr>
          <w:rFonts w:ascii="Times New Roman;sans-serif" w:hAnsi="Times New Roman;sans-serif"/>
          <w:b w:val="false"/>
          <w:color w:val="000000"/>
          <w:sz w:val="24"/>
          <w:u w:val="single"/>
        </w:rPr>
        <w:t>Termination of Right of First Refusal</w:t>
      </w:r>
      <w:r>
        <w:rPr>
          <w:rFonts w:ascii="Times New Roman;sans-serif" w:hAnsi="Times New Roman;sans-serif"/>
          <w:b w:val="false"/>
          <w:color w:val="000000"/>
          <w:sz w:val="24"/>
        </w:rPr>
        <w:t>. The provisions of this Right of First Refusal shall terminate as to all Shares upon the Registration Date.</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val="false"/>
          <w:color w:val="010000"/>
          <w:sz w:val="24"/>
        </w:rPr>
        <w:t>(i)    </w:t>
      </w:r>
      <w:r>
        <w:rPr>
          <w:rFonts w:ascii="Times New Roman;sans-serif" w:hAnsi="Times New Roman;sans-serif"/>
          <w:b w:val="false"/>
          <w:color w:val="000000"/>
          <w:sz w:val="24"/>
          <w:u w:val="single"/>
        </w:rPr>
        <w:t>Additional Shares or Substituted Securities</w:t>
      </w:r>
      <w:r>
        <w:rPr>
          <w:rFonts w:ascii="Times New Roman;sans-serif" w:hAnsi="Times New Roman;sans-serif"/>
          <w:b w:val="false"/>
          <w:color w:val="000000"/>
          <w:sz w:val="24"/>
        </w:rPr>
        <w:t>. In the event of any transaction described in Sections 10 or 11 of the Plan, any new, substituted or additional securities or other property that is by reason of any such transaction distributed with respect to the Shares shall be immediately subject to the Right of First Refusal, but only to the extent the Shares are at the time covered by such right.</w:t>
      </w:r>
    </w:p>
    <w:p>
      <w:pPr>
        <w:pStyle w:val="TextBody"/>
        <w:spacing w:lineRule="auto" w:line="288" w:before="0" w:after="240"/>
        <w:ind w:left="0" w:right="0" w:firstLine="720"/>
        <w:rPr/>
      </w:pPr>
      <w:r>
        <w:rPr>
          <w:rFonts w:ascii="Times New Roman;sans-serif" w:hAnsi="Times New Roman;sans-serif"/>
          <w:b w:val="false"/>
          <w:color w:val="010000"/>
          <w:sz w:val="24"/>
        </w:rPr>
        <w:t>12.    </w:t>
      </w:r>
      <w:r>
        <w:rPr>
          <w:rFonts w:ascii="Times New Roman;sans-serif" w:hAnsi="Times New Roman;sans-serif"/>
          <w:b w:val="false"/>
          <w:color w:val="000000"/>
          <w:sz w:val="24"/>
          <w:u w:val="single"/>
        </w:rPr>
        <w:t>Company Repurchase Right</w:t>
      </w:r>
      <w:r>
        <w:rPr>
          <w:rFonts w:ascii="Times New Roman;sans-serif" w:hAnsi="Times New Roman;sans-serif"/>
          <w:b w:val="false"/>
          <w:color w:val="000000"/>
          <w:sz w:val="24"/>
        </w:rPr>
        <w:t>.</w:t>
      </w:r>
      <w:r>
        <w:rPr>
          <w:rFonts w:ascii="Times New Roman;sans-serif" w:hAnsi="Times New Roman;sans-serif"/>
          <w:b w:val="false"/>
          <w:color w:val="000000"/>
          <w:sz w:val="16"/>
        </w:rPr>
        <w:t>1</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rPr>
        <w:t>Notwithstanding any other provision contained in this Agreement to the contrary, subject to the provisions of Section 12(c), the Company shall have the right, but not the obligation, to repurchase all or any portion of the Shares that the Grantee has acquired as a result of the exercise of the Option or any portion thereof (the “</w:t>
      </w:r>
      <w:r>
        <w:rPr>
          <w:rFonts w:ascii="Times New Roman;sans-serif" w:hAnsi="Times New Roman;sans-serif"/>
          <w:b/>
          <w:i/>
          <w:color w:val="000000"/>
          <w:sz w:val="24"/>
        </w:rPr>
        <w:t>Repurchase Right</w:t>
      </w:r>
      <w:r>
        <w:rPr>
          <w:color w:val="000000"/>
        </w:rPr>
        <w:t>”</w:t>
      </w:r>
      <w:r>
        <w:rPr>
          <w:rFonts w:ascii="Times New Roman;sans-serif" w:hAnsi="Times New Roman;sans-serif"/>
          <w:b w:val="false"/>
          <w:color w:val="000000"/>
          <w:sz w:val="24"/>
        </w:rPr>
        <w:t>), following the termination of the Grantee’s Continuous Service for any reason (including death or Disability). The price at which the Company shall be entitled to repurchase such Shares (“</w:t>
      </w:r>
      <w:r>
        <w:rPr>
          <w:rFonts w:ascii="Times New Roman;sans-serif" w:hAnsi="Times New Roman;sans-serif"/>
          <w:b/>
          <w:i/>
          <w:color w:val="000000"/>
          <w:sz w:val="24"/>
        </w:rPr>
        <w:t>Repurchase Price</w:t>
      </w:r>
      <w:r>
        <w:rPr>
          <w:color w:val="000000"/>
        </w:rPr>
        <w:t>”</w:t>
      </w:r>
      <w:r>
        <w:rPr>
          <w:rFonts w:ascii="Times New Roman;sans-serif" w:hAnsi="Times New Roman;sans-serif"/>
          <w:b w:val="false"/>
          <w:color w:val="000000"/>
          <w:sz w:val="24"/>
        </w:rPr>
        <w:t>) shall be determined as follows: (i) in the event Grantee’s employment is terminated by the Company without Cause or by the Grantee for any reason or such termination results from Grantee’s death or Disability, the Repurchase Price shall be the Fair Market Value (as defined below) of such Shares at the time of repurchase; (ii) in the event Grantee’s employment is terminated by the Company with Cause, the Repurchase Price shall be the lesser of the original purchase price of such Shares or the Fair Market Value of such Shares at the time of repurchase. If the Company exercises its Repurchase Right, the Company shall, concurrently with the receipt of the share certificate(s) from the Grantee, pay to the Grantee the applicable purchase price in cash and/or through the cancellation of any existing indebtedness. For purposes of this Section 12, “</w:t>
      </w:r>
      <w:r>
        <w:rPr>
          <w:rFonts w:ascii="Times New Roman;sans-serif" w:hAnsi="Times New Roman;sans-serif"/>
          <w:b/>
          <w:i/>
          <w:color w:val="000000"/>
          <w:sz w:val="24"/>
        </w:rPr>
        <w:t>Fair Market Value</w:t>
      </w:r>
      <w:r>
        <w:rPr>
          <w:color w:val="000000"/>
        </w:rPr>
        <w:t xml:space="preserve">” </w:t>
      </w:r>
      <w:r>
        <w:rPr>
          <w:rFonts w:ascii="Times New Roman;sans-serif" w:hAnsi="Times New Roman;sans-serif"/>
          <w:b w:val="false"/>
          <w:color w:val="000000"/>
          <w:sz w:val="24"/>
        </w:rPr>
        <w:t>means the fair market value as determined by the Administrator based on: (i) a third party appraisal that satisfies the requirements of Treasury Regulation Section 1.409A-1(b)(5)(iv)(B)(2)(i); and (ii) the Administrator’s determination of whether that valuation should be adjusted to reflect the then-current fair market value taking account of intervening events since the date of the appraisal.</w: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rPr>
        <w:t>Notwithstanding any other provision contained in this Agreement to the contrary, subject to the provisions of Section 12(c), following the termination of the Grantee’s Continuous Service for any reason, the Company shall have the right to repurchase all or any portion of the vested and unexercised Options of the Grantee. The price at which the Company shall be entitled to repurchase such vested and unexercised Options (the “</w:t>
      </w:r>
      <w:r>
        <w:rPr>
          <w:rFonts w:ascii="Times New Roman;sans-serif" w:hAnsi="Times New Roman;sans-serif"/>
          <w:b/>
          <w:i/>
          <w:color w:val="000000"/>
          <w:sz w:val="24"/>
        </w:rPr>
        <w:t>Option Repurchase Price</w:t>
      </w:r>
      <w:r>
        <w:rPr>
          <w:color w:val="000000"/>
        </w:rPr>
        <w:t>”</w:t>
      </w:r>
      <w:r>
        <w:rPr>
          <w:rFonts w:ascii="Times New Roman;sans-serif" w:hAnsi="Times New Roman;sans-serif"/>
          <w:b w:val="false"/>
          <w:color w:val="000000"/>
          <w:sz w:val="24"/>
        </w:rPr>
        <w:t>) shall be the product of (x) the difference between the Fair Market Value of a single Share</w:t>
      </w:r>
      <w:r>
        <w:rPr>
          <w:color w:val="000000"/>
        </w:rPr>
        <w:t xml:space="preserve"> </w:t>
      </w:r>
      <w:r>
        <w:rPr>
          <w:rFonts w:ascii="Times New Roman;sans-serif" w:hAnsi="Times New Roman;sans-serif"/>
          <w:b w:val="false"/>
          <w:color w:val="000000"/>
          <w:sz w:val="24"/>
        </w:rPr>
        <w:t>of Class B Common Stock of the Company at the time of repurchase and the Exercise Price per</w:t>
      </w:r>
      <w:r>
        <w:rPr>
          <w:color w:val="000000"/>
        </w:rPr>
        <w:t xml:space="preserve"> </w:t>
      </w:r>
      <w:r>
        <w:rPr>
          <w:rFonts w:ascii="Times New Roman;sans-serif" w:hAnsi="Times New Roman;sans-serif"/>
          <w:b w:val="false"/>
          <w:color w:val="000000"/>
          <w:sz w:val="24"/>
        </w:rPr>
        <w:t>Share and (y) the number of Shares of Class B Common Stock as to which the Grantee has</w:t>
      </w:r>
      <w:r>
        <w:rPr>
          <w:color w:val="000000"/>
        </w:rPr>
        <w:t xml:space="preserve"> </w:t>
      </w:r>
      <w:r>
        <w:rPr>
          <w:rFonts w:ascii="Times New Roman;sans-serif" w:hAnsi="Times New Roman;sans-serif"/>
          <w:b w:val="false"/>
          <w:color w:val="000000"/>
          <w:sz w:val="24"/>
        </w:rPr>
        <w:t>vested and unexercised Options as of the date of termination which are so repurchased by the Company. The Option Repurchase Price shall</w:t>
      </w:r>
      <w:r>
        <w:rPr>
          <w:color w:val="000000"/>
        </w:rPr>
        <w:t xml:space="preserve"> </w:t>
      </w:r>
      <w:r>
        <w:rPr>
          <w:rFonts w:ascii="Times New Roman;sans-serif" w:hAnsi="Times New Roman;sans-serif"/>
          <w:b w:val="false"/>
          <w:color w:val="000000"/>
          <w:sz w:val="24"/>
        </w:rPr>
        <w:t>be paid in one lump sum on the date of repurchase in cash and/or through the cancellation of any</w:t>
      </w:r>
      <w:r>
        <w:rPr>
          <w:color w:val="000000"/>
        </w:rPr>
        <w:t xml:space="preserve"> </w:t>
      </w:r>
      <w:r>
        <w:rPr>
          <w:rFonts w:ascii="Times New Roman;sans-serif" w:hAnsi="Times New Roman;sans-serif"/>
          <w:b w:val="false"/>
          <w:color w:val="000000"/>
          <w:sz w:val="24"/>
        </w:rPr>
        <w:t>existing indebtedness of the Grantee to the Company.</w:t>
      </w:r>
    </w:p>
    <w:p>
      <w:pPr>
        <w:pStyle w:val="TextBody"/>
        <w:spacing w:lineRule="auto" w:line="288" w:before="0" w:after="240"/>
        <w:ind w:left="0" w:right="0" w:firstLine="1440"/>
        <w:rPr/>
      </w:pPr>
      <w:r>
        <w:rPr>
          <w:rFonts w:ascii="Times New Roman;sans-serif" w:hAnsi="Times New Roman;sans-serif"/>
          <w:b w:val="false"/>
          <w:color w:val="010000"/>
          <w:sz w:val="24"/>
        </w:rPr>
        <w:t>(c)    </w:t>
      </w:r>
      <w:r>
        <w:rPr>
          <w:rFonts w:ascii="Times New Roman;sans-serif" w:hAnsi="Times New Roman;sans-serif"/>
          <w:b w:val="false"/>
          <w:color w:val="000000"/>
          <w:sz w:val="24"/>
        </w:rPr>
        <w:t>This Section 12 shall be of no further force or effect upon the closing of the Company’s first underwritten public offering of the Common Stock.</w:t>
      </w:r>
    </w:p>
    <w:p>
      <w:pPr>
        <w:pStyle w:val="TextBody"/>
        <w:spacing w:lineRule="auto" w:line="288"/>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This provision is no longer in effect.</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720"/>
        <w:rPr/>
      </w:pPr>
      <w:r>
        <w:rPr>
          <w:rFonts w:ascii="Times New Roman;sans-serif" w:hAnsi="Times New Roman;sans-serif"/>
          <w:b w:val="false"/>
          <w:color w:val="010000"/>
          <w:sz w:val="24"/>
        </w:rPr>
        <w:t>13.    </w:t>
      </w:r>
      <w:r>
        <w:rPr>
          <w:rFonts w:ascii="Times New Roman;sans-serif" w:hAnsi="Times New Roman;sans-serif"/>
          <w:b w:val="false"/>
          <w:color w:val="000000"/>
          <w:sz w:val="24"/>
          <w:u w:val="single"/>
        </w:rPr>
        <w:t>Stop-Transfer Notices</w:t>
      </w:r>
      <w:r>
        <w:rPr>
          <w:rFonts w:ascii="Times New Roman;sans-serif" w:hAnsi="Times New Roman;sans-serif"/>
          <w:b w:val="false"/>
          <w:color w:val="000000"/>
          <w:sz w:val="24"/>
        </w:rPr>
        <w:t>. In order to ensure compliance with the restrictions on transfer set forth in this Option Agreement, the Notice or the Plan, the Company may issue appropriate “stop transfer” instructions to its transfer agent, if any, and, if the Company transfers its own securities, it may make appropriate notations to the same effect in its own records.</w:t>
      </w:r>
    </w:p>
    <w:p>
      <w:pPr>
        <w:pStyle w:val="TextBody"/>
        <w:spacing w:lineRule="auto" w:line="288" w:before="0" w:after="240"/>
        <w:ind w:left="0" w:right="0" w:firstLine="720"/>
        <w:rPr/>
      </w:pPr>
      <w:r>
        <w:rPr>
          <w:rFonts w:ascii="Times New Roman;sans-serif" w:hAnsi="Times New Roman;sans-serif"/>
          <w:b w:val="false"/>
          <w:color w:val="010000"/>
          <w:sz w:val="24"/>
        </w:rPr>
        <w:t>14.    </w:t>
      </w:r>
      <w:r>
        <w:rPr>
          <w:rFonts w:ascii="Times New Roman;sans-serif" w:hAnsi="Times New Roman;sans-serif"/>
          <w:b w:val="false"/>
          <w:color w:val="000000"/>
          <w:sz w:val="24"/>
          <w:u w:val="single"/>
        </w:rPr>
        <w:t>Refusal to Transfer</w:t>
      </w:r>
      <w:r>
        <w:rPr>
          <w:rFonts w:ascii="Times New Roman;sans-serif" w:hAnsi="Times New Roman;sans-serif"/>
          <w:b w:val="false"/>
          <w:color w:val="000000"/>
          <w:sz w:val="24"/>
        </w:rPr>
        <w:t>. The Company shall not be required (i) to transfer on its books any Shares that have been sold or otherwise transferred in violation of any of the provisions of this Option Agreement or (ii) to treat as owner of such Shares or to accord the right to vote or pay dividends to any purchaser or other transferee to whom such Shares shall have been so transferred.</w:t>
      </w:r>
    </w:p>
    <w:p>
      <w:pPr>
        <w:pStyle w:val="TextBody"/>
        <w:spacing w:lineRule="auto" w:line="288" w:before="0" w:after="240"/>
        <w:ind w:left="0" w:right="0" w:firstLine="720"/>
        <w:rPr/>
      </w:pPr>
      <w:r>
        <w:rPr>
          <w:rFonts w:ascii="Times New Roman;sans-serif" w:hAnsi="Times New Roman;sans-serif"/>
          <w:b w:val="false"/>
          <w:color w:val="010000"/>
          <w:sz w:val="24"/>
        </w:rPr>
        <w:t>15.    </w:t>
      </w:r>
      <w:r>
        <w:rPr>
          <w:rFonts w:ascii="Times New Roman;sans-serif" w:hAnsi="Times New Roman;sans-serif"/>
          <w:b w:val="false"/>
          <w:color w:val="000000"/>
          <w:sz w:val="24"/>
          <w:u w:val="single"/>
        </w:rPr>
        <w:t>Tax Consequences</w:t>
      </w:r>
      <w:r>
        <w:rPr>
          <w:rFonts w:ascii="Times New Roman;sans-serif" w:hAnsi="Times New Roman;sans-serif"/>
          <w:b w:val="false"/>
          <w:color w:val="000000"/>
          <w:sz w:val="24"/>
        </w:rPr>
        <w:t>.</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rPr>
        <w:t>The Grantee may incur tax liability as a result of the Grantee’s purchase or disposition of the Shares, including a disposition pursuant to the Company’s exercise of its right to repurchase as described in Section 12. THE GRANTEE SHOULD CONSULT A TAX ADVISER BEFORE EXERCISING THE OPTION OR DISPOSING OF THE SHARES.</w: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rPr>
        <w:t>Notwithstanding the Company’s or the Administrator’s good faith determination of the Fair Market Value of the Company’s Class B Common Stock for purposes of determining the Exercise Price Per Share of the Option as set forth in the Notice, the taxing authorities may assert that the Fair Market Value of the Class B Common Stock on the Date of Award was greater than the Exercise Price Per Share. If designated in the Notice as an Incentive Stock Option, the Option may fail to qualify as an Incentive Stock Option if the Exercise Price Per Share of the Option is less than the Fair Market Value of the Class B Common Stock on the Date of Award. In addition, under Section 409A of the Code, if the Exercise Price Per Share of the Option is less than the Fair Market Value of the Class B Common Stock on the Date of Award, the Option may be treated as a form of deferred compensation and the Grantee may be subject to an acceleration of income recognition, an additional 20% tax, plus interest and possible penalties. The Company makes no representation that the Option will comply with or be exempt from Section 409A of the Code and makes no undertaking to prevent Section 409A of the Code from applying to the Option or to mitigate its effects on any deferrals or payments made in respect of the Option. The Grantee is encouraged to consult a tax adviser regarding the potential impact of Section 409A of the Code.</w:t>
      </w:r>
    </w:p>
    <w:p>
      <w:pPr>
        <w:pStyle w:val="TextBody"/>
        <w:spacing w:lineRule="auto" w:line="288" w:before="0" w:after="240"/>
        <w:ind w:left="0" w:right="0" w:firstLine="720"/>
        <w:rPr/>
      </w:pPr>
      <w:r>
        <w:rPr>
          <w:rFonts w:ascii="Times New Roman;sans-serif" w:hAnsi="Times New Roman;sans-serif"/>
          <w:b w:val="false"/>
          <w:color w:val="010000"/>
          <w:sz w:val="24"/>
        </w:rPr>
        <w:t>16.    </w:t>
      </w:r>
      <w:r>
        <w:rPr>
          <w:rFonts w:ascii="Times New Roman;sans-serif" w:hAnsi="Times New Roman;sans-serif"/>
          <w:b w:val="false"/>
          <w:color w:val="000000"/>
          <w:sz w:val="24"/>
          <w:u w:val="single"/>
        </w:rPr>
        <w:t>Lock-Up Agreement</w:t>
      </w:r>
      <w:r>
        <w:rPr>
          <w:rFonts w:ascii="Times New Roman;sans-serif" w:hAnsi="Times New Roman;sans-serif"/>
          <w:b w:val="false"/>
          <w:color w:val="000000"/>
          <w:sz w:val="24"/>
        </w:rPr>
        <w:t>.</w:t>
      </w:r>
    </w:p>
    <w:p>
      <w:pPr>
        <w:pStyle w:val="TextBody"/>
        <w:spacing w:lineRule="auto" w:line="288" w:before="0" w:after="240"/>
        <w:ind w:left="0" w:right="0" w:firstLine="1440"/>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The Grantee, if requested by the Company and the lead underwriter of any public offering of the Common Stock (the “</w:t>
      </w:r>
      <w:r>
        <w:rPr>
          <w:rFonts w:ascii="Times New Roman;sans-serif" w:hAnsi="Times New Roman;sans-serif"/>
          <w:b/>
          <w:i/>
          <w:color w:val="000000"/>
          <w:sz w:val="24"/>
        </w:rPr>
        <w:t>Lead Underwriter</w:t>
      </w:r>
      <w:r>
        <w:rPr>
          <w:color w:val="000000"/>
        </w:rPr>
        <w:t>”</w:t>
      </w:r>
      <w:r>
        <w:rPr>
          <w:rFonts w:ascii="Times New Roman;sans-serif" w:hAnsi="Times New Roman;sans-serif"/>
          <w:b w:val="false"/>
          <w:color w:val="000000"/>
          <w:sz w:val="24"/>
        </w:rPr>
        <w:t xml:space="preserve">), hereby irrevocably agrees not to sell, contract to sell, grant any option to purchase, transfer the economic risk of ownership in, make any short sale of, pledge or otherwise transfer or dispose of any interest in any Common Stock or any securities convertible into or exchangeable or exercisable for or any other rights to purchase or acquire Common Stock (except Common Stock included in such public offering or acquired on the public market after such offering) during the 180-day period following the effective date of a registration statement of the Company filed under the Securities Act of 1933, as amended, or such shorter or longer period of time as the Lead </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Underwriter shall specify. The Grantee further agrees to sign such documents as may be requested by the Lead Underwriter to effect the foregoing and agrees that the Company may impose stop-transfer instructions with respect to such Common Stock subject to the lock-up period until the end of such period. The Company and the Grantee acknowledge that each Lead Underwriter of a public offering of the Company’s stock, during the period of such offering and for the lock-up period thereafter, is an intended beneficiary of this Section 16.</w:t>
      </w:r>
    </w:p>
    <w:p>
      <w:pPr>
        <w:pStyle w:val="TextBody"/>
        <w:spacing w:lineRule="auto" w:line="288" w:before="0" w:after="240"/>
        <w:ind w:left="0" w:right="0" w:firstLine="1440"/>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No Amendment Without Consent of Underwriter</w:t>
      </w:r>
      <w:r>
        <w:rPr>
          <w:rFonts w:ascii="Times New Roman;sans-serif" w:hAnsi="Times New Roman;sans-serif"/>
          <w:b w:val="false"/>
          <w:color w:val="000000"/>
          <w:sz w:val="24"/>
        </w:rPr>
        <w:t>. During the period from identification of a Lead Underwriter in connection with any public offering of the Company’s Common Stock until the earlier of: (i) the expiration of the lock-up period specified in Section 15(a) in connection with such offering or (ii) the abandonment of such offering by the Company and the Lead Underwriter, the provisions of this Section 16 may not be amended or waived except with the consent of the Lead Underwriter.</w:t>
      </w:r>
    </w:p>
    <w:p>
      <w:pPr>
        <w:pStyle w:val="TextBody"/>
        <w:spacing w:lineRule="auto" w:line="288" w:before="0" w:after="240"/>
        <w:ind w:left="0" w:right="0" w:firstLine="720"/>
        <w:rPr/>
      </w:pPr>
      <w:r>
        <w:rPr>
          <w:rFonts w:ascii="Times New Roman;sans-serif" w:hAnsi="Times New Roman;sans-serif"/>
          <w:b w:val="false"/>
          <w:color w:val="010000"/>
          <w:sz w:val="24"/>
        </w:rPr>
        <w:t>17.    </w:t>
      </w:r>
      <w:r>
        <w:rPr>
          <w:rFonts w:ascii="Times New Roman;sans-serif" w:hAnsi="Times New Roman;sans-serif"/>
          <w:b w:val="false"/>
          <w:color w:val="000000"/>
          <w:sz w:val="24"/>
          <w:u w:val="single"/>
        </w:rPr>
        <w:t>Entire Agreement; Governing Law</w:t>
      </w:r>
      <w:r>
        <w:rPr>
          <w:rFonts w:ascii="Times New Roman;sans-serif" w:hAnsi="Times New Roman;sans-serif"/>
          <w:b w:val="false"/>
          <w:color w:val="000000"/>
          <w:sz w:val="24"/>
        </w:rPr>
        <w:t>. The Notice, the Plan and this Option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Notice, the Plan and this Option Agreement (except as expressly provided therein) is intended to confer any rights or remedies on any persons other than the parties. The Notice, the Plan and this Option Agreement are to be construed in accordance with and governed by the internal laws of the State of New York without giving effect to any choice of law rule that would cause the application of the laws of any jurisdiction other than the internal laws of the State of New York to the rights and duties of the parties. Should any provision of the Notice, the Plan or this Option Agreement be determined to be illegal or unenforceable, such provision shall be enforced to the fullest extent allowed by law and the other provisions shall nevertheless remain effective and shall remain enforceable.</w:t>
      </w:r>
    </w:p>
    <w:p>
      <w:pPr>
        <w:pStyle w:val="TextBody"/>
        <w:spacing w:lineRule="auto" w:line="288" w:before="0" w:after="240"/>
        <w:ind w:left="0" w:right="0" w:firstLine="720"/>
        <w:rPr/>
      </w:pPr>
      <w:r>
        <w:rPr>
          <w:rFonts w:ascii="Times New Roman;sans-serif" w:hAnsi="Times New Roman;sans-serif"/>
          <w:b w:val="false"/>
          <w:color w:val="010000"/>
          <w:sz w:val="24"/>
        </w:rPr>
        <w:t>18.    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The captions used in the Notice and this Option Agreement are inserted for convenience and shall not be deemed a part of the Option for construction or interpretation. Except when otherwise indicated by the context, the singular shall include the plural and the plural shall include the singular. Use of the term “or” is not intended to be exclusive, unless the context clearly requires otherwise.</w:t>
      </w:r>
    </w:p>
    <w:p>
      <w:pPr>
        <w:pStyle w:val="TextBody"/>
        <w:spacing w:lineRule="auto" w:line="288" w:before="0" w:after="240"/>
        <w:ind w:left="0" w:right="0" w:firstLine="720"/>
        <w:rPr/>
      </w:pPr>
      <w:r>
        <w:rPr>
          <w:rFonts w:ascii="Times New Roman;sans-serif" w:hAnsi="Times New Roman;sans-serif"/>
          <w:b w:val="false"/>
          <w:color w:val="010000"/>
          <w:sz w:val="24"/>
        </w:rPr>
        <w:t>19.    </w:t>
      </w:r>
      <w:r>
        <w:rPr>
          <w:rFonts w:ascii="Times New Roman;sans-serif" w:hAnsi="Times New Roman;sans-serif"/>
          <w:b w:val="false"/>
          <w:color w:val="000000"/>
          <w:sz w:val="24"/>
          <w:u w:val="single"/>
        </w:rPr>
        <w:t>Administration and Interpretation</w:t>
      </w:r>
      <w:r>
        <w:rPr>
          <w:rFonts w:ascii="Times New Roman;sans-serif" w:hAnsi="Times New Roman;sans-serif"/>
          <w:b w:val="false"/>
          <w:color w:val="000000"/>
          <w:sz w:val="24"/>
        </w:rPr>
        <w:t>. Any question or dispute regarding the administration or interpretation of the Notice, the Plan or this Option Agreement shall be submitted by the Grantee or by the Company to the Administrator. The resolution of such question or dispute by the Administrator shall be final and binding on all persons.</w:t>
      </w:r>
    </w:p>
    <w:p>
      <w:pPr>
        <w:pStyle w:val="TextBody"/>
        <w:spacing w:lineRule="auto" w:line="288" w:before="0" w:after="240"/>
        <w:ind w:left="0" w:right="0" w:firstLine="720"/>
        <w:rPr/>
      </w:pPr>
      <w:r>
        <w:rPr>
          <w:rFonts w:ascii="Times New Roman;sans-serif" w:hAnsi="Times New Roman;sans-serif"/>
          <w:b w:val="false"/>
          <w:color w:val="010000"/>
          <w:sz w:val="24"/>
        </w:rPr>
        <w:t>20.    </w:t>
      </w:r>
      <w:r>
        <w:rPr>
          <w:rFonts w:ascii="Times New Roman;sans-serif" w:hAnsi="Times New Roman;sans-serif"/>
          <w:b w:val="false"/>
          <w:color w:val="000000"/>
          <w:sz w:val="24"/>
          <w:u w:val="single"/>
        </w:rPr>
        <w:t>Venue</w:t>
      </w:r>
      <w:r>
        <w:rPr>
          <w:rFonts w:ascii="Times New Roman;sans-serif" w:hAnsi="Times New Roman;sans-serif"/>
          <w:b w:val="false"/>
          <w:color w:val="000000"/>
          <w:sz w:val="24"/>
        </w:rPr>
        <w:t>. The Company, the Grantee, and the Grantee’s assignees pursuant to Section 9 (the “</w:t>
      </w:r>
      <w:r>
        <w:rPr>
          <w:rFonts w:ascii="Times New Roman;sans-serif" w:hAnsi="Times New Roman;sans-serif"/>
          <w:b/>
          <w:i/>
          <w:color w:val="000000"/>
          <w:sz w:val="24"/>
        </w:rPr>
        <w:t>parties</w:t>
      </w:r>
      <w:r>
        <w:rPr>
          <w:color w:val="000000"/>
        </w:rPr>
        <w:t>”</w:t>
      </w:r>
      <w:r>
        <w:rPr>
          <w:rFonts w:ascii="Times New Roman;sans-serif" w:hAnsi="Times New Roman;sans-serif"/>
          <w:b w:val="false"/>
          <w:color w:val="000000"/>
          <w:sz w:val="24"/>
        </w:rPr>
        <w:t xml:space="preserve">) agree that any suit, action, or proceeding arising out of or relating to the Notice, the Plan or this Option Agreement shall be brought in the United States District Court for the Southern District of New York (or should such court lack jurisdiction to hear such action, suit or proceeding, in a New York state court in the County of New York) and that the parties shall submit to the jurisdiction of such court. The parties irrevocably waive, to the fullest extent </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permitted by law, any objection the party may have to the laying of venue for any such suit, action or proceeding brought in such court. If any one or more provisions of this Section 20 shall for any reason be held invalid or unenforceable, it is the specific intent of the parties that such provisions shall be modified to the minimum extent necessary to make it or its application valid and enforceable.</w:t>
      </w:r>
    </w:p>
    <w:p>
      <w:pPr>
        <w:pStyle w:val="TextBody"/>
        <w:spacing w:lineRule="auto" w:line="288" w:before="0" w:after="240"/>
        <w:ind w:left="0" w:right="0" w:firstLine="720"/>
        <w:rPr/>
      </w:pPr>
      <w:r>
        <w:rPr>
          <w:rFonts w:ascii="Times New Roman;sans-serif" w:hAnsi="Times New Roman;sans-serif"/>
          <w:b w:val="false"/>
          <w:color w:val="010000"/>
          <w:sz w:val="24"/>
        </w:rPr>
        <w:t>21.    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pStyle w:val="TextBody"/>
        <w:spacing w:lineRule="auto" w:line="288" w:before="0" w:after="240"/>
        <w:ind w:left="0" w:right="0" w:firstLine="720"/>
        <w:rPr/>
      </w:pPr>
      <w:r>
        <w:rPr>
          <w:rFonts w:ascii="Times New Roman;sans-serif" w:hAnsi="Times New Roman;sans-serif"/>
          <w:b w:val="false"/>
          <w:color w:val="010000"/>
          <w:sz w:val="24"/>
        </w:rPr>
        <w:t>22.    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To the extent required by Applicable Law, the Company shall provide to the Grantee, during the period the Option is outstanding, copies of financial statements of the Company at least annually. The Grantee understands and agrees that such financial statements are confidential and shall not be disclosed by the Grantee, to any entity or person, for any reason, at any time, without the prior written consent of the Company, unless required by law. If disclosure of such financial statements is required by law, whether through subpoena, request for production, deposition, or otherwise, the Grantee promptly shall provide written notice to Company, including copies of the subpoena, request for production, deposition, or otherwise, within five (5) business days of their receipt by the Grantee and prior to any disclosure so as to provide Company an opportunity to move to quash or otherwise to oppose the disclosure. Notwithstanding the foregoing, the Grantee may disclose the terms of such financial statements to his or her spouse or domestic partner, and for legitimate business reasons, to legal, financial, and tax advisors.</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END OF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MOUNT SINAI GENOMICS, INC.</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2017 STOCK INCENTIVE PLAN</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EXERCISE NOTICE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Mount Sinai Genomics, Inc.</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Attention Secretary</w:t>
      </w:r>
    </w:p>
    <w:p>
      <w:pPr>
        <w:pStyle w:val="TextBody"/>
        <w:spacing w:lineRule="auto" w:line="288" w:before="0" w:after="240"/>
        <w:ind w:left="0" w:right="0" w:firstLine="720"/>
        <w:rPr/>
      </w:pPr>
      <w:r>
        <w:rPr>
          <w:rFonts w:ascii="Times New Roman;sans-serif" w:hAnsi="Times New Roman;sans-serif"/>
          <w:b w:val="false"/>
          <w:color w:val="010000"/>
          <w:sz w:val="24"/>
        </w:rPr>
        <w:t>1.    </w:t>
      </w:r>
      <w:r>
        <w:rPr>
          <w:rFonts w:ascii="Times New Roman;sans-serif" w:hAnsi="Times New Roman;sans-serif"/>
          <w:b w:val="false"/>
          <w:color w:val="000000"/>
          <w:sz w:val="24"/>
        </w:rPr>
        <w:t>Effective as of today, [</w:t>
      </w:r>
      <w:r>
        <w:rPr>
          <w:rFonts w:ascii="Times New Roman;sans-serif" w:hAnsi="Times New Roman;sans-serif"/>
          <w:b/>
          <w:color w:val="000000"/>
          <w:sz w:val="24"/>
        </w:rPr>
        <w:t>Date</w:t>
      </w:r>
      <w:r>
        <w:rPr>
          <w:rFonts w:ascii="Times New Roman;sans-serif" w:hAnsi="Times New Roman;sans-serif"/>
          <w:b w:val="false"/>
          <w:color w:val="000000"/>
          <w:sz w:val="24"/>
        </w:rPr>
        <w:t>] the undersigned (the “Grantee”) hereby elects to exercise the Grantee’s option to purchase ______________ shares of Class B Common Stock (the “Shares”) of Mount Sinai Genomics, Inc., (the “Company”) under and pursuant to the Company’s 2017 Stock Incentive Plan, as amended from time to time (the “Plan”) and the [ ] Incentive [ ] Non-Qualified Stock Option Award Agreement (the “Option Agreement”) and Notice of Stock Option Award (the “Notice”) dated __________, _____. Unless otherwise defined herein, the terms defined in the Plan shall have the same defined meanings in this Exercise Notice.</w:t>
      </w:r>
    </w:p>
    <w:p>
      <w:pPr>
        <w:pStyle w:val="TextBody"/>
        <w:spacing w:lineRule="auto" w:line="288" w:before="0" w:after="240"/>
        <w:ind w:left="0" w:right="0" w:firstLine="720"/>
        <w:rPr/>
      </w:pPr>
      <w:r>
        <w:rPr>
          <w:rFonts w:ascii="Times New Roman;sans-serif" w:hAnsi="Times New Roman;sans-serif"/>
          <w:b w:val="false"/>
          <w:color w:val="010000"/>
          <w:sz w:val="24"/>
        </w:rPr>
        <w:t>2.    </w:t>
      </w:r>
      <w:r>
        <w:rPr>
          <w:rFonts w:ascii="Times New Roman;sans-serif" w:hAnsi="Times New Roman;sans-serif"/>
          <w:b w:val="false"/>
          <w:color w:val="000000"/>
          <w:sz w:val="24"/>
          <w:u w:val="single"/>
        </w:rPr>
        <w:t>Representations of the Grantee</w:t>
      </w:r>
      <w:r>
        <w:rPr>
          <w:rFonts w:ascii="Times New Roman;sans-serif" w:hAnsi="Times New Roman;sans-serif"/>
          <w:b w:val="false"/>
          <w:color w:val="000000"/>
          <w:sz w:val="24"/>
        </w:rPr>
        <w:t>. The Grantee acknowledges that the Grantee has received, read and understood the Notice, the Plan and the Option Agreement and agrees to abide by and be bound by their terms and conditions.</w:t>
      </w:r>
    </w:p>
    <w:p>
      <w:pPr>
        <w:pStyle w:val="TextBody"/>
        <w:spacing w:lineRule="auto" w:line="288" w:before="0" w:after="240"/>
        <w:ind w:left="0" w:right="0" w:firstLine="720"/>
        <w:rPr/>
      </w:pPr>
      <w:r>
        <w:rPr>
          <w:rFonts w:ascii="Times New Roman;sans-serif" w:hAnsi="Times New Roman;sans-serif"/>
          <w:b w:val="false"/>
          <w:color w:val="010000"/>
          <w:sz w:val="24"/>
        </w:rPr>
        <w:t>3.    </w:t>
      </w:r>
      <w:r>
        <w:rPr>
          <w:rFonts w:ascii="Times New Roman;sans-serif" w:hAnsi="Times New Roman;sans-serif"/>
          <w:b w:val="false"/>
          <w:color w:val="000000"/>
          <w:sz w:val="24"/>
          <w:u w:val="single"/>
        </w:rPr>
        <w:t>Rights as Stockholder</w:t>
      </w:r>
      <w:r>
        <w:rPr>
          <w:rFonts w:ascii="Times New Roman;sans-serif" w:hAnsi="Times New Roman;sans-serif"/>
          <w:b w:val="false"/>
          <w:color w:val="000000"/>
          <w:sz w:val="24"/>
        </w:rPr>
        <w:t>.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10 of the Plan.</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Grantee shall enjoy rights as a stockholder until such time as the Grantee disposes of the Shares or the Company and/or its assignee(s) exercises the Right of First Refusal or the Repurchase Right. Upon such exercise, the Grantee shall have no further rights as a holder of the Shares so purchased except the right to receive payment for the Shares so purchased in accordance with the provisions of the Option Agreement, and the Grantee shall forthwith cause the certificate) evidencing the Shares so purchased to be surrendered to the Company for transfer or cancellation.</w:t>
      </w:r>
    </w:p>
    <w:p>
      <w:pPr>
        <w:pStyle w:val="TextBody"/>
        <w:spacing w:lineRule="auto" w:line="288" w:before="0" w:after="240"/>
        <w:ind w:left="0" w:right="0" w:firstLine="720"/>
        <w:rPr/>
      </w:pPr>
      <w:r>
        <w:rPr>
          <w:rFonts w:ascii="Times New Roman;sans-serif" w:hAnsi="Times New Roman;sans-serif"/>
          <w:b w:val="false"/>
          <w:color w:val="010000"/>
          <w:sz w:val="24"/>
        </w:rPr>
        <w:t>4.    </w:t>
      </w:r>
      <w:r>
        <w:rPr>
          <w:rFonts w:ascii="Times New Roman;sans-serif" w:hAnsi="Times New Roman;sans-serif"/>
          <w:b w:val="false"/>
          <w:color w:val="000000"/>
          <w:sz w:val="24"/>
          <w:u w:val="single"/>
        </w:rPr>
        <w:t>Delivery of Payment</w:t>
      </w:r>
      <w:r>
        <w:rPr>
          <w:rFonts w:ascii="Times New Roman;sans-serif" w:hAnsi="Times New Roman;sans-serif"/>
          <w:b w:val="false"/>
          <w:color w:val="000000"/>
          <w:sz w:val="24"/>
        </w:rPr>
        <w:t>. The Grantee herewith delivers to the Company the full Exercise Price for the Shares, which, to the extent selected, shall be deemed to be satisfied by use of any method provided in Section 4 of the Option Agreement to the extent such method is available to the Grantee at the time of exercise and such an exercise would not violate any Applicable Law.</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720"/>
        <w:rPr/>
      </w:pPr>
      <w:r>
        <w:rPr>
          <w:rFonts w:ascii="Times New Roman;sans-serif" w:hAnsi="Times New Roman;sans-serif"/>
          <w:b w:val="false"/>
          <w:color w:val="010000"/>
          <w:sz w:val="24"/>
        </w:rPr>
        <w:t>5.    </w:t>
      </w:r>
      <w:r>
        <w:rPr>
          <w:rFonts w:ascii="Times New Roman;sans-serif" w:hAnsi="Times New Roman;sans-serif"/>
          <w:b w:val="false"/>
          <w:color w:val="000000"/>
          <w:sz w:val="24"/>
          <w:u w:val="single"/>
        </w:rPr>
        <w:t>Tax Consultation</w:t>
      </w:r>
      <w:r>
        <w:rPr>
          <w:rFonts w:ascii="Times New Roman;sans-serif" w:hAnsi="Times New Roman;sans-serif"/>
          <w:b w:val="false"/>
          <w:color w:val="000000"/>
          <w:sz w:val="24"/>
        </w:rPr>
        <w:t>. The Grantee understands that the Grantee may suffer adverse tax consequences as a result of the Grantee’s purchase or disposition of the Shares, including a disposition pursuant to the Company’s exercise of the Repurchase Right. The Grantee represents that the Grantee has consulted with any tax consultants the Grantee deems advisable in connection with the purchase or disposition of the Shares and that the Grantee is not relying on the Company for any tax advice.</w:t>
      </w:r>
    </w:p>
    <w:p>
      <w:pPr>
        <w:pStyle w:val="TextBody"/>
        <w:spacing w:lineRule="auto" w:line="288" w:before="0" w:after="240"/>
        <w:ind w:left="0" w:right="0" w:firstLine="720"/>
        <w:rPr/>
      </w:pPr>
      <w:r>
        <w:rPr>
          <w:rFonts w:ascii="Times New Roman;sans-serif" w:hAnsi="Times New Roman;sans-serif"/>
          <w:b w:val="false"/>
          <w:color w:val="010000"/>
          <w:sz w:val="24"/>
        </w:rPr>
        <w:t>6.    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Grantee agrees to satisfy all applicable federal, state and local income and employment tax withholding obligations and herewith delivers to the Company the full amount of such obligations or has made arrangements acceptable to the Company to satisfy such obligations. In the case of an Incentive Stock Option, the Grantee also agrees, as partial consideration for the designation of the Option as an Incentive Stock Option, to notify the Company in writing within thirty (30) days of any disposition of any shares acquired by exercise of the Option if such disposition occurs within two (2) years from the Date of Award or within one (1) year from the date the Shares were transferred to the Grantee.</w:t>
      </w:r>
    </w:p>
    <w:p>
      <w:pPr>
        <w:pStyle w:val="TextBody"/>
        <w:spacing w:lineRule="auto" w:line="288" w:before="0" w:after="240"/>
        <w:ind w:left="0" w:right="0" w:firstLine="720"/>
        <w:rPr/>
      </w:pPr>
      <w:r>
        <w:rPr>
          <w:rFonts w:ascii="Times New Roman;sans-serif" w:hAnsi="Times New Roman;sans-serif"/>
          <w:b w:val="false"/>
          <w:color w:val="010000"/>
          <w:sz w:val="24"/>
        </w:rPr>
        <w:t>7.    </w:t>
      </w:r>
      <w:r>
        <w:rPr>
          <w:rFonts w:ascii="Times New Roman;sans-serif" w:hAnsi="Times New Roman;sans-serif"/>
          <w:b w:val="false"/>
          <w:color w:val="000000"/>
          <w:sz w:val="24"/>
          <w:u w:val="single"/>
        </w:rPr>
        <w:t>Restrictive Legends</w:t>
      </w:r>
      <w:r>
        <w:rPr>
          <w:rFonts w:ascii="Times New Roman;sans-serif" w:hAnsi="Times New Roman;sans-serif"/>
          <w:b w:val="false"/>
          <w:color w:val="000000"/>
          <w:sz w:val="24"/>
        </w:rPr>
        <w:t>. The Grantee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THE SECURITIES REPRESENTED HEREBY HAVE NOT BEEN REGISTERED UNDER THE SECURITIES ACT OF 1933 (THE “ACT”) OR ANY STATE SECURITIES LAWS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THE SHARES REPRESENTED BY THIS CERTIFICATE ARE SUBJECT TO CERTAIN RESTRICTIONS ON TRANSFER, A RIGHT OF FIRST REFUSAL HELD BY THE ISSUER OR ITS ASSIGNEE(S) AS SET FORTH IN THE OPTION AGREEMENT BETWEEN THE ISSUER AND THE ORIGINAL HOLDER OF THESE SHARES, A COPY OF WHICH MAY BE OBTAINED AT THE PRINCIPAL OFFICE OF THE ISSUER. SUCH TRANSFER RESTRICTIONS, RIGHT OF FIRST REFUSAL ARE BINDING ON TRANSFEREES OF THESE SHARES.</w:t>
      </w:r>
    </w:p>
    <w:p>
      <w:pPr>
        <w:pStyle w:val="TextBody"/>
        <w:spacing w:lineRule="auto" w:line="288" w:before="0" w:after="240"/>
        <w:ind w:left="0" w:right="0" w:firstLine="720"/>
        <w:rPr/>
      </w:pPr>
      <w:r>
        <w:rPr>
          <w:rFonts w:ascii="Times New Roman;sans-serif" w:hAnsi="Times New Roman;sans-serif"/>
          <w:b w:val="false"/>
          <w:color w:val="010000"/>
          <w:sz w:val="24"/>
        </w:rPr>
        <w:t>8.    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Company may assign any of its rights under this Exercise Notice to single or multiple assignees, and this agreement shall inure to the benefit of the successors and assigns of the Company. Subject to the restrictions on transfer herein set </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forth, this Exercise Notice shall be binding upon the Grantee and his or her heirs, executors, administrators, successors and assigns.</w:t>
      </w:r>
    </w:p>
    <w:p>
      <w:pPr>
        <w:pStyle w:val="TextBody"/>
        <w:spacing w:lineRule="auto" w:line="288" w:before="0" w:after="240"/>
        <w:ind w:left="0" w:right="0" w:firstLine="720"/>
        <w:rPr/>
      </w:pPr>
      <w:r>
        <w:rPr>
          <w:rFonts w:ascii="Times New Roman;sans-serif" w:hAnsi="Times New Roman;sans-serif"/>
          <w:b w:val="false"/>
          <w:color w:val="010000"/>
          <w:sz w:val="24"/>
        </w:rPr>
        <w:t>9.    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The captions used in this Exercise Notice are inserted for convenience and shall not be deemed a part of this agreement for construction or interpretation. Except when otherwise indicated by the context, the singular shall include the plural and the plural shall include the singular. Use of the term “or” is not intended to be exclusive, unless the context clearly requires otherwise.</w:t>
      </w:r>
    </w:p>
    <w:p>
      <w:pPr>
        <w:pStyle w:val="TextBody"/>
        <w:spacing w:lineRule="auto" w:line="288" w:before="0" w:after="240"/>
        <w:ind w:left="0" w:right="0" w:firstLine="720"/>
        <w:rPr/>
      </w:pPr>
      <w:r>
        <w:rPr>
          <w:rFonts w:ascii="Times New Roman;sans-serif" w:hAnsi="Times New Roman;sans-serif"/>
          <w:b w:val="false"/>
          <w:color w:val="010000"/>
          <w:sz w:val="24"/>
        </w:rPr>
        <w:t>10.    </w:t>
      </w:r>
      <w:r>
        <w:rPr>
          <w:rFonts w:ascii="Times New Roman;sans-serif" w:hAnsi="Times New Roman;sans-serif"/>
          <w:b w:val="false"/>
          <w:color w:val="000000"/>
          <w:sz w:val="24"/>
          <w:u w:val="single"/>
        </w:rPr>
        <w:t>Administration and Interpretation</w:t>
      </w:r>
      <w:r>
        <w:rPr>
          <w:rFonts w:ascii="Times New Roman;sans-serif" w:hAnsi="Times New Roman;sans-serif"/>
          <w:b w:val="false"/>
          <w:color w:val="000000"/>
          <w:sz w:val="24"/>
        </w:rPr>
        <w:t>. The Grantee hereby agrees that any question or dispute regarding the administration or interpretation of this Exercise Notice shall be submitted by the Grantee or by the Company to the Administrator. The resolution of such question or dispute by the Administrator shall be final and binding on all persons.</w:t>
      </w:r>
    </w:p>
    <w:p>
      <w:pPr>
        <w:pStyle w:val="TextBody"/>
        <w:spacing w:lineRule="auto" w:line="288" w:before="0" w:after="240"/>
        <w:ind w:left="0" w:right="0" w:firstLine="720"/>
        <w:rPr/>
      </w:pPr>
      <w:r>
        <w:rPr>
          <w:rFonts w:ascii="Times New Roman;sans-serif" w:hAnsi="Times New Roman;sans-serif"/>
          <w:b w:val="false"/>
          <w:color w:val="010000"/>
          <w:sz w:val="24"/>
        </w:rPr>
        <w:t>11.    </w:t>
      </w:r>
      <w:r>
        <w:rPr>
          <w:rFonts w:ascii="Times New Roman;sans-serif" w:hAnsi="Times New Roman;sans-serif"/>
          <w:b w:val="false"/>
          <w:color w:val="000000"/>
          <w:sz w:val="24"/>
          <w:u w:val="single"/>
        </w:rPr>
        <w:t>Governing Law; Severability</w:t>
      </w:r>
      <w:r>
        <w:rPr>
          <w:rFonts w:ascii="Times New Roman;sans-serif" w:hAnsi="Times New Roman;sans-serif"/>
          <w:b w:val="false"/>
          <w:color w:val="000000"/>
          <w:sz w:val="24"/>
        </w:rPr>
        <w:t>. This Exercise Notice is to be construed in accordance with and governed by the internal laws of the State of New York without giving effect to any choice of law rule that would cause the application of the laws of any jurisdiction other than the internal laws of the State of New York to the rights and duties of the parties. Should any provision of this Exercise Notice be determined by a court of law to be illegal or unenforceable, such provision shall be enforced to the fullest extent allowed by law and the other provisions shall nevertheless remain effective and shall remain enforceable.</w:t>
      </w:r>
    </w:p>
    <w:p>
      <w:pPr>
        <w:pStyle w:val="TextBody"/>
        <w:spacing w:lineRule="auto" w:line="288" w:before="0" w:after="240"/>
        <w:ind w:left="0" w:right="0" w:firstLine="720"/>
        <w:rPr/>
      </w:pPr>
      <w:r>
        <w:rPr>
          <w:rFonts w:ascii="Times New Roman;sans-serif" w:hAnsi="Times New Roman;sans-serif"/>
          <w:b w:val="false"/>
          <w:color w:val="010000"/>
          <w:sz w:val="24"/>
        </w:rPr>
        <w:t>12.    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below beneath its signature, or to such other address as such party may designate in writing from time to time to the other party.</w:t>
      </w:r>
    </w:p>
    <w:p>
      <w:pPr>
        <w:pStyle w:val="TextBody"/>
        <w:spacing w:lineRule="auto" w:line="288" w:before="0" w:after="240"/>
        <w:ind w:left="0" w:right="0" w:firstLine="720"/>
        <w:rPr/>
      </w:pPr>
      <w:r>
        <w:rPr>
          <w:rFonts w:ascii="Times New Roman;sans-serif" w:hAnsi="Times New Roman;sans-serif"/>
          <w:b w:val="false"/>
          <w:color w:val="010000"/>
          <w:sz w:val="24"/>
        </w:rPr>
        <w:t>13.    </w:t>
      </w:r>
      <w:r>
        <w:rPr>
          <w:rFonts w:ascii="Times New Roman;sans-serif" w:hAnsi="Times New Roman;sans-serif"/>
          <w:b w:val="false"/>
          <w:color w:val="000000"/>
          <w:sz w:val="24"/>
          <w:u w:val="single"/>
        </w:rPr>
        <w:t>Further Instruments</w:t>
      </w:r>
      <w:r>
        <w:rPr>
          <w:rFonts w:ascii="Times New Roman;sans-serif" w:hAnsi="Times New Roman;sans-serif"/>
          <w:b w:val="false"/>
          <w:color w:val="000000"/>
          <w:sz w:val="24"/>
        </w:rPr>
        <w:t>. The parties agree to execute such further instruments and to take such further action as may be reasonably necessary to carry out the purposes and intent of this agreement.</w:t>
      </w:r>
    </w:p>
    <w:p>
      <w:pPr>
        <w:pStyle w:val="TextBody"/>
        <w:spacing w:lineRule="auto" w:line="288" w:before="0" w:after="240"/>
        <w:ind w:left="0" w:right="0" w:firstLine="720"/>
        <w:rPr/>
      </w:pPr>
      <w:r>
        <w:rPr>
          <w:rFonts w:ascii="Times New Roman;sans-serif" w:hAnsi="Times New Roman;sans-serif"/>
          <w:b w:val="false"/>
          <w:color w:val="010000"/>
          <w:sz w:val="24"/>
        </w:rPr>
        <w:t>14.    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Notice, the Plan and the Option Agreement are incorporated herein by reference and together with this Exercise Notice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Notice, the Plan, the Option Agreement and this Exercise Notice (except as expressly provided therein) is intended to confer any rights or remedies on any persons other than the parties.</w: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SIGNATURE PAGE FOLLOWS</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512" w:type="dxa"/>
        <w:jc w:val="left"/>
        <w:tblInd w:w="0" w:type="dxa"/>
        <w:tblCellMar>
          <w:top w:w="28" w:type="dxa"/>
          <w:left w:w="28" w:type="dxa"/>
          <w:bottom w:w="28" w:type="dxa"/>
          <w:right w:w="28" w:type="dxa"/>
        </w:tblCellMar>
      </w:tblPr>
      <w:tblGrid>
        <w:gridCol w:w="516"/>
        <w:gridCol w:w="453"/>
        <w:gridCol w:w="456"/>
        <w:gridCol w:w="109"/>
        <w:gridCol w:w="109"/>
        <w:gridCol w:w="109"/>
        <w:gridCol w:w="109"/>
        <w:gridCol w:w="109"/>
        <w:gridCol w:w="109"/>
        <w:gridCol w:w="896"/>
        <w:gridCol w:w="896"/>
        <w:gridCol w:w="900"/>
        <w:gridCol w:w="217"/>
        <w:gridCol w:w="217"/>
        <w:gridCol w:w="307"/>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Submitted 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Accepted by:</w:t>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GRANTEE: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MOUNT SINAI GENOMICS, INC.</w:t>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r>
      <w:tr>
        <w:trPr/>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Signature</w:t>
            </w:r>
            <w:r>
              <w:rPr>
                <w:rFonts w:ascii="Times New Roman;sans-serif" w:hAnsi="Times New Roman;sans-serif"/>
                <w:b w:val="false"/>
                <w:color w:val="000000"/>
                <w:sz w:val="22"/>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2"/>
              </w:rPr>
              <w:t>(</w:t>
            </w:r>
            <w:r>
              <w:rPr>
                <w:rFonts w:ascii="Times New Roman;sans-serif" w:hAnsi="Times New Roman;sans-serif"/>
                <w:b w:val="false"/>
                <w:color w:val="000000"/>
                <w:sz w:val="24"/>
                <w:u w:val="single"/>
              </w:rPr>
              <w:t>Name</w:t>
            </w:r>
            <w:r>
              <w:rPr>
                <w:rFonts w:ascii="Times New Roman;sans-serif" w:hAnsi="Times New Roman;sans-serif"/>
                <w:b w:val="false"/>
                <w:color w:val="000000"/>
                <w:sz w:val="22"/>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Address:</w:t>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2"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3"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MOUNT SINAI GENOMICS, INC. 2017 STOCK INCENTIVE PLAN</w:t>
      </w:r>
    </w:p>
    <w:p>
      <w:pPr>
        <w:pStyle w:val="TextBody"/>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INVESTMENT REPRESENTATION STATEMENT</w:t>
      </w:r>
    </w:p>
    <w:tbl>
      <w:tblPr>
        <w:tblW w:w="5424" w:type="dxa"/>
        <w:jc w:val="left"/>
        <w:tblInd w:w="0" w:type="dxa"/>
        <w:tblCellMar>
          <w:top w:w="28" w:type="dxa"/>
          <w:left w:w="28" w:type="dxa"/>
          <w:bottom w:w="28" w:type="dxa"/>
          <w:right w:w="28" w:type="dxa"/>
        </w:tblCellMar>
      </w:tblPr>
      <w:tblGrid>
        <w:gridCol w:w="510"/>
        <w:gridCol w:w="448"/>
        <w:gridCol w:w="452"/>
        <w:gridCol w:w="109"/>
        <w:gridCol w:w="109"/>
        <w:gridCol w:w="109"/>
        <w:gridCol w:w="573"/>
        <w:gridCol w:w="573"/>
        <w:gridCol w:w="573"/>
        <w:gridCol w:w="573"/>
        <w:gridCol w:w="573"/>
        <w:gridCol w:w="822"/>
      </w:tblGrid>
      <w:tr>
        <w:trPr/>
        <w:tc>
          <w:tcPr>
            <w:tcW w:w="51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MOUNT SINAI GENOMICS, INC.</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CLASS B COMMON STOCK</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connection with the purchase of the above-listed Securities, the undersigned Grantee represents to the Company the following:</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Grantee is aware of the Company’s business affairs and financial condition and has acquired sufficient information about the Company to reach an informed and knowledgeable decision to acquire the Securities. Grantee is acquiring these Securities for investment for Grantee’s own account only and not with a view to, or for resale in connection with, any “distribution” thereof within the meaning of the Securities Act of 1933, as amended (the “Securities Act”).</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Grantee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Grantee’s investment intent as expressed herein. Grantee further understands that the Securities must be held indefinitely unless they are subsequently registered under the Securities Act or an exemption from such registration is available. Grantee further acknowledges and understands that the Company is under no obligation to register the Securities. Grantee understands that the certificate evidencing the Securities will be imprinted with a legend which prohibits the transfer of the Securities unless they are registered or such registration is not required in the opinion of counsel satisfactory to the Company.</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(c)    Grantee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the issuer qualifies under Rule 701 at the time of the grant of the Option to the Grantee, the exercise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except in the case of affiliates, such Securities may be resold subject to the satisfaction of the applicable conditions specified by Rule 144, including: (1) the availability of certain public information about the Company, (2) the amount of Securities being sold during any three month period not exceeding specified limitations, (3) the resale being made in an unsolicited “broker’s transaction,” in transactions directly with a “market maker” or “riskless principal transactions” (as said terms are defined under the Securities Exchange Act of 1934) and (4) the timely filing of a Form 144, if applicable.</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does not qualify under Rule 701 at the time of sale of the Securities, then the Securities may be resold in certain limited circumstances subject to the provisions of Rule 144, which may require: the availability of current public information about the Company; the resale to occur more than a specified period after the purchase and full payment (within the meaning of Rule 144) for the Securities; and, in the case of the sale of Securities by an affiliate, the satisfaction of the conditions set forth in sections (2), (3) and (4) of the paragraph immediately above.</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(d)    Grantee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Grantee understands that no assurances can be given that any such other registration exemption will be available in such event.</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(e)    Grantee represents that the Grantee is a resident of the state of ____________________.</w:t>
      </w:r>
    </w:p>
    <w:p>
      <w:pPr>
        <w:pStyle w:val="TextBody"/>
        <w:spacing w:lineRule="auto" w:line="288" w:before="0" w:after="1040"/>
        <w:jc w:val="right"/>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tbl>
      <w:tblPr>
        <w:tblW w:w="616" w:type="dxa"/>
        <w:jc w:val="right"/>
        <w:tblInd w:w="0" w:type="dxa"/>
        <w:tblCellMar>
          <w:top w:w="28" w:type="dxa"/>
          <w:left w:w="28" w:type="dxa"/>
          <w:bottom w:w="28" w:type="dxa"/>
          <w:right w:w="28" w:type="dxa"/>
        </w:tblCellMar>
      </w:tblPr>
      <w:tblGrid>
        <w:gridCol w:w="197"/>
        <w:gridCol w:w="173"/>
        <w:gridCol w:w="246"/>
      </w:tblGrid>
      <w:tr>
        <w:trPr/>
        <w:tc>
          <w:tcPr>
            <w:tcW w:w="19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8331/000121390021024584/f10k2020a1_cmlifesciences.htm" TargetMode="External"/><Relationship Id="rId4" Type="http://schemas.openxmlformats.org/officeDocument/2006/relationships/hyperlink" Target="https://www.sec.gov/Archives/edgar/data/1818331/000121390021028608/f10q0321_cmlifesciences.htm" TargetMode="External"/><Relationship Id="rId5" Type="http://schemas.openxmlformats.org/officeDocument/2006/relationships/hyperlink" Target="https://www.sec.gov/ix?doc=/Archives/edgar/data/1818331/000121390021037929/f10q0621_cmlifesciences.htm" TargetMode="External"/><Relationship Id="rId6" Type="http://schemas.openxmlformats.org/officeDocument/2006/relationships/hyperlink" Target="https://www.sec.gov/Archives/edgar/data/1818331/000121390021008253/ea135116-8k_cmlifesciences.htm" TargetMode="External"/><Relationship Id="rId7" Type="http://schemas.openxmlformats.org/officeDocument/2006/relationships/hyperlink" Target="https://www.sec.gov/Archives/edgar/data/1818331/000121390021024579/ea140287-8k_cmlife.htm" TargetMode="External"/><Relationship Id="rId8" Type="http://schemas.openxmlformats.org/officeDocument/2006/relationships/hyperlink" Target="https://www.sec.gov/Archives/edgar/data/1818331/000121390021037524/ea144454-8k_cmlife.htm" TargetMode="External"/><Relationship Id="rId9" Type="http://schemas.openxmlformats.org/officeDocument/2006/relationships/hyperlink" Target="https://www.sec.gov/ix?doc=/Archives/edgar/data/1818331/000121390021037979/ea144582-8k_cmlifescien.htm" TargetMode="External"/><Relationship Id="rId10" Type="http://schemas.openxmlformats.org/officeDocument/2006/relationships/hyperlink" Target="https://www.sec.gov/Archives/edgar/data/1818331/000162828021014760/super8-k.htm" TargetMode="External"/><Relationship Id="rId11" Type="http://schemas.openxmlformats.org/officeDocument/2006/relationships/hyperlink" Target="https://www.sec.gov/ix?doc=/Archives/edgar/data/1818331/000162828021017147/smfr-20210722.htm" TargetMode="External"/><Relationship Id="rId12" Type="http://schemas.openxmlformats.org/officeDocument/2006/relationships/hyperlink" Target="https://www.sec.gov/ix?doc=/Archives/edgar/data/1818331/000162828021017120/smfr-20210813.htm" TargetMode="External"/><Relationship Id="rId13" Type="http://schemas.openxmlformats.org/officeDocument/2006/relationships/hyperlink" Target="https://www.sec.gov/Archives/edgar/data/1818331/000121390020024549/ea126225-8a12b_cmlifescience.htm" TargetMode="External"/><Relationship Id="rId14" Type="http://schemas.openxmlformats.org/officeDocument/2006/relationships/hyperlink" Target="https://www.sec.gov/Archives/edgar/data/1818331/000121390021024584/f10k2020a1_cmlifesciences.htm" TargetMode="External"/><Relationship Id="rId15" Type="http://schemas.openxmlformats.org/officeDocument/2006/relationships/hyperlink" Target="https://www.sec.gov/Archives/edgar/data/1818331/000162828021014760/super8-k.htm" TargetMode="External"/><Relationship Id="rId16" Type="http://schemas.openxmlformats.org/officeDocument/2006/relationships/hyperlink" Target="https://www.sec.gov/ix?doc=/Archives/edgar/data/0001818331/000162828021017147/smfr-20210722.htm" TargetMode="External"/><Relationship Id="rId17" Type="http://schemas.openxmlformats.org/officeDocument/2006/relationships/hyperlink" Target="https://www.sec.gov/Archives/edgar/data/1818331/000121390021024584/f10k2020a1_cmlifesciences.htm" TargetMode="External"/><Relationship Id="rId18" Type="http://schemas.openxmlformats.org/officeDocument/2006/relationships/hyperlink" Target="https://www.sec.gov/Archives/edgar/data/1818331/000121390021028608/f10q0321_cmlifesciences.htm" TargetMode="External"/><Relationship Id="rId19" Type="http://schemas.openxmlformats.org/officeDocument/2006/relationships/hyperlink" Target="https://www.sec.gov/ix?doc=/Archives/edgar/data/1818331/000121390021037929/f10q0621_cmlifesciences.htm" TargetMode="External"/><Relationship Id="rId20" Type="http://schemas.openxmlformats.org/officeDocument/2006/relationships/hyperlink" Target="https://www.sec.gov/Archives/edgar/data/1818331/000121390021008253/ea135116-8k_cmlifesciences.htm" TargetMode="External"/><Relationship Id="rId21" Type="http://schemas.openxmlformats.org/officeDocument/2006/relationships/hyperlink" Target="https://www.sec.gov/Archives/edgar/data/1818331/000121390021024579/ea140287-8k_cmlife.htm" TargetMode="External"/><Relationship Id="rId22" Type="http://schemas.openxmlformats.org/officeDocument/2006/relationships/hyperlink" Target="https://www.sec.gov/Archives/edgar/data/1818331/000121390021037524/ea144454-8k_cmlife.htm" TargetMode="External"/><Relationship Id="rId23" Type="http://schemas.openxmlformats.org/officeDocument/2006/relationships/hyperlink" Target="https://www.sec.gov/ix?doc=/Archives/edgar/data/1818331/000121390021037979/ea144582-8k_cmlifescien.htm" TargetMode="External"/><Relationship Id="rId24" Type="http://schemas.openxmlformats.org/officeDocument/2006/relationships/hyperlink" Target="https://www.sec.gov/Archives/edgar/data/1818331/000162828021014760/super8-k.htm" TargetMode="External"/><Relationship Id="rId25" Type="http://schemas.openxmlformats.org/officeDocument/2006/relationships/hyperlink" Target="https://www.sec.gov/ix?doc=/Archives/edgar/data/1818331/000162828021017147/smfr-20210722.htm" TargetMode="External"/><Relationship Id="rId26" Type="http://schemas.openxmlformats.org/officeDocument/2006/relationships/hyperlink" Target="https://www.sec.gov/ix?doc=/Archives/edgar/data/1818331/000162828021017120/smfr-20210813.htm" TargetMode="External"/><Relationship Id="rId27" Type="http://schemas.openxmlformats.org/officeDocument/2006/relationships/hyperlink" Target="https://www.sec.gov/Archives/edgar/data/1818331/000121390020024549/ea126225-8a12b_cmlifescience.htm" TargetMode="External"/><Relationship Id="rId28" Type="http://schemas.openxmlformats.org/officeDocument/2006/relationships/hyperlink" Target="https://www.sec.gov/Archives/edgar/data/1818331/000162828021014760/exhibit31-super8xk.htm" TargetMode="External"/><Relationship Id="rId29" Type="http://schemas.openxmlformats.org/officeDocument/2006/relationships/hyperlink" Target="https://www.sec.gov/Archives/edgar/data/1818331/000162828021014760/exhibit32-super8xk.htm" TargetMode="External"/><Relationship Id="rId30" Type="http://schemas.openxmlformats.org/officeDocument/2006/relationships/hyperlink" Target="https://www.sec.gov/Archives/edgar/data/1818331/000162828021014760/exhibit105-super8xk.htm" TargetMode="External"/><Relationship Id="rId31" Type="http://schemas.openxmlformats.org/officeDocument/2006/relationships/hyperlink" Target="https://www.sec.gov/Archives/edgar/data/1818331/000162828021014760/exhibit105-super8xk.htm" TargetMode="External"/><Relationship Id="rId32" Type="http://schemas.openxmlformats.org/officeDocument/2006/relationships/hyperlink" Target="https://www.sec.gov/Archives/edgar/data/1818331/000162828021014760/exhibit105-super8xk.htm" TargetMode="External"/><Relationship Id="rId33" Type="http://schemas.openxmlformats.org/officeDocument/2006/relationships/hyperlink" Target="https://www.sec.gov/Archives/edgar/data/1818331/000162828021014760/exhibit106-super8xk.htm" TargetMode="External"/><Relationship Id="rId34" Type="http://schemas.openxmlformats.org/officeDocument/2006/relationships/hyperlink" Target="https://www.sec.gov/Archives/edgar/data/1818331/000162828021014760/exhibit106-super8xk.htm" TargetMode="External"/><Relationship Id="rId35" Type="http://schemas.openxmlformats.org/officeDocument/2006/relationships/hyperlink" Target="https://www.sec.gov/Archives/edgar/data/1818331/000162828021014760/exhibit106-super8xk.htm" TargetMode="External"/><Relationship Id="rId36" Type="http://schemas.openxmlformats.org/officeDocument/2006/relationships/hyperlink" Target="https://www.sec.gov/Archives/edgar/data/1818331/000162828021014760/exhibit106-super8xk.htm" TargetMode="External"/><Relationship Id="rId37" Type="http://schemas.openxmlformats.org/officeDocument/2006/relationships/hyperlink" Target="https://www.sec.gov/Archives/edgar/data/1818331/000162828021014760/exhibit107-super8xk.htm" TargetMode="External"/><Relationship Id="rId38" Type="http://schemas.openxmlformats.org/officeDocument/2006/relationships/hyperlink" Target="https://www.sec.gov/Archives/edgar/data/1818331/000162828021014760/exhibit107-super8xk.htm" TargetMode="External"/><Relationship Id="rId39" Type="http://schemas.openxmlformats.org/officeDocument/2006/relationships/hyperlink" Target="https://www.sec.gov/Archives/edgar/data/1818331/000162828021014760/exhibit107-super8xk.htm" TargetMode="External"/><Relationship Id="rId40" Type="http://schemas.openxmlformats.org/officeDocument/2006/relationships/hyperlink" Target="https://www.sec.gov/Archives/edgar/data/1818331/000162828021014760/exhibit108-super8xk.htm" TargetMode="External"/><Relationship Id="rId41" Type="http://schemas.openxmlformats.org/officeDocument/2006/relationships/hyperlink" Target="https://www.sec.gov/Archives/edgar/data/1818331/000162828021014760/exhibit109-super8xk.htm" TargetMode="External"/><Relationship Id="rId42" Type="http://schemas.openxmlformats.org/officeDocument/2006/relationships/image" Target="media/image2.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61</Pages>
  <Words>29858</Words>
  <CharactersWithSpaces>185210</CharactersWithSpaces>
  <Paragraphs>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