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232026_080619.xml.htm"/>
      <w:bookmarkStart w:id="1" w:name="ksform406232026_0806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PFENNIGER RICHARD C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3,576</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45,082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9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4,248</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4,248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3,576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entire award shall vest on the earlier of the (i) date of the 2027 annual meeting of the Issuer's stockholders, or (ii) first anniversary of the grant date, subject to the Reporting Person's continued service to the Issuer through the vesting date. These RSUs do not have an expiration date; they either vest or are cancelled prior to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entire award vested or vests on the earlier of the: (i) date of the 2026 annual meeting of the Issuer's stockholders, or (ii) first anniversary of the grant date, subject to the Reporting Person's continued service to the Issuer through the vesting date. These RSUs do not have an expiration date; they either vest or are cancelled prior to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0796"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754</Words>
  <Characters>3954</Characters>
  <CharactersWithSpaces>4628</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