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06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06869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Ryan Jason</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STAMFORD</w:t>
            </w:r>
          </w:p>
        </w:tc>
        <w:tc>
          <w:tcPr>
            <w:tcW w:w="1220" w:type="dxa"/>
            <w:vAlign w:val="bottom"/>
            <w:gridSpan w:val="2"/>
          </w:tcPr>
          <w:p>
            <w:pPr>
              <w:spacing w:after="0"/>
              <w:rPr>
                <w:sz w:val="20"/>
                <w:szCs w:val="20"/>
                <w:color w:val="auto"/>
              </w:rPr>
            </w:pPr>
            <w:r>
              <w:rPr>
                <w:rFonts w:ascii="Arial" w:cs="Arial" w:eastAsia="Arial" w:hAnsi="Arial"/>
                <w:sz w:val="17"/>
                <w:szCs w:val="17"/>
                <w:color w:val="0000FF"/>
              </w:rPr>
              <w:t>CT</w:t>
            </w: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gridSpan w:val="2"/>
          </w:tcPr>
          <w:p>
            <w:pPr>
              <w:jc w:val="center"/>
              <w:ind w:left="10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7.79</w:t>
            </w:r>
          </w:p>
        </w:tc>
        <w:tc>
          <w:tcPr>
            <w:tcW w:w="1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2"/>
              </w:rPr>
              <w:t>10/14/2031</w:t>
            </w:r>
          </w:p>
        </w:tc>
        <w:tc>
          <w:tcPr>
            <w:tcW w:w="680" w:type="dxa"/>
            <w:vAlign w:val="bottom"/>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gridSpan w:val="2"/>
          </w:tcPr>
          <w:p>
            <w:pPr>
              <w:jc w:val="center"/>
              <w:ind w:left="10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7.79</w:t>
            </w:r>
          </w:p>
        </w:tc>
        <w:tc>
          <w:tcPr>
            <w:tcW w:w="1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2"/>
              </w:rPr>
              <w:t>10/14/2031</w:t>
            </w:r>
          </w:p>
        </w:tc>
        <w:tc>
          <w:tcPr>
            <w:tcW w:w="680" w:type="dxa"/>
            <w:vAlign w:val="bottom"/>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gridSpan w:val="2"/>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gridSpan w:val="2"/>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-3426460</wp:posOffset>
            </wp:positionV>
            <wp:extent cx="29210" cy="343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43154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and restricted stock units ("RSUs") will vest on the earlier of (i) the date of the next annual meeting of the Issuer's shareholders following the grant date and (i) the first anniversary of the grant date, in each case so long as the Reporting Person continues to provide services to the Issuer through such vesting date.</w:t>
      </w:r>
    </w:p>
    <w:p>
      <w:pPr>
        <w:spacing w:after="0" w:line="25" w:lineRule="exact"/>
        <w:rPr>
          <w:rFonts w:ascii="Arial" w:cs="Arial" w:eastAsia="Arial" w:hAnsi="Arial"/>
          <w:sz w:val="13"/>
          <w:szCs w:val="13"/>
          <w:color w:val="008000"/>
        </w:rPr>
      </w:pPr>
    </w:p>
    <w:p>
      <w:pPr>
        <w:ind w:left="40" w:right="2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as of 1/36 of the total shares monthly beginning on November 15, 2021 until fully vested, subject to the Reporting Person continuing to provide services to the Issuer through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1 share of the Issuer's Class A Common Stock upon settlement for no consideration.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will vest in equal annual installments over the three-year period following the grant date, subject to the Reporting Person continuing to provide services to the Issuer through each vesting 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2021-10-19T18:26:19Z</dcterms:created>
  <dcterms:modified xsi:type="dcterms:W3CDTF">2021-10-19T18:26:19Z</dcterms:modified>
</cp:coreProperties>
</file>